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360"/>
        <w:jc w:val="center"/>
      </w:pPr>
      <w:r>
        <w:rPr>
          <w:b/>
          <w:color w:val="2A7F75"/>
          <w:sz w:val="20"/>
        </w:rPr>
        <w:t>BUSINESS PROSPECTUS · FEASIBILITY STUDY · FIVE-YEAR PLAN</w:t>
      </w:r>
    </w:p>
    <w:p>
      <w:pPr>
        <w:spacing w:after="140"/>
        <w:jc w:val="center"/>
      </w:pPr>
      <w:r>
        <w:rPr>
          <w:b/>
          <w:color w:val="15324B"/>
          <w:sz w:val="60"/>
        </w:rPr>
        <w:t>MR WALLABOO</w:t>
        <w:br/>
        <w:t>GAMES</w:t>
      </w:r>
    </w:p>
    <w:p>
      <w:pPr>
        <w:spacing w:after="400"/>
        <w:jc w:val="center"/>
      </w:pPr>
      <w:r>
        <w:rPr>
          <w:color w:val="44515C"/>
          <w:sz w:val="28"/>
        </w:rPr>
        <w:t>A milestone-gated plan for an original tabletop-game studio and publisher</w:t>
      </w:r>
    </w:p>
    <w:tbl>
      <w:tblPr>
        <w:jc w:val="center"/>
        <w:tblLook w:firstColumn="1" w:firstRow="1" w:lastColumn="0" w:lastRow="0" w:noHBand="0" w:noVBand="1" w:val="04A0"/>
        <w:tblStyle w:val="TableGrid"/>
        <w:tblW w:w="9360" w:type="dxa"/>
        <w:tblInd w:w="0" w:type="dxa"/>
        <w:tblLayout w:type="fixed"/>
        <w:tblBorders>
          <w:top w:val="single" w:sz="8" w:space="0" w:color="D6A84B"/>
          <w:left w:val="single" w:sz="8" w:space="0" w:color="D6A84B"/>
          <w:bottom w:val="single" w:sz="8" w:space="0" w:color="D6A84B"/>
          <w:right w:val="single" w:sz="8" w:space="0" w:color="D6A84B"/>
          <w:insideH w:val="single" w:sz="8" w:space="0" w:color="D6A84B"/>
          <w:insideV w:val="single" w:sz="8" w:space="0" w:color="D6A84B"/>
        </w:tblBorders>
      </w:tblPr>
      <w:tblGrid>
        <w:gridCol w:w="2500"/>
        <w:gridCol w:w="6860"/>
      </w:tblGrid>
      <w:tr>
        <w:tc>
          <w:tcPr>
            <w:tcW w:type="dxa" w:w="2500"/>
            <w:tcMar>
              <w:top w:w="130" w:type="dxa"/>
              <w:start w:w="150" w:type="dxa"/>
              <w:bottom w:w="130" w:type="dxa"/>
              <w:end w:w="150" w:type="dxa"/>
            </w:tcMar>
            <w:shd w:fill="15324B"/>
          </w:tcPr>
          <w:p>
            <w:pPr>
              <w:jc w:val="center"/>
            </w:pPr>
            <w:r>
              <w:rPr>
                <w:b/>
                <w:color w:val="FFFFFF"/>
                <w:sz w:val="20"/>
              </w:rPr>
              <w:t>RECOMMENDATION</w:t>
            </w:r>
          </w:p>
        </w:tc>
        <w:tc>
          <w:tcPr>
            <w:tcW w:type="dxa" w:w="6860"/>
            <w:tcMar>
              <w:top w:w="130" w:type="dxa"/>
              <w:start w:w="150" w:type="dxa"/>
              <w:bottom w:w="130" w:type="dxa"/>
              <w:end w:w="150" w:type="dxa"/>
            </w:tcMar>
            <w:shd w:fill="FFF4D6"/>
          </w:tcPr>
          <w:p>
            <w:pPr>
              <w:jc w:val="left"/>
            </w:pPr>
            <w:r>
              <w:rPr>
                <w:b/>
                <w:color w:val="15324B"/>
                <w:sz w:val="24"/>
              </w:rPr>
              <w:t>CONDITIONAL GO</w:t>
            </w:r>
          </w:p>
        </w:tc>
      </w:tr>
      <w:tr>
        <w:tc>
          <w:tcPr>
            <w:tcW w:type="dxa" w:w="2500"/>
            <w:tcMar>
              <w:top w:w="130" w:type="dxa"/>
              <w:start w:w="150" w:type="dxa"/>
              <w:bottom w:w="130" w:type="dxa"/>
              <w:end w:w="150" w:type="dxa"/>
            </w:tcMar>
            <w:shd w:fill="15324B"/>
          </w:tcPr>
          <w:p>
            <w:pPr>
              <w:jc w:val="center"/>
            </w:pPr>
            <w:r>
              <w:rPr>
                <w:b/>
                <w:color w:val="FFFFFF"/>
                <w:sz w:val="20"/>
              </w:rPr>
              <w:t>CURRENT POSTURE</w:t>
            </w:r>
          </w:p>
        </w:tc>
        <w:tc>
          <w:tcPr>
            <w:tcW w:type="dxa" w:w="6860"/>
            <w:tcMar>
              <w:top w:w="130" w:type="dxa"/>
              <w:start w:w="150" w:type="dxa"/>
              <w:bottom w:w="130" w:type="dxa"/>
              <w:end w:w="150" w:type="dxa"/>
            </w:tcMar>
            <w:shd w:fill="FFF4D6"/>
          </w:tcPr>
          <w:p>
            <w:pPr>
              <w:jc w:val="left"/>
            </w:pPr>
            <w:r>
              <w:rPr>
                <w:b/>
                <w:color w:val="15324B"/>
                <w:sz w:val="24"/>
              </w:rPr>
              <w:t>Six-month capped validation phase · no manufacturing commitment</w:t>
            </w:r>
          </w:p>
        </w:tc>
      </w:tr>
    </w:tbl>
    <w:p>
      <w:pPr>
        <w:spacing w:after="80"/>
      </w:pPr>
    </w:p>
    <w:p>
      <w:pPr>
        <w:spacing w:before="240" w:after="560"/>
        <w:jc w:val="center"/>
      </w:pPr>
      <w:r>
        <w:rPr>
          <w:b/>
          <w:color w:val="15324B"/>
          <w:sz w:val="24"/>
        </w:rPr>
        <w:t>The next investment should buy evidence: one validated game, a cleared brand, a qualified audience, and firm supplier and fulfillment quotes.</w:t>
      </w:r>
    </w:p>
    <w:tbl>
      <w:tblPr>
        <w:jc w:val="center"/>
        <w:tblLook w:firstColumn="1" w:firstRow="1" w:lastColumn="0" w:lastRow="0" w:noHBand="0" w:noVBand="1" w:val="04A0"/>
        <w:tblW w:w="9360" w:type="dxa"/>
        <w:tblInd w:w="0" w:type="dxa"/>
        <w:tblLayout w:type="fixed"/>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2800"/>
        <w:gridCol w:w="6560"/>
      </w:tblGrid>
      <w:tr>
        <w:tc>
          <w:tcPr>
            <w:tcW w:type="dxa" w:w="2800"/>
            <w:tcMar>
              <w:top w:w="70" w:type="dxa"/>
              <w:start w:w="90" w:type="dxa"/>
              <w:bottom w:w="70" w:type="dxa"/>
              <w:end w:w="90" w:type="dxa"/>
            </w:tcMar>
          </w:tcPr>
          <w:p>
            <w:pPr>
              <w:jc w:val="left"/>
            </w:pPr>
            <w:r>
              <w:rPr>
                <w:b/>
                <w:color w:val="15324B"/>
                <w:sz w:val="18"/>
              </w:rPr>
              <w:t>Prepared for</w:t>
            </w:r>
          </w:p>
        </w:tc>
        <w:tc>
          <w:tcPr>
            <w:tcW w:type="dxa" w:w="6560"/>
            <w:tcMar>
              <w:top w:w="70" w:type="dxa"/>
              <w:start w:w="90" w:type="dxa"/>
              <w:bottom w:w="70" w:type="dxa"/>
              <w:end w:w="90" w:type="dxa"/>
            </w:tcMar>
          </w:tcPr>
          <w:p>
            <w:pPr>
              <w:jc w:val="left"/>
            </w:pPr>
            <w:r>
              <w:rPr>
                <w:b w:val="0"/>
                <w:color w:val="44515C"/>
                <w:sz w:val="18"/>
              </w:rPr>
              <w:t>Dan Trezise and Micah Trezise</w:t>
            </w:r>
          </w:p>
        </w:tc>
      </w:tr>
      <w:tr>
        <w:tc>
          <w:tcPr>
            <w:tcW w:type="dxa" w:w="2800"/>
            <w:tcMar>
              <w:top w:w="70" w:type="dxa"/>
              <w:start w:w="90" w:type="dxa"/>
              <w:bottom w:w="70" w:type="dxa"/>
              <w:end w:w="90" w:type="dxa"/>
            </w:tcMar>
          </w:tcPr>
          <w:p>
            <w:pPr>
              <w:jc w:val="left"/>
            </w:pPr>
            <w:r>
              <w:rPr>
                <w:b/>
                <w:color w:val="15324B"/>
                <w:sz w:val="18"/>
              </w:rPr>
              <w:t>Prepared</w:t>
            </w:r>
          </w:p>
        </w:tc>
        <w:tc>
          <w:tcPr>
            <w:tcW w:type="dxa" w:w="6560"/>
            <w:tcMar>
              <w:top w:w="70" w:type="dxa"/>
              <w:start w:w="90" w:type="dxa"/>
              <w:bottom w:w="70" w:type="dxa"/>
              <w:end w:w="90" w:type="dxa"/>
            </w:tcMar>
          </w:tcPr>
          <w:p>
            <w:pPr>
              <w:jc w:val="left"/>
            </w:pPr>
            <w:r>
              <w:rPr>
                <w:b w:val="0"/>
                <w:color w:val="44515C"/>
                <w:sz w:val="18"/>
              </w:rPr>
              <w:t>July 17, 2026</w:t>
            </w:r>
          </w:p>
        </w:tc>
      </w:tr>
      <w:tr>
        <w:tc>
          <w:tcPr>
            <w:tcW w:type="dxa" w:w="2800"/>
            <w:tcMar>
              <w:top w:w="70" w:type="dxa"/>
              <w:start w:w="90" w:type="dxa"/>
              <w:bottom w:w="70" w:type="dxa"/>
              <w:end w:w="90" w:type="dxa"/>
            </w:tcMar>
          </w:tcPr>
          <w:p>
            <w:pPr>
              <w:jc w:val="left"/>
            </w:pPr>
            <w:r>
              <w:rPr>
                <w:b/>
                <w:color w:val="15324B"/>
                <w:sz w:val="18"/>
              </w:rPr>
              <w:t>Planning horizon</w:t>
            </w:r>
          </w:p>
        </w:tc>
        <w:tc>
          <w:tcPr>
            <w:tcW w:type="dxa" w:w="6560"/>
            <w:tcMar>
              <w:top w:w="70" w:type="dxa"/>
              <w:start w:w="90" w:type="dxa"/>
              <w:bottom w:w="70" w:type="dxa"/>
              <w:end w:w="90" w:type="dxa"/>
            </w:tcMar>
          </w:tcPr>
          <w:p>
            <w:pPr>
              <w:jc w:val="left"/>
            </w:pPr>
            <w:r>
              <w:rPr>
                <w:b w:val="0"/>
                <w:color w:val="44515C"/>
                <w:sz w:val="18"/>
              </w:rPr>
              <w:t>2027–2031</w:t>
            </w:r>
          </w:p>
        </w:tc>
      </w:tr>
      <w:tr>
        <w:tc>
          <w:tcPr>
            <w:tcW w:type="dxa" w:w="2800"/>
            <w:tcMar>
              <w:top w:w="70" w:type="dxa"/>
              <w:start w:w="90" w:type="dxa"/>
              <w:bottom w:w="70" w:type="dxa"/>
              <w:end w:w="90" w:type="dxa"/>
            </w:tcMar>
          </w:tcPr>
          <w:p>
            <w:pPr>
              <w:jc w:val="left"/>
            </w:pPr>
            <w:r>
              <w:rPr>
                <w:b/>
                <w:color w:val="15324B"/>
                <w:sz w:val="18"/>
              </w:rPr>
              <w:t>Version</w:t>
            </w:r>
          </w:p>
        </w:tc>
        <w:tc>
          <w:tcPr>
            <w:tcW w:type="dxa" w:w="6560"/>
            <w:tcMar>
              <w:top w:w="70" w:type="dxa"/>
              <w:start w:w="90" w:type="dxa"/>
              <w:bottom w:w="70" w:type="dxa"/>
              <w:end w:w="90" w:type="dxa"/>
            </w:tcMar>
          </w:tcPr>
          <w:p>
            <w:pPr>
              <w:jc w:val="left"/>
            </w:pPr>
            <w:r>
              <w:rPr>
                <w:b w:val="0"/>
                <w:color w:val="44515C"/>
                <w:sz w:val="18"/>
              </w:rPr>
              <w:t>WORKING v0.1</w:t>
            </w:r>
          </w:p>
        </w:tc>
      </w:tr>
      <w:tr>
        <w:tc>
          <w:tcPr>
            <w:tcW w:type="dxa" w:w="2800"/>
            <w:tcMar>
              <w:top w:w="70" w:type="dxa"/>
              <w:start w:w="90" w:type="dxa"/>
              <w:bottom w:w="70" w:type="dxa"/>
              <w:end w:w="90" w:type="dxa"/>
            </w:tcMar>
          </w:tcPr>
          <w:p>
            <w:pPr>
              <w:jc w:val="left"/>
            </w:pPr>
            <w:r>
              <w:rPr>
                <w:b/>
                <w:color w:val="15324B"/>
                <w:sz w:val="18"/>
              </w:rPr>
              <w:t>Document status</w:t>
            </w:r>
          </w:p>
        </w:tc>
        <w:tc>
          <w:tcPr>
            <w:tcW w:type="dxa" w:w="6560"/>
            <w:tcMar>
              <w:top w:w="70" w:type="dxa"/>
              <w:start w:w="90" w:type="dxa"/>
              <w:bottom w:w="70" w:type="dxa"/>
              <w:end w:w="90" w:type="dxa"/>
            </w:tcMar>
          </w:tcPr>
          <w:p>
            <w:pPr>
              <w:jc w:val="left"/>
            </w:pPr>
            <w:r>
              <w:rPr>
                <w:b w:val="0"/>
                <w:color w:val="44515C"/>
                <w:sz w:val="18"/>
              </w:rPr>
              <w:t>Internal decision document — not a securities offering</w:t>
            </w:r>
          </w:p>
        </w:tc>
      </w:tr>
    </w:tbl>
    <w:p>
      <w:pPr>
        <w:spacing w:before="320"/>
        <w:jc w:val="center"/>
      </w:pPr>
      <w:r>
        <w:rPr>
          <w:i/>
          <w:color w:val="44515C"/>
          <w:sz w:val="16"/>
        </w:rPr>
        <w:t>Illustrative, unaudited planning analysis. See the disclaimer and source appendix.</w:t>
      </w:r>
    </w:p>
    <w:p>
      <w:r>
        <w:br w:type="page"/>
      </w:r>
    </w:p>
    <w:p>
      <w:pPr>
        <w:pStyle w:val="Heading1"/>
        <w:keepNext/>
        <w:keepLines/>
        <w:widowControl/>
      </w:pPr>
      <w:r>
        <w:t>1. Executive Summary</w:t>
      </w:r>
    </w:p>
    <w:p>
      <w:pPr>
        <w:widowControl/>
      </w:pPr>
      <w:r>
        <w:t xml:space="preserve">Mr Wallaboo Games is a proposed independent tabletop-game studio and publisher built around original games designed by Dan Trezise and Micah Trezise, individually and together. The recovered strategy source deliberately leaves the brand personality, target audience, product mix, publishing model, and manufacturing strategy open. The only named game concept recovered from the shared conversation is </w:t>
      </w:r>
      <w:r>
        <w:rPr>
          <w:i/>
        </w:rPr>
        <w:t>The Republic</w:t>
      </w:r>
      <w:r>
        <w:t>, a game about rising to power in 1930s Germany; its separate design dossier was not publicly recoverable.</w:t>
      </w:r>
    </w:p>
    <w:p>
      <w:pPr>
        <w:widowControl/>
      </w:pPr>
      <w:r>
        <w:t>The commercial opportunity is real but crowded. The U.S. Games/Puzzles supercategory reached $4.9 billion in 2025, and Kickstarter reported $220 million pledged to successful tabletop campaigns in 2024. Those totals overstate the specific opportunity for a new original-game publisher: Pokémon and trading cards drove much of recent market growth, trading-card games represent roughly two-thirds of hobby-game dollars, and thousands of tabletop campaigns compete for attention. [S01–S06]</w:t>
      </w:r>
    </w:p>
    <w:p>
      <w:pPr>
        <w:widowControl/>
      </w:pPr>
      <w:r>
        <w:t>The recommended entry strategy is therefore narrow:</w:t>
      </w:r>
    </w:p>
    <w:p>
      <w:pPr>
        <w:numPr>
          <w:ilvl w:val="0"/>
          <w:numId w:val="11"/>
        </w:numPr>
        <w:spacing w:after="60" w:line="259" w:lineRule="auto"/>
        <w:keepLines/>
        <w:widowControl/>
      </w:pPr>
      <w:r>
        <w:t>Develop one approachable, paper-heavy flagship game with a $29–$39 target MSRP, 20–45 minute playtime, two-to-five-player reach, and no custom molds.</w:t>
      </w:r>
    </w:p>
    <w:p>
      <w:pPr>
        <w:numPr>
          <w:ilvl w:val="0"/>
          <w:numId w:val="11"/>
        </w:numPr>
        <w:spacing w:after="60" w:line="259" w:lineRule="auto"/>
        <w:keepLines/>
        <w:widowControl/>
      </w:pPr>
      <w:r>
        <w:t>Use public playtesting and a print-and-play prototype to establish demand before expensive art or tooling.</w:t>
      </w:r>
    </w:p>
    <w:p>
      <w:pPr>
        <w:numPr>
          <w:ilvl w:val="0"/>
          <w:numId w:val="11"/>
        </w:numPr>
        <w:spacing w:after="60" w:line="259" w:lineRule="auto"/>
        <w:keepLines/>
        <w:widowControl/>
      </w:pPr>
      <w:r>
        <w:t>Launch primarily through crowdfunding/direct sales, but build retail-compatible unit economics from the first bill of materials.</w:t>
      </w:r>
    </w:p>
    <w:p>
      <w:pPr>
        <w:numPr>
          <w:ilvl w:val="0"/>
          <w:numId w:val="11"/>
        </w:numPr>
        <w:spacing w:after="60" w:line="259" w:lineRule="auto"/>
        <w:keepLines/>
        <w:widowControl/>
      </w:pPr>
      <w:r>
        <w:t xml:space="preserve">Keep </w:t>
      </w:r>
      <w:r>
        <w:rPr>
          <w:i/>
        </w:rPr>
        <w:t>The Republic</w:t>
      </w:r>
      <w:r>
        <w:t xml:space="preserve"> as a separate adult historical-strategy track until its design, historical framing, content policy, and retailer/platform fit are independently validated.</w:t>
      </w:r>
    </w:p>
    <w:p>
      <w:pPr>
        <w:numPr>
          <w:ilvl w:val="0"/>
          <w:numId w:val="11"/>
        </w:numPr>
        <w:spacing w:after="60" w:line="259" w:lineRule="auto"/>
        <w:keepLines/>
        <w:widowControl/>
      </w:pPr>
      <w:r>
        <w:t>Treat the company as a disciplined side-stage venture until the catalog supports repeat demand and founder compensation.</w:t>
      </w:r>
    </w:p>
    <w:p>
      <w:pPr>
        <w:widowControl/>
      </w:pPr>
      <w:r>
        <w:t>Under the illustrative base case, net revenue grows from approximately $67,000 in 2027 to $688,000 in 2031. EBITDA after modest founder compensation turns positive in 2030 and reaches approximately $112,000 in 2031. The modeled $75,000 seed reserve covers the base-case operating trough, but the conservative case consumes approximately $158,000 over five years. The upside case turns positive in year two. These outcomes are highly sensitive to unit volume, direct-to-consumer mix, landed cost, and title quality.</w:t>
      </w:r>
    </w:p>
    <w:p>
      <w:pPr>
        <w:pStyle w:val="Heading1"/>
        <w:keepNext/>
        <w:keepLines/>
        <w:widowControl/>
      </w:pPr>
      <w:r>
        <w:t>2. Investment Snapshot</w:t>
      </w:r>
    </w:p>
    <w:tbl>
      <w:tblPr>
        <w:tblStyle w:val="TableGrid"/>
        <w:jc w:val="center"/>
        <w:tblLook w:firstColumn="1" w:firstRow="1" w:lastColumn="0" w:lastRow="0" w:noHBand="0" w:noVBand="1" w:val="04A0"/>
        <w:tblW w:w="9360" w:type="dxa"/>
        <w:tblInd w:w="0" w:type="dxa"/>
        <w:tblLayout w:type="fixed"/>
        <w:tblBorders>
          <w:top w:val="single" w:sz="4" w:space="0" w:color="D4DCE3"/>
          <w:left w:val="single" w:sz="4" w:space="0" w:color="D4DCE3"/>
          <w:bottom w:val="single" w:sz="4" w:space="0" w:color="D4DCE3"/>
          <w:right w:val="single" w:sz="4" w:space="0" w:color="D4DCE3"/>
          <w:insideH w:val="single" w:sz="4" w:space="0" w:color="D4DCE3"/>
          <w:insideV w:val="single" w:sz="4" w:space="0" w:color="D4DCE3"/>
        </w:tblBorders>
      </w:tblPr>
      <w:tblGrid>
        <w:gridCol w:w="2800"/>
        <w:gridCol w:w="6560"/>
      </w:tblGrid>
      <w:tr>
        <w:trPr>
          <w:tblHeader w:val="true"/>
          <w:cantSplit/>
        </w:trPr>
        <w:tc>
          <w:tcPr>
            <w:tcW w:type="dxa" w:w="2800"/>
            <w:tcMar>
              <w:top w:w="80" w:type="dxa"/>
              <w:start w:w="120" w:type="dxa"/>
              <w:bottom w:w="80" w:type="dxa"/>
              <w:end w:w="120" w:type="dxa"/>
            </w:tcMar>
            <w:vAlign w:val="center"/>
            <w:shd w:fill="15324B"/>
          </w:tcPr>
          <w:p>
            <w:pPr>
              <w:spacing w:before="0" w:after="0" w:line="240" w:lineRule="auto"/>
              <w:jc w:val="center"/>
              <w:keepLines/>
              <w:widowControl/>
            </w:pPr>
            <w:r>
              <w:rPr>
                <w:b/>
                <w:color w:val="FFFFFF"/>
                <w:sz w:val="17"/>
              </w:rPr>
              <w:t>Item</w:t>
            </w:r>
          </w:p>
        </w:tc>
        <w:tc>
          <w:tcPr>
            <w:tcW w:type="dxa" w:w="6560"/>
            <w:tcMar>
              <w:top w:w="80" w:type="dxa"/>
              <w:start w:w="120" w:type="dxa"/>
              <w:bottom w:w="80" w:type="dxa"/>
              <w:end w:w="120" w:type="dxa"/>
            </w:tcMar>
            <w:vAlign w:val="center"/>
            <w:shd w:fill="15324B"/>
          </w:tcPr>
          <w:p>
            <w:pPr>
              <w:spacing w:before="0" w:after="0" w:line="240" w:lineRule="auto"/>
              <w:jc w:val="center"/>
              <w:keepLines/>
              <w:widowControl/>
            </w:pPr>
            <w:r>
              <w:rPr>
                <w:b/>
                <w:color w:val="FFFFFF"/>
                <w:sz w:val="17"/>
              </w:rPr>
              <w:t>Working position</w:t>
            </w:r>
          </w:p>
        </w:tc>
      </w:tr>
      <w:tr>
        <w:trPr>
          <w:cantSplit/>
        </w:trPr>
        <w:tc>
          <w:tcPr>
            <w:tcW w:type="dxa" w:w="2800"/>
            <w:tcMar>
              <w:top w:w="80" w:type="dxa"/>
              <w:start w:w="120" w:type="dxa"/>
              <w:bottom w:w="80" w:type="dxa"/>
              <w:end w:w="120" w:type="dxa"/>
            </w:tcMar>
            <w:vAlign w:val="center"/>
          </w:tcPr>
          <w:p>
            <w:pPr>
              <w:spacing w:before="0" w:after="0" w:line="240" w:lineRule="auto"/>
              <w:jc w:val="left"/>
              <w:keepLines/>
              <w:widowControl/>
            </w:pPr>
            <w:r>
              <w:rPr>
                <w:sz w:val="17"/>
              </w:rPr>
              <w:t>Stage</w:t>
            </w:r>
          </w:p>
        </w:tc>
        <w:tc>
          <w:tcPr>
            <w:tcW w:type="dxa" w:w="6560"/>
            <w:tcMar>
              <w:top w:w="80" w:type="dxa"/>
              <w:start w:w="120" w:type="dxa"/>
              <w:bottom w:w="80" w:type="dxa"/>
              <w:end w:w="120" w:type="dxa"/>
            </w:tcMar>
            <w:vAlign w:val="center"/>
          </w:tcPr>
          <w:p>
            <w:pPr>
              <w:spacing w:before="0" w:after="0" w:line="240" w:lineRule="auto"/>
              <w:jc w:val="left"/>
              <w:keepLines/>
              <w:widowControl/>
            </w:pPr>
            <w:r>
              <w:rPr>
                <w:sz w:val="17"/>
              </w:rPr>
              <w:t>Pre-seed / pre-prototype business formation</w:t>
            </w:r>
          </w:p>
        </w:tc>
      </w:tr>
      <w:tr>
        <w:trPr>
          <w:cantSplit/>
        </w:trPr>
        <w:tc>
          <w:tcPr>
            <w:tcW w:type="dxa" w:w="2800"/>
            <w:tcMar>
              <w:top w:w="80" w:type="dxa"/>
              <w:start w:w="120" w:type="dxa"/>
              <w:bottom w:w="80" w:type="dxa"/>
              <w:end w:w="120" w:type="dxa"/>
            </w:tcMar>
            <w:vAlign w:val="center"/>
          </w:tcPr>
          <w:p>
            <w:pPr>
              <w:spacing w:before="0" w:after="0" w:line="240" w:lineRule="auto"/>
              <w:jc w:val="left"/>
              <w:keepLines/>
              <w:widowControl/>
            </w:pPr>
            <w:r>
              <w:rPr>
                <w:sz w:val="17"/>
              </w:rPr>
              <w:t>Readiness</w:t>
            </w:r>
          </w:p>
        </w:tc>
        <w:tc>
          <w:tcPr>
            <w:tcW w:type="dxa" w:w="6560"/>
            <w:tcMar>
              <w:top w:w="80" w:type="dxa"/>
              <w:start w:w="120" w:type="dxa"/>
              <w:bottom w:w="80" w:type="dxa"/>
              <w:end w:w="120" w:type="dxa"/>
            </w:tcMar>
            <w:vAlign w:val="center"/>
          </w:tcPr>
          <w:p>
            <w:pPr>
              <w:spacing w:before="0" w:after="0" w:line="240" w:lineRule="auto"/>
              <w:jc w:val="left"/>
              <w:keepLines/>
              <w:widowControl/>
            </w:pPr>
            <w:r>
              <w:rPr>
                <w:sz w:val="17"/>
              </w:rPr>
              <w:t>Brand name and founders confirmed; product and audience unvalidated</w:t>
            </w:r>
          </w:p>
        </w:tc>
      </w:tr>
      <w:tr>
        <w:trPr>
          <w:cantSplit/>
        </w:trPr>
        <w:tc>
          <w:tcPr>
            <w:tcW w:type="dxa" w:w="2800"/>
            <w:tcMar>
              <w:top w:w="80" w:type="dxa"/>
              <w:start w:w="120" w:type="dxa"/>
              <w:bottom w:w="80" w:type="dxa"/>
              <w:end w:w="120" w:type="dxa"/>
            </w:tcMar>
            <w:vAlign w:val="center"/>
          </w:tcPr>
          <w:p>
            <w:pPr>
              <w:spacing w:before="0" w:after="0" w:line="240" w:lineRule="auto"/>
              <w:jc w:val="left"/>
              <w:keepLines/>
              <w:widowControl/>
            </w:pPr>
            <w:r>
              <w:rPr>
                <w:sz w:val="17"/>
              </w:rPr>
              <w:t>Opportunity feasibility</w:t>
            </w:r>
          </w:p>
        </w:tc>
        <w:tc>
          <w:tcPr>
            <w:tcW w:type="dxa" w:w="6560"/>
            <w:tcMar>
              <w:top w:w="80" w:type="dxa"/>
              <w:start w:w="120" w:type="dxa"/>
              <w:bottom w:w="80" w:type="dxa"/>
              <w:end w:w="120" w:type="dxa"/>
            </w:tcMar>
            <w:vAlign w:val="center"/>
          </w:tcPr>
          <w:p>
            <w:pPr>
              <w:spacing w:before="0" w:after="0" w:line="240" w:lineRule="auto"/>
              <w:jc w:val="left"/>
              <w:keepLines/>
              <w:widowControl/>
            </w:pPr>
            <w:r>
              <w:rPr>
                <w:sz w:val="17"/>
              </w:rPr>
              <w:t>68 / 100 — credible niche with manageable production pathways</w:t>
            </w:r>
          </w:p>
        </w:tc>
      </w:tr>
      <w:tr>
        <w:trPr>
          <w:cantSplit/>
        </w:trPr>
        <w:tc>
          <w:tcPr>
            <w:tcW w:type="dxa" w:w="2800"/>
            <w:tcMar>
              <w:top w:w="80" w:type="dxa"/>
              <w:start w:w="120" w:type="dxa"/>
              <w:bottom w:w="80" w:type="dxa"/>
              <w:end w:w="120" w:type="dxa"/>
            </w:tcMar>
            <w:vAlign w:val="center"/>
          </w:tcPr>
          <w:p>
            <w:pPr>
              <w:spacing w:before="0" w:after="0" w:line="240" w:lineRule="auto"/>
              <w:jc w:val="left"/>
              <w:keepLines/>
              <w:widowControl/>
            </w:pPr>
            <w:r>
              <w:rPr>
                <w:sz w:val="17"/>
              </w:rPr>
              <w:t>Launch readiness</w:t>
            </w:r>
          </w:p>
        </w:tc>
        <w:tc>
          <w:tcPr>
            <w:tcW w:type="dxa" w:w="6560"/>
            <w:tcMar>
              <w:top w:w="80" w:type="dxa"/>
              <w:start w:w="120" w:type="dxa"/>
              <w:bottom w:w="80" w:type="dxa"/>
              <w:end w:w="120" w:type="dxa"/>
            </w:tcMar>
            <w:vAlign w:val="center"/>
          </w:tcPr>
          <w:p>
            <w:pPr>
              <w:spacing w:before="0" w:after="0" w:line="240" w:lineRule="auto"/>
              <w:jc w:val="left"/>
              <w:keepLines/>
              <w:widowControl/>
            </w:pPr>
            <w:r>
              <w:rPr>
                <w:sz w:val="17"/>
              </w:rPr>
              <w:t>24 / 100 — no recoverable prototype, blind-test data, list, quote, or clearance</w:t>
            </w:r>
          </w:p>
        </w:tc>
      </w:tr>
      <w:tr>
        <w:trPr>
          <w:cantSplit/>
        </w:trPr>
        <w:tc>
          <w:tcPr>
            <w:tcW w:type="dxa" w:w="2800"/>
            <w:tcMar>
              <w:top w:w="80" w:type="dxa"/>
              <w:start w:w="120" w:type="dxa"/>
              <w:bottom w:w="80" w:type="dxa"/>
              <w:end w:w="120" w:type="dxa"/>
            </w:tcMar>
            <w:vAlign w:val="center"/>
          </w:tcPr>
          <w:p>
            <w:pPr>
              <w:spacing w:before="0" w:after="0" w:line="240" w:lineRule="auto"/>
              <w:jc w:val="left"/>
              <w:keepLines/>
              <w:widowControl/>
            </w:pPr>
            <w:r>
              <w:rPr>
                <w:sz w:val="17"/>
              </w:rPr>
              <w:t>Recommended first capital</w:t>
            </w:r>
          </w:p>
        </w:tc>
        <w:tc>
          <w:tcPr>
            <w:tcW w:type="dxa" w:w="6560"/>
            <w:tcMar>
              <w:top w:w="80" w:type="dxa"/>
              <w:start w:w="120" w:type="dxa"/>
              <w:bottom w:w="80" w:type="dxa"/>
              <w:end w:w="120" w:type="dxa"/>
            </w:tcMar>
            <w:vAlign w:val="center"/>
          </w:tcPr>
          <w:p>
            <w:pPr>
              <w:spacing w:before="0" w:after="0" w:line="240" w:lineRule="auto"/>
              <w:jc w:val="left"/>
              <w:keepLines/>
              <w:widowControl/>
            </w:pPr>
            <w:r>
              <w:rPr>
                <w:sz w:val="17"/>
              </w:rPr>
              <w:t>$75,000 milestone-gated reserve</w:t>
            </w:r>
          </w:p>
        </w:tc>
      </w:tr>
      <w:tr>
        <w:trPr>
          <w:cantSplit/>
        </w:trPr>
        <w:tc>
          <w:tcPr>
            <w:tcW w:type="dxa" w:w="2800"/>
            <w:tcMar>
              <w:top w:w="80" w:type="dxa"/>
              <w:start w:w="120" w:type="dxa"/>
              <w:bottom w:w="80" w:type="dxa"/>
              <w:end w:w="120" w:type="dxa"/>
            </w:tcMar>
            <w:vAlign w:val="center"/>
          </w:tcPr>
          <w:p>
            <w:pPr>
              <w:spacing w:before="0" w:after="0" w:line="240" w:lineRule="auto"/>
              <w:jc w:val="left"/>
              <w:keepLines/>
              <w:widowControl/>
            </w:pPr>
            <w:r>
              <w:rPr>
                <w:sz w:val="17"/>
              </w:rPr>
              <w:t>Recommended campaign gate</w:t>
            </w:r>
          </w:p>
        </w:tc>
        <w:tc>
          <w:tcPr>
            <w:tcW w:type="dxa" w:w="6560"/>
            <w:tcMar>
              <w:top w:w="80" w:type="dxa"/>
              <w:start w:w="120" w:type="dxa"/>
              <w:bottom w:w="80" w:type="dxa"/>
              <w:end w:w="120" w:type="dxa"/>
            </w:tcMar>
            <w:vAlign w:val="center"/>
          </w:tcPr>
          <w:p>
            <w:pPr>
              <w:spacing w:before="0" w:after="0" w:line="240" w:lineRule="auto"/>
              <w:jc w:val="left"/>
              <w:keepLines/>
              <w:widowControl/>
            </w:pPr>
            <w:r>
              <w:rPr>
                <w:sz w:val="17"/>
              </w:rPr>
              <w:t>Do not launch until a $60,000 product-pledge goal is supported by measurable prelaunch demand</w:t>
            </w:r>
          </w:p>
        </w:tc>
      </w:tr>
      <w:tr>
        <w:trPr>
          <w:cantSplit/>
        </w:trPr>
        <w:tc>
          <w:tcPr>
            <w:tcW w:type="dxa" w:w="2800"/>
            <w:tcMar>
              <w:top w:w="80" w:type="dxa"/>
              <w:start w:w="120" w:type="dxa"/>
              <w:bottom w:w="80" w:type="dxa"/>
              <w:end w:w="120" w:type="dxa"/>
            </w:tcMar>
            <w:vAlign w:val="center"/>
          </w:tcPr>
          <w:p>
            <w:pPr>
              <w:spacing w:before="0" w:after="0" w:line="240" w:lineRule="auto"/>
              <w:jc w:val="left"/>
              <w:keepLines/>
              <w:widowControl/>
            </w:pPr>
            <w:r>
              <w:rPr>
                <w:sz w:val="17"/>
              </w:rPr>
              <w:t>Base-case operating break-even</w:t>
            </w:r>
          </w:p>
        </w:tc>
        <w:tc>
          <w:tcPr>
            <w:tcW w:type="dxa" w:w="6560"/>
            <w:tcMar>
              <w:top w:w="80" w:type="dxa"/>
              <w:start w:w="120" w:type="dxa"/>
              <w:bottom w:w="80" w:type="dxa"/>
              <w:end w:w="120" w:type="dxa"/>
            </w:tcMar>
            <w:vAlign w:val="center"/>
          </w:tcPr>
          <w:p>
            <w:pPr>
              <w:spacing w:before="0" w:after="0" w:line="240" w:lineRule="auto"/>
              <w:jc w:val="left"/>
              <w:keepLines/>
              <w:widowControl/>
            </w:pPr>
            <w:r>
              <w:rPr>
                <w:sz w:val="17"/>
              </w:rPr>
              <w:t>2030 after modest founder compensation; 2029 before founder compensation</w:t>
            </w:r>
          </w:p>
        </w:tc>
      </w:tr>
      <w:tr>
        <w:trPr>
          <w:cantSplit/>
        </w:trPr>
        <w:tc>
          <w:tcPr>
            <w:tcW w:type="dxa" w:w="2800"/>
            <w:tcMar>
              <w:top w:w="80" w:type="dxa"/>
              <w:start w:w="120" w:type="dxa"/>
              <w:bottom w:w="80" w:type="dxa"/>
              <w:end w:w="120" w:type="dxa"/>
            </w:tcMar>
            <w:vAlign w:val="center"/>
          </w:tcPr>
          <w:p>
            <w:pPr>
              <w:spacing w:before="0" w:after="0" w:line="240" w:lineRule="auto"/>
              <w:jc w:val="left"/>
              <w:keepLines/>
              <w:widowControl/>
            </w:pPr>
            <w:r>
              <w:rPr>
                <w:sz w:val="17"/>
              </w:rPr>
              <w:t>Strategic posture</w:t>
            </w:r>
          </w:p>
        </w:tc>
        <w:tc>
          <w:tcPr>
            <w:tcW w:type="dxa" w:w="6560"/>
            <w:tcMar>
              <w:top w:w="80" w:type="dxa"/>
              <w:start w:w="120" w:type="dxa"/>
              <w:bottom w:w="80" w:type="dxa"/>
              <w:end w:w="120" w:type="dxa"/>
            </w:tcMar>
            <w:vAlign w:val="center"/>
          </w:tcPr>
          <w:p>
            <w:pPr>
              <w:spacing w:before="0" w:after="0" w:line="240" w:lineRule="auto"/>
              <w:jc w:val="left"/>
              <w:keepLines/>
              <w:widowControl/>
            </w:pPr>
            <w:r>
              <w:rPr>
                <w:sz w:val="17"/>
              </w:rPr>
              <w:t>Crowdfunding/DTC first; retail-compatible; one hero title before portfolio expansion</w:t>
            </w:r>
          </w:p>
        </w:tc>
      </w:tr>
      <w:tr>
        <w:trPr>
          <w:cantSplit/>
        </w:trPr>
        <w:tc>
          <w:tcPr>
            <w:tcW w:type="dxa" w:w="2800"/>
            <w:tcMar>
              <w:top w:w="80" w:type="dxa"/>
              <w:start w:w="120" w:type="dxa"/>
              <w:bottom w:w="80" w:type="dxa"/>
              <w:end w:w="120" w:type="dxa"/>
            </w:tcMar>
            <w:vAlign w:val="center"/>
          </w:tcPr>
          <w:p>
            <w:pPr>
              <w:spacing w:before="0" w:after="0" w:line="240" w:lineRule="auto"/>
              <w:jc w:val="left"/>
              <w:keepLines/>
              <w:widowControl/>
            </w:pPr>
            <w:r>
              <w:rPr>
                <w:sz w:val="17"/>
              </w:rPr>
              <w:t>Principal risks</w:t>
            </w:r>
          </w:p>
        </w:tc>
        <w:tc>
          <w:tcPr>
            <w:tcW w:type="dxa" w:w="6560"/>
            <w:tcMar>
              <w:top w:w="80" w:type="dxa"/>
              <w:start w:w="120" w:type="dxa"/>
              <w:bottom w:w="80" w:type="dxa"/>
              <w:end w:w="120" w:type="dxa"/>
            </w:tcMar>
            <w:vAlign w:val="center"/>
          </w:tcPr>
          <w:p>
            <w:pPr>
              <w:spacing w:before="0" w:after="0" w:line="240" w:lineRule="auto"/>
              <w:jc w:val="left"/>
              <w:keepLines/>
              <w:widowControl/>
            </w:pPr>
            <w:r>
              <w:rPr>
                <w:sz w:val="17"/>
              </w:rPr>
              <w:t>Product-market fit, attention, name clearance, tariff/landed cost, fulfillment, founder capacity</w:t>
            </w:r>
          </w:p>
        </w:tc>
      </w:tr>
    </w:tbl>
    <w:p>
      <w:pPr>
        <w:spacing w:after="0"/>
      </w:pPr>
    </w:p>
    <w:p>
      <w:pPr>
        <w:pStyle w:val="Heading1"/>
        <w:keepNext/>
        <w:keepLines/>
        <w:widowControl/>
      </w:pPr>
      <w:r>
        <w:t>3. Source Provenance and What Is Actually Known</w:t>
      </w:r>
    </w:p>
    <w:p>
      <w:pPr>
        <w:pStyle w:val="Heading2"/>
        <w:keepNext/>
        <w:keepLines/>
        <w:widowControl/>
      </w:pPr>
      <w:r>
        <w:t>3.1 Recovered facts</w:t>
      </w:r>
    </w:p>
    <w:p>
      <w:pPr>
        <w:numPr>
          <w:ilvl w:val="0"/>
          <w:numId w:val="10"/>
        </w:numPr>
        <w:spacing w:after="60" w:line="259" w:lineRule="auto"/>
        <w:keepLines/>
        <w:widowControl/>
      </w:pPr>
      <w:r>
        <w:t>Mr Wallaboo is intended as a board-game brand.</w:t>
      </w:r>
    </w:p>
    <w:p>
      <w:pPr>
        <w:numPr>
          <w:ilvl w:val="0"/>
          <w:numId w:val="10"/>
        </w:numPr>
        <w:spacing w:after="60" w:line="259" w:lineRule="auto"/>
        <w:keepLines/>
        <w:widowControl/>
      </w:pPr>
      <w:r>
        <w:t>Dan and Micah Trezise are founders/designers; games may be solo or collaborative.</w:t>
      </w:r>
    </w:p>
    <w:p>
      <w:pPr>
        <w:numPr>
          <w:ilvl w:val="0"/>
          <w:numId w:val="10"/>
        </w:numPr>
        <w:spacing w:after="60" w:line="259" w:lineRule="auto"/>
        <w:keepLines/>
        <w:widowControl/>
      </w:pPr>
      <w:r>
        <w:t>The working pipeline stages are Concept, Prototype, Playtesting, Blind Testing, Pre-Production, and Manufacturing Ready.</w:t>
      </w:r>
    </w:p>
    <w:p>
      <w:pPr>
        <w:numPr>
          <w:ilvl w:val="0"/>
          <w:numId w:val="10"/>
        </w:numPr>
        <w:spacing w:after="60" w:line="259" w:lineRule="auto"/>
        <w:keepLines/>
        <w:widowControl/>
      </w:pPr>
      <w:r>
        <w:t>The master source contemplates party, family-strategy, hobby, heavy-strategy, card-only, boxed, and expansion-driven games, but does not select among them.</w:t>
      </w:r>
    </w:p>
    <w:p>
      <w:pPr>
        <w:numPr>
          <w:ilvl w:val="0"/>
          <w:numId w:val="10"/>
        </w:numPr>
        <w:spacing w:after="60" w:line="259" w:lineRule="auto"/>
        <w:keepLines/>
        <w:widowControl/>
      </w:pPr>
      <w:r>
        <w:rPr>
          <w:i/>
        </w:rPr>
        <w:t>The Republic</w:t>
      </w:r>
      <w:r>
        <w:t xml:space="preserve"> exists as a concept about rising to power in 1930s Germany.</w:t>
      </w:r>
    </w:p>
    <w:p>
      <w:pPr>
        <w:numPr>
          <w:ilvl w:val="0"/>
          <w:numId w:val="10"/>
        </w:numPr>
        <w:spacing w:after="60" w:line="259" w:lineRule="auto"/>
        <w:keepLines/>
        <w:widowControl/>
      </w:pPr>
      <w:r>
        <w:t xml:space="preserve">Separate </w:t>
      </w:r>
      <w:r>
        <w:rPr>
          <w:i/>
        </w:rPr>
        <w:t>Micah's Games</w:t>
      </w:r>
      <w:r>
        <w:t xml:space="preserve"> and </w:t>
      </w:r>
      <w:r>
        <w:rPr>
          <w:i/>
        </w:rPr>
        <w:t>The Republic — Design Dossier</w:t>
      </w:r>
      <w:r>
        <w:t xml:space="preserve"> canvases were created, but their bodies are not visible in the supplied shares.</w:t>
      </w:r>
    </w:p>
    <w:p>
      <w:pPr>
        <w:pStyle w:val="Heading2"/>
        <w:keepNext/>
        <w:keepLines/>
        <w:widowControl/>
      </w:pPr>
      <w:r>
        <w:t>3.2 Research-based conclusions</w:t>
      </w:r>
    </w:p>
    <w:p>
      <w:pPr>
        <w:numPr>
          <w:ilvl w:val="0"/>
          <w:numId w:val="10"/>
        </w:numPr>
        <w:spacing w:after="60" w:line="259" w:lineRule="auto"/>
        <w:keepLines/>
        <w:widowControl/>
      </w:pPr>
      <w:r>
        <w:t>A narrow flagship is more financeable than a broad multi-genre slate.</w:t>
      </w:r>
    </w:p>
    <w:p>
      <w:pPr>
        <w:numPr>
          <w:ilvl w:val="0"/>
          <w:numId w:val="10"/>
        </w:numPr>
        <w:spacing w:after="60" w:line="259" w:lineRule="auto"/>
        <w:keepLines/>
        <w:widowControl/>
      </w:pPr>
      <w:r>
        <w:t>A paper/cardboard-heavy product is more practical for a first run than custom miniatures, plastic inserts, or molds.</w:t>
      </w:r>
    </w:p>
    <w:p>
      <w:pPr>
        <w:numPr>
          <w:ilvl w:val="0"/>
          <w:numId w:val="10"/>
        </w:numPr>
        <w:spacing w:after="60" w:line="259" w:lineRule="auto"/>
        <w:keepLines/>
        <w:widowControl/>
      </w:pPr>
      <w:r>
        <w:t>Direct sales improve gross margin, but retailer/distributor compatibility is required for durable scale.</w:t>
      </w:r>
    </w:p>
    <w:p>
      <w:pPr>
        <w:numPr>
          <w:ilvl w:val="0"/>
          <w:numId w:val="10"/>
        </w:numPr>
        <w:spacing w:after="60" w:line="259" w:lineRule="auto"/>
        <w:keepLines/>
        <w:widowControl/>
      </w:pPr>
      <w:r>
        <w:t>The brand must be professionally cleared before packaging, campaign spend, or filing. An established Dutch baby-products business already uses WALLABOO; different goods may coexist, but the finding raises clearance risk. [S16–S18]</w:t>
      </w:r>
    </w:p>
    <w:p>
      <w:pPr>
        <w:pStyle w:val="Heading2"/>
        <w:keepNext/>
        <w:keepLines/>
        <w:widowControl/>
      </w:pPr>
      <w:r>
        <w:t>3.3 Planning assumptions</w:t>
      </w:r>
    </w:p>
    <w:p>
      <w:pPr>
        <w:widowControl/>
      </w:pPr>
      <w:r>
        <w:t>All revenue, cost, timing, audience, and capital figures are illustrative assumptions until validated by a finished bill of materials, quotes, historical sales, and campaign data. The linked Excel model is the calculation authority.</w:t>
      </w:r>
    </w:p>
    <w:p>
      <w:pPr>
        <w:pStyle w:val="Heading2"/>
        <w:keepNext/>
        <w:keepLines/>
        <w:widowControl/>
      </w:pPr>
      <w:r>
        <w:t>3.4 Project roles and methods</w:t>
      </w:r>
    </w:p>
    <w:p>
      <w:pPr>
        <w:widowControl/>
      </w:pPr>
      <w:r>
        <w:t>This prospectus was developed through six coordinated operating roles:</w:t>
      </w:r>
    </w:p>
    <w:p>
      <w:pPr>
        <w:numPr>
          <w:ilvl w:val="0"/>
          <w:numId w:val="10"/>
        </w:numPr>
        <w:spacing w:after="60" w:line="259" w:lineRule="auto"/>
        <w:keepLines/>
        <w:widowControl/>
      </w:pPr>
      <w:r>
        <w:rPr>
          <w:b/>
        </w:rPr>
        <w:t>Source archivist and provenance lead:</w:t>
      </w:r>
      <w:r>
        <w:t xml:space="preserve"> recovered the supplied public shares, separated visible evidence from referenced-but-unavailable canvases, and preserved uncertainty.</w:t>
      </w:r>
    </w:p>
    <w:p>
      <w:pPr>
        <w:numPr>
          <w:ilvl w:val="0"/>
          <w:numId w:val="10"/>
        </w:numPr>
        <w:spacing w:after="60" w:line="259" w:lineRule="auto"/>
        <w:keepLines/>
        <w:widowControl/>
      </w:pPr>
      <w:r>
        <w:rPr>
          <w:b/>
        </w:rPr>
        <w:t>Tabletop market analyst:</w:t>
      </w:r>
      <w:r>
        <w:t xml:space="preserve"> evaluated market size, crowdfunding, competitors, channel economics, and the difference between category growth and the addressable indie opportunity.</w:t>
      </w:r>
    </w:p>
    <w:p>
      <w:pPr>
        <w:numPr>
          <w:ilvl w:val="0"/>
          <w:numId w:val="10"/>
        </w:numPr>
        <w:spacing w:after="60" w:line="259" w:lineRule="auto"/>
        <w:keepLines/>
        <w:widowControl/>
      </w:pPr>
      <w:r>
        <w:rPr>
          <w:b/>
        </w:rPr>
        <w:t>Product and manufacturing feasibility lead:</w:t>
      </w:r>
      <w:r>
        <w:t xml:space="preserve"> translated the open strategy into a testable flagship specification, stage gates, supplier pathway, quality controls, and fulfillment requirements.</w:t>
      </w:r>
    </w:p>
    <w:p>
      <w:pPr>
        <w:numPr>
          <w:ilvl w:val="0"/>
          <w:numId w:val="10"/>
        </w:numPr>
        <w:spacing w:after="60" w:line="259" w:lineRule="auto"/>
        <w:keepLines/>
        <w:widowControl/>
      </w:pPr>
      <w:r>
        <w:rPr>
          <w:b/>
        </w:rPr>
        <w:t>Financial modeler:</w:t>
      </w:r>
      <w:r>
        <w:t xml:space="preserve"> built the linked scenario model, unit economics, cash reserve, break-even analysis, and formula checks.</w:t>
      </w:r>
    </w:p>
    <w:p>
      <w:pPr>
        <w:numPr>
          <w:ilvl w:val="0"/>
          <w:numId w:val="10"/>
        </w:numPr>
        <w:spacing w:after="60" w:line="259" w:lineRule="auto"/>
        <w:keepLines/>
        <w:widowControl/>
      </w:pPr>
      <w:r>
        <w:rPr>
          <w:b/>
        </w:rPr>
        <w:t>Legal, compliance, and risk reviewer:</w:t>
      </w:r>
      <w:r>
        <w:t xml:space="preserve"> identified name-clearance, CPSC, contract, import, historical-content, and two-founder governance issues for professional follow-up.</w:t>
      </w:r>
    </w:p>
    <w:p>
      <w:pPr>
        <w:numPr>
          <w:ilvl w:val="0"/>
          <w:numId w:val="10"/>
        </w:numPr>
        <w:spacing w:after="60" w:line="259" w:lineRule="auto"/>
        <w:keepLines/>
        <w:widowControl/>
      </w:pPr>
      <w:r>
        <w:rPr>
          <w:b/>
        </w:rPr>
        <w:t>Prospectus editor:</w:t>
      </w:r>
      <w:r>
        <w:t xml:space="preserve"> integrated the evidence into one decision document with explicit go/no-go thresholds.</w:t>
      </w:r>
    </w:p>
    <w:p>
      <w:pPr>
        <w:widowControl/>
      </w:pPr>
      <w:r>
        <w:t>The corresponding applied skills were browser-based source analysis, professional document production, and scenario-driven spreadsheet modeling. These roles were performed as one coordinated workstream; external legal, tax, customs, insurance, accounting, and product-safety professionals are still required where identified.</w:t>
      </w:r>
    </w:p>
    <w:p>
      <w:pPr>
        <w:pStyle w:val="Heading1"/>
        <w:keepNext/>
        <w:keepLines/>
        <w:widowControl/>
      </w:pPr>
      <w:r>
        <w:t>4. Company and Brand Thesis</w:t>
      </w:r>
    </w:p>
    <w:p>
      <w:pPr>
        <w:pStyle w:val="Heading2"/>
        <w:keepNext/>
        <w:keepLines/>
        <w:widowControl/>
      </w:pPr>
      <w:r>
        <w:t>4.1 Proposed mission</w:t>
      </w:r>
    </w:p>
    <w:p>
      <w:pPr>
        <w:widowControl/>
      </w:pPr>
      <w:r>
        <w:t>Create original tabletop games that reward smart choices, invite repeat play, and feel distinctive without imposing unnecessary rules or component complexity.</w:t>
      </w:r>
    </w:p>
    <w:p>
      <w:pPr>
        <w:widowControl/>
      </w:pPr>
      <w:r>
        <w:t>This mission translates the working source's example pillars—accessibility, memorable worlds, replayability, table presence, and elegant mechanics—into a testable direction. It does not lock those examples as canon.</w:t>
      </w:r>
    </w:p>
    <w:p>
      <w:pPr>
        <w:pStyle w:val="Heading2"/>
        <w:keepNext/>
        <w:keepLines/>
        <w:widowControl/>
      </w:pPr>
      <w:r>
        <w:t>4.2 Brand promise</w:t>
      </w:r>
    </w:p>
    <w:p>
      <w:pPr>
        <w:widowControl/>
      </w:pPr>
      <w:r>
        <w:rPr>
          <w:b/>
        </w:rPr>
        <w:t>Easy to invite. Worth replaying. Distinctive on the table.</w:t>
      </w:r>
    </w:p>
    <w:p>
      <w:pPr>
        <w:widowControl/>
      </w:pPr>
      <w:r>
        <w:t>Every release should pass four filters:</w:t>
      </w:r>
    </w:p>
    <w:p>
      <w:pPr>
        <w:numPr>
          <w:ilvl w:val="0"/>
          <w:numId w:val="10"/>
        </w:numPr>
        <w:spacing w:after="60" w:line="259" w:lineRule="auto"/>
        <w:keepLines/>
        <w:widowControl/>
      </w:pPr>
      <w:r>
        <w:t>A new player can understand why the game is fun within five minutes.</w:t>
      </w:r>
    </w:p>
    <w:p>
      <w:pPr>
        <w:numPr>
          <w:ilvl w:val="0"/>
          <w:numId w:val="10"/>
        </w:numPr>
        <w:spacing w:after="60" w:line="259" w:lineRule="auto"/>
        <w:keepLines/>
        <w:widowControl/>
      </w:pPr>
      <w:r>
        <w:t>The first play completes within the advertised time range.</w:t>
      </w:r>
    </w:p>
    <w:p>
      <w:pPr>
        <w:numPr>
          <w:ilvl w:val="0"/>
          <w:numId w:val="10"/>
        </w:numPr>
        <w:spacing w:after="60" w:line="259" w:lineRule="auto"/>
        <w:keepLines/>
        <w:widowControl/>
      </w:pPr>
      <w:r>
        <w:t>Player choices produce a reason to play again.</w:t>
      </w:r>
    </w:p>
    <w:p>
      <w:pPr>
        <w:numPr>
          <w:ilvl w:val="0"/>
          <w:numId w:val="10"/>
        </w:numPr>
        <w:spacing w:after="60" w:line="259" w:lineRule="auto"/>
        <w:keepLines/>
        <w:widowControl/>
      </w:pPr>
      <w:r>
        <w:t>The product can be explained in one sentence and recognized across a room.</w:t>
      </w:r>
    </w:p>
    <w:p>
      <w:pPr>
        <w:pStyle w:val="Heading2"/>
        <w:keepNext/>
        <w:keepLines/>
        <w:widowControl/>
      </w:pPr>
      <w:r>
        <w:t>4.3 Portfolio architecture</w:t>
      </w:r>
    </w:p>
    <w:p>
      <w:pPr>
        <w:widowControl/>
      </w:pPr>
      <w:r>
        <w:t>Use one master brand and two internal development lanes, not two consumer-facing subbrands at launch:</w:t>
      </w:r>
    </w:p>
    <w:p>
      <w:pPr>
        <w:numPr>
          <w:ilvl w:val="0"/>
          <w:numId w:val="10"/>
        </w:numPr>
        <w:spacing w:after="60" w:line="259" w:lineRule="auto"/>
        <w:keepLines/>
        <w:widowControl/>
      </w:pPr>
      <w:r>
        <w:rPr>
          <w:b/>
        </w:rPr>
        <w:t>Accessible lane:</w:t>
      </w:r>
      <w:r>
        <w:t xml:space="preserve"> compact party, family, and gateway-strategy games; the recommended launch lane.</w:t>
      </w:r>
    </w:p>
    <w:p>
      <w:pPr>
        <w:numPr>
          <w:ilvl w:val="0"/>
          <w:numId w:val="10"/>
        </w:numPr>
        <w:spacing w:after="60" w:line="259" w:lineRule="auto"/>
        <w:keepLines/>
        <w:widowControl/>
      </w:pPr>
      <w:r>
        <w:rPr>
          <w:b/>
        </w:rPr>
        <w:t>Deep-strategy lane:</w:t>
      </w:r>
      <w:r>
        <w:t xml:space="preserve"> longer, more demanding, or historically sensitive designs; </w:t>
      </w:r>
      <w:r>
        <w:rPr>
          <w:i/>
        </w:rPr>
        <w:t>The Republic</w:t>
      </w:r>
      <w:r>
        <w:t xml:space="preserve"> belongs here unless testing proves otherwise.</w:t>
      </w:r>
    </w:p>
    <w:p>
      <w:pPr>
        <w:widowControl/>
      </w:pPr>
      <w:r>
        <w:t>Consumer-facing subbrands should be created only after two successful releases establish a real need for navigation.</w:t>
      </w:r>
    </w:p>
    <w:p>
      <w:pPr>
        <w:pStyle w:val="Heading1"/>
        <w:keepNext/>
        <w:keepLines/>
        <w:widowControl/>
      </w:pPr>
      <w:r>
        <w:t>5. Product Strategy</w:t>
      </w:r>
    </w:p>
    <w:p>
      <w:pPr>
        <w:pStyle w:val="Heading2"/>
        <w:keepNext/>
        <w:keepLines/>
        <w:widowControl/>
      </w:pPr>
      <w:r>
        <w:t>5.1 Recommended flagship specification</w:t>
      </w:r>
    </w:p>
    <w:tbl>
      <w:tblPr>
        <w:tblStyle w:val="TableGrid"/>
        <w:jc w:val="center"/>
        <w:tblLook w:firstColumn="1" w:firstRow="1" w:lastColumn="0" w:lastRow="0" w:noHBand="0" w:noVBand="1" w:val="04A0"/>
        <w:tblW w:w="9360" w:type="dxa"/>
        <w:tblInd w:w="0" w:type="dxa"/>
        <w:tblLayout w:type="fixed"/>
        <w:tblBorders>
          <w:top w:val="single" w:sz="4" w:space="0" w:color="D4DCE3"/>
          <w:left w:val="single" w:sz="4" w:space="0" w:color="D4DCE3"/>
          <w:bottom w:val="single" w:sz="4" w:space="0" w:color="D4DCE3"/>
          <w:right w:val="single" w:sz="4" w:space="0" w:color="D4DCE3"/>
          <w:insideH w:val="single" w:sz="4" w:space="0" w:color="D4DCE3"/>
          <w:insideV w:val="single" w:sz="4" w:space="0" w:color="D4DCE3"/>
        </w:tblBorders>
      </w:tblPr>
      <w:tblGrid>
        <w:gridCol w:w="3100"/>
        <w:gridCol w:w="1700"/>
        <w:gridCol w:w="4560"/>
      </w:tblGrid>
      <w:tr>
        <w:trPr>
          <w:tblHeader w:val="true"/>
          <w:cantSplit/>
        </w:trPr>
        <w:tc>
          <w:tcPr>
            <w:tcW w:type="dxa" w:w="3100"/>
            <w:tcMar>
              <w:top w:w="80" w:type="dxa"/>
              <w:start w:w="120" w:type="dxa"/>
              <w:bottom w:w="80" w:type="dxa"/>
              <w:end w:w="120" w:type="dxa"/>
            </w:tcMar>
            <w:vAlign w:val="center"/>
            <w:shd w:fill="15324B"/>
          </w:tcPr>
          <w:p>
            <w:pPr>
              <w:spacing w:before="0" w:after="0" w:line="240" w:lineRule="auto"/>
              <w:jc w:val="center"/>
              <w:keepLines/>
              <w:widowControl/>
            </w:pPr>
            <w:r>
              <w:rPr>
                <w:b/>
                <w:color w:val="FFFFFF"/>
                <w:sz w:val="17"/>
              </w:rPr>
              <w:t>Attribute</w:t>
            </w:r>
          </w:p>
        </w:tc>
        <w:tc>
          <w:tcPr>
            <w:tcW w:type="dxa" w:w="1700"/>
            <w:tcMar>
              <w:top w:w="80" w:type="dxa"/>
              <w:start w:w="120" w:type="dxa"/>
              <w:bottom w:w="80" w:type="dxa"/>
              <w:end w:w="120" w:type="dxa"/>
            </w:tcMar>
            <w:vAlign w:val="center"/>
            <w:shd w:fill="15324B"/>
          </w:tcPr>
          <w:p>
            <w:pPr>
              <w:spacing w:before="0" w:after="0" w:line="240" w:lineRule="auto"/>
              <w:jc w:val="center"/>
              <w:keepLines/>
              <w:widowControl/>
            </w:pPr>
            <w:r>
              <w:rPr>
                <w:b/>
                <w:color w:val="FFFFFF"/>
                <w:sz w:val="17"/>
              </w:rPr>
              <w:t>Launch target</w:t>
            </w:r>
          </w:p>
        </w:tc>
        <w:tc>
          <w:tcPr>
            <w:tcW w:type="dxa" w:w="4560"/>
            <w:tcMar>
              <w:top w:w="80" w:type="dxa"/>
              <w:start w:w="120" w:type="dxa"/>
              <w:bottom w:w="80" w:type="dxa"/>
              <w:end w:w="120" w:type="dxa"/>
            </w:tcMar>
            <w:vAlign w:val="center"/>
            <w:shd w:fill="15324B"/>
          </w:tcPr>
          <w:p>
            <w:pPr>
              <w:spacing w:before="0" w:after="0" w:line="240" w:lineRule="auto"/>
              <w:jc w:val="center"/>
              <w:keepLines/>
              <w:widowControl/>
            </w:pPr>
            <w:r>
              <w:rPr>
                <w:b/>
                <w:color w:val="FFFFFF"/>
                <w:sz w:val="17"/>
              </w:rPr>
              <w:t>Rationale</w:t>
            </w:r>
          </w:p>
        </w:tc>
      </w:tr>
      <w:tr>
        <w:trPr>
          <w:cantSplit/>
        </w:trPr>
        <w:tc>
          <w:tcPr>
            <w:tcW w:type="dxa" w:w="3100"/>
            <w:tcMar>
              <w:top w:w="80" w:type="dxa"/>
              <w:start w:w="120" w:type="dxa"/>
              <w:bottom w:w="80" w:type="dxa"/>
              <w:end w:w="120" w:type="dxa"/>
            </w:tcMar>
            <w:vAlign w:val="center"/>
          </w:tcPr>
          <w:p>
            <w:pPr>
              <w:spacing w:before="0" w:after="0" w:line="240" w:lineRule="auto"/>
              <w:jc w:val="left"/>
              <w:keepLines/>
              <w:widowControl/>
            </w:pPr>
            <w:r>
              <w:rPr>
                <w:sz w:val="17"/>
              </w:rPr>
              <w:t>Format</w:t>
            </w:r>
          </w:p>
        </w:tc>
        <w:tc>
          <w:tcPr>
            <w:tcW w:type="dxa" w:w="1700"/>
            <w:tcMar>
              <w:top w:w="80" w:type="dxa"/>
              <w:start w:w="120" w:type="dxa"/>
              <w:bottom w:w="80" w:type="dxa"/>
              <w:end w:w="120" w:type="dxa"/>
            </w:tcMar>
            <w:vAlign w:val="center"/>
          </w:tcPr>
          <w:p>
            <w:pPr>
              <w:spacing w:before="0" w:after="0" w:line="240" w:lineRule="auto"/>
              <w:jc w:val="left"/>
              <w:keepLines/>
              <w:widowControl/>
            </w:pPr>
            <w:r>
              <w:rPr>
                <w:sz w:val="17"/>
              </w:rPr>
              <w:t>Cards, punchboard, stock dice/pawns, compact box</w:t>
            </w:r>
          </w:p>
        </w:tc>
        <w:tc>
          <w:tcPr>
            <w:tcW w:type="dxa" w:w="4560"/>
            <w:tcMar>
              <w:top w:w="80" w:type="dxa"/>
              <w:start w:w="120" w:type="dxa"/>
              <w:bottom w:w="80" w:type="dxa"/>
              <w:end w:w="120" w:type="dxa"/>
            </w:tcMar>
            <w:vAlign w:val="center"/>
          </w:tcPr>
          <w:p>
            <w:pPr>
              <w:spacing w:before="0" w:after="0" w:line="240" w:lineRule="auto"/>
              <w:jc w:val="left"/>
              <w:keepLines/>
              <w:widowControl/>
            </w:pPr>
            <w:r>
              <w:rPr>
                <w:sz w:val="17"/>
              </w:rPr>
              <w:t>Keeps MOQ and tooling risk manageable [S09–S12]</w:t>
            </w:r>
          </w:p>
        </w:tc>
      </w:tr>
      <w:tr>
        <w:trPr>
          <w:cantSplit/>
        </w:trPr>
        <w:tc>
          <w:tcPr>
            <w:tcW w:type="dxa" w:w="3100"/>
            <w:tcMar>
              <w:top w:w="80" w:type="dxa"/>
              <w:start w:w="120" w:type="dxa"/>
              <w:bottom w:w="80" w:type="dxa"/>
              <w:end w:w="120" w:type="dxa"/>
            </w:tcMar>
            <w:vAlign w:val="center"/>
          </w:tcPr>
          <w:p>
            <w:pPr>
              <w:spacing w:before="0" w:after="0" w:line="240" w:lineRule="auto"/>
              <w:jc w:val="left"/>
              <w:keepLines/>
              <w:widowControl/>
            </w:pPr>
            <w:r>
              <w:rPr>
                <w:sz w:val="17"/>
              </w:rPr>
              <w:t>MSRP</w:t>
            </w:r>
          </w:p>
        </w:tc>
        <w:tc>
          <w:tcPr>
            <w:tcW w:type="dxa" w:w="1700"/>
            <w:tcMar>
              <w:top w:w="80" w:type="dxa"/>
              <w:start w:w="120" w:type="dxa"/>
              <w:bottom w:w="80" w:type="dxa"/>
              <w:end w:w="120" w:type="dxa"/>
            </w:tcMar>
            <w:vAlign w:val="center"/>
          </w:tcPr>
          <w:p>
            <w:pPr>
              <w:spacing w:before="0" w:after="0" w:line="240" w:lineRule="auto"/>
              <w:jc w:val="left"/>
              <w:keepLines/>
              <w:widowControl/>
            </w:pPr>
            <w:r>
              <w:rPr>
                <w:sz w:val="17"/>
              </w:rPr>
              <w:t>$29–$39</w:t>
            </w:r>
          </w:p>
        </w:tc>
        <w:tc>
          <w:tcPr>
            <w:tcW w:type="dxa" w:w="4560"/>
            <w:tcMar>
              <w:top w:w="80" w:type="dxa"/>
              <w:start w:w="120" w:type="dxa"/>
              <w:bottom w:w="80" w:type="dxa"/>
              <w:end w:w="120" w:type="dxa"/>
            </w:tcMar>
            <w:vAlign w:val="center"/>
          </w:tcPr>
          <w:p>
            <w:pPr>
              <w:spacing w:before="0" w:after="0" w:line="240" w:lineRule="auto"/>
              <w:jc w:val="left"/>
              <w:keepLines/>
              <w:widowControl/>
            </w:pPr>
            <w:r>
              <w:rPr>
                <w:sz w:val="17"/>
              </w:rPr>
              <w:t>Supports DTC value while leaving a plausible wholesale margin</w:t>
            </w:r>
          </w:p>
        </w:tc>
      </w:tr>
      <w:tr>
        <w:trPr>
          <w:cantSplit/>
        </w:trPr>
        <w:tc>
          <w:tcPr>
            <w:tcW w:type="dxa" w:w="3100"/>
            <w:tcMar>
              <w:top w:w="80" w:type="dxa"/>
              <w:start w:w="120" w:type="dxa"/>
              <w:bottom w:w="80" w:type="dxa"/>
              <w:end w:w="120" w:type="dxa"/>
            </w:tcMar>
            <w:vAlign w:val="center"/>
          </w:tcPr>
          <w:p>
            <w:pPr>
              <w:spacing w:before="0" w:after="0" w:line="240" w:lineRule="auto"/>
              <w:jc w:val="left"/>
              <w:keepLines/>
              <w:widowControl/>
            </w:pPr>
            <w:r>
              <w:rPr>
                <w:sz w:val="17"/>
              </w:rPr>
              <w:t>Players</w:t>
            </w:r>
          </w:p>
        </w:tc>
        <w:tc>
          <w:tcPr>
            <w:tcW w:type="dxa" w:w="1700"/>
            <w:tcMar>
              <w:top w:w="80" w:type="dxa"/>
              <w:start w:w="120" w:type="dxa"/>
              <w:bottom w:w="80" w:type="dxa"/>
              <w:end w:w="120" w:type="dxa"/>
            </w:tcMar>
            <w:vAlign w:val="center"/>
          </w:tcPr>
          <w:p>
            <w:pPr>
              <w:spacing w:before="0" w:after="0" w:line="240" w:lineRule="auto"/>
              <w:jc w:val="left"/>
              <w:keepLines/>
              <w:widowControl/>
            </w:pPr>
            <w:r>
              <w:rPr>
                <w:sz w:val="17"/>
              </w:rPr>
              <w:t>2–5</w:t>
            </w:r>
          </w:p>
        </w:tc>
        <w:tc>
          <w:tcPr>
            <w:tcW w:type="dxa" w:w="4560"/>
            <w:tcMar>
              <w:top w:w="80" w:type="dxa"/>
              <w:start w:w="120" w:type="dxa"/>
              <w:bottom w:w="80" w:type="dxa"/>
              <w:end w:w="120" w:type="dxa"/>
            </w:tcMar>
            <w:vAlign w:val="center"/>
          </w:tcPr>
          <w:p>
            <w:pPr>
              <w:spacing w:before="0" w:after="0" w:line="240" w:lineRule="auto"/>
              <w:jc w:val="left"/>
              <w:keepLines/>
              <w:widowControl/>
            </w:pPr>
            <w:r>
              <w:rPr>
                <w:sz w:val="17"/>
              </w:rPr>
              <w:t>Covers couples, families, and small game groups</w:t>
            </w:r>
          </w:p>
        </w:tc>
      </w:tr>
      <w:tr>
        <w:trPr>
          <w:cantSplit/>
        </w:trPr>
        <w:tc>
          <w:tcPr>
            <w:tcW w:type="dxa" w:w="3100"/>
            <w:tcMar>
              <w:top w:w="80" w:type="dxa"/>
              <w:start w:w="120" w:type="dxa"/>
              <w:bottom w:w="80" w:type="dxa"/>
              <w:end w:w="120" w:type="dxa"/>
            </w:tcMar>
            <w:vAlign w:val="center"/>
          </w:tcPr>
          <w:p>
            <w:pPr>
              <w:spacing w:before="0" w:after="0" w:line="240" w:lineRule="auto"/>
              <w:jc w:val="left"/>
              <w:keepLines/>
              <w:widowControl/>
            </w:pPr>
            <w:r>
              <w:rPr>
                <w:sz w:val="17"/>
              </w:rPr>
              <w:t>Playtime</w:t>
            </w:r>
          </w:p>
        </w:tc>
        <w:tc>
          <w:tcPr>
            <w:tcW w:type="dxa" w:w="1700"/>
            <w:tcMar>
              <w:top w:w="80" w:type="dxa"/>
              <w:start w:w="120" w:type="dxa"/>
              <w:bottom w:w="80" w:type="dxa"/>
              <w:end w:w="120" w:type="dxa"/>
            </w:tcMar>
            <w:vAlign w:val="center"/>
          </w:tcPr>
          <w:p>
            <w:pPr>
              <w:spacing w:before="0" w:after="0" w:line="240" w:lineRule="auto"/>
              <w:jc w:val="left"/>
              <w:keepLines/>
              <w:widowControl/>
            </w:pPr>
            <w:r>
              <w:rPr>
                <w:sz w:val="17"/>
              </w:rPr>
              <w:t>20–45 minutes</w:t>
            </w:r>
          </w:p>
        </w:tc>
        <w:tc>
          <w:tcPr>
            <w:tcW w:type="dxa" w:w="4560"/>
            <w:tcMar>
              <w:top w:w="80" w:type="dxa"/>
              <w:start w:w="120" w:type="dxa"/>
              <w:bottom w:w="80" w:type="dxa"/>
              <w:end w:w="120" w:type="dxa"/>
            </w:tcMar>
            <w:vAlign w:val="center"/>
          </w:tcPr>
          <w:p>
            <w:pPr>
              <w:spacing w:before="0" w:after="0" w:line="240" w:lineRule="auto"/>
              <w:jc w:val="left"/>
              <w:keepLines/>
              <w:widowControl/>
            </w:pPr>
            <w:r>
              <w:rPr>
                <w:sz w:val="17"/>
              </w:rPr>
              <w:t>Easier demonstrations, reviews, and repeat sessions</w:t>
            </w:r>
          </w:p>
        </w:tc>
      </w:tr>
      <w:tr>
        <w:trPr>
          <w:cantSplit/>
        </w:trPr>
        <w:tc>
          <w:tcPr>
            <w:tcW w:type="dxa" w:w="3100"/>
            <w:tcMar>
              <w:top w:w="80" w:type="dxa"/>
              <w:start w:w="120" w:type="dxa"/>
              <w:bottom w:w="80" w:type="dxa"/>
              <w:end w:w="120" w:type="dxa"/>
            </w:tcMar>
            <w:vAlign w:val="center"/>
          </w:tcPr>
          <w:p>
            <w:pPr>
              <w:spacing w:before="0" w:after="0" w:line="240" w:lineRule="auto"/>
              <w:jc w:val="left"/>
              <w:keepLines/>
              <w:widowControl/>
            </w:pPr>
            <w:r>
              <w:rPr>
                <w:sz w:val="17"/>
              </w:rPr>
              <w:t>Age position</w:t>
            </w:r>
          </w:p>
        </w:tc>
        <w:tc>
          <w:tcPr>
            <w:tcW w:type="dxa" w:w="1700"/>
            <w:tcMar>
              <w:top w:w="80" w:type="dxa"/>
              <w:start w:w="120" w:type="dxa"/>
              <w:bottom w:w="80" w:type="dxa"/>
              <w:end w:w="120" w:type="dxa"/>
            </w:tcMar>
            <w:vAlign w:val="center"/>
          </w:tcPr>
          <w:p>
            <w:pPr>
              <w:spacing w:before="0" w:after="0" w:line="240" w:lineRule="auto"/>
              <w:jc w:val="left"/>
              <w:keepLines/>
              <w:widowControl/>
            </w:pPr>
            <w:r>
              <w:rPr>
                <w:sz w:val="17"/>
              </w:rPr>
              <w:t>10+/12+ only if compliance plan supports it; otherwise design and market honestly for 14+</w:t>
            </w:r>
          </w:p>
        </w:tc>
        <w:tc>
          <w:tcPr>
            <w:tcW w:type="dxa" w:w="4560"/>
            <w:tcMar>
              <w:top w:w="80" w:type="dxa"/>
              <w:start w:w="120" w:type="dxa"/>
              <w:bottom w:w="80" w:type="dxa"/>
              <w:end w:w="120" w:type="dxa"/>
            </w:tcMar>
            <w:vAlign w:val="center"/>
          </w:tcPr>
          <w:p>
            <w:pPr>
              <w:spacing w:before="0" w:after="0" w:line="240" w:lineRule="auto"/>
              <w:jc w:val="left"/>
              <w:keepLines/>
              <w:widowControl/>
            </w:pPr>
            <w:r>
              <w:rPr>
                <w:sz w:val="17"/>
              </w:rPr>
              <w:t>Age grading affects CPSC obligations [S14–S15]</w:t>
            </w:r>
          </w:p>
        </w:tc>
      </w:tr>
      <w:tr>
        <w:trPr>
          <w:cantSplit/>
        </w:trPr>
        <w:tc>
          <w:tcPr>
            <w:tcW w:type="dxa" w:w="3100"/>
            <w:tcMar>
              <w:top w:w="80" w:type="dxa"/>
              <w:start w:w="120" w:type="dxa"/>
              <w:bottom w:w="80" w:type="dxa"/>
              <w:end w:w="120" w:type="dxa"/>
            </w:tcMar>
            <w:vAlign w:val="center"/>
          </w:tcPr>
          <w:p>
            <w:pPr>
              <w:spacing w:before="0" w:after="0" w:line="240" w:lineRule="auto"/>
              <w:jc w:val="left"/>
              <w:keepLines/>
              <w:widowControl/>
            </w:pPr>
            <w:r>
              <w:rPr>
                <w:sz w:val="17"/>
              </w:rPr>
              <w:t>Complexity</w:t>
            </w:r>
          </w:p>
        </w:tc>
        <w:tc>
          <w:tcPr>
            <w:tcW w:type="dxa" w:w="1700"/>
            <w:tcMar>
              <w:top w:w="80" w:type="dxa"/>
              <w:start w:w="120" w:type="dxa"/>
              <w:bottom w:w="80" w:type="dxa"/>
              <w:end w:w="120" w:type="dxa"/>
            </w:tcMar>
            <w:vAlign w:val="center"/>
          </w:tcPr>
          <w:p>
            <w:pPr>
              <w:spacing w:before="0" w:after="0" w:line="240" w:lineRule="auto"/>
              <w:jc w:val="left"/>
              <w:keepLines/>
              <w:widowControl/>
            </w:pPr>
            <w:r>
              <w:rPr>
                <w:sz w:val="17"/>
              </w:rPr>
              <w:t>Gateway to light-medium</w:t>
            </w:r>
          </w:p>
        </w:tc>
        <w:tc>
          <w:tcPr>
            <w:tcW w:type="dxa" w:w="4560"/>
            <w:tcMar>
              <w:top w:w="80" w:type="dxa"/>
              <w:start w:w="120" w:type="dxa"/>
              <w:bottom w:w="80" w:type="dxa"/>
              <w:end w:w="120" w:type="dxa"/>
            </w:tcMar>
            <w:vAlign w:val="center"/>
          </w:tcPr>
          <w:p>
            <w:pPr>
              <w:spacing w:before="0" w:after="0" w:line="240" w:lineRule="auto"/>
              <w:jc w:val="left"/>
              <w:keepLines/>
              <w:widowControl/>
            </w:pPr>
            <w:r>
              <w:rPr>
                <w:sz w:val="17"/>
              </w:rPr>
              <w:t>Matches the proposed brand promise and widens test recruitment</w:t>
            </w:r>
          </w:p>
        </w:tc>
      </w:tr>
      <w:tr>
        <w:trPr>
          <w:cantSplit/>
        </w:trPr>
        <w:tc>
          <w:tcPr>
            <w:tcW w:type="dxa" w:w="3100"/>
            <w:tcMar>
              <w:top w:w="80" w:type="dxa"/>
              <w:start w:w="120" w:type="dxa"/>
              <w:bottom w:w="80" w:type="dxa"/>
              <w:end w:w="120" w:type="dxa"/>
            </w:tcMar>
            <w:vAlign w:val="center"/>
          </w:tcPr>
          <w:p>
            <w:pPr>
              <w:spacing w:before="0" w:after="0" w:line="240" w:lineRule="auto"/>
              <w:jc w:val="left"/>
              <w:keepLines/>
              <w:widowControl/>
            </w:pPr>
            <w:r>
              <w:rPr>
                <w:sz w:val="17"/>
              </w:rPr>
              <w:t>Differentiator</w:t>
            </w:r>
          </w:p>
        </w:tc>
        <w:tc>
          <w:tcPr>
            <w:tcW w:type="dxa" w:w="1700"/>
            <w:tcMar>
              <w:top w:w="80" w:type="dxa"/>
              <w:start w:w="120" w:type="dxa"/>
              <w:bottom w:w="80" w:type="dxa"/>
              <w:end w:w="120" w:type="dxa"/>
            </w:tcMar>
            <w:vAlign w:val="center"/>
          </w:tcPr>
          <w:p>
            <w:pPr>
              <w:spacing w:before="0" w:after="0" w:line="240" w:lineRule="auto"/>
              <w:jc w:val="left"/>
              <w:keepLines/>
              <w:widowControl/>
            </w:pPr>
            <w:r>
              <w:rPr>
                <w:sz w:val="17"/>
              </w:rPr>
              <w:t>One visible mechanical hook plus one memorable world/character hook</w:t>
            </w:r>
          </w:p>
        </w:tc>
        <w:tc>
          <w:tcPr>
            <w:tcW w:type="dxa" w:w="4560"/>
            <w:tcMar>
              <w:top w:w="80" w:type="dxa"/>
              <w:start w:w="120" w:type="dxa"/>
              <w:bottom w:w="80" w:type="dxa"/>
              <w:end w:w="120" w:type="dxa"/>
            </w:tcMar>
            <w:vAlign w:val="center"/>
          </w:tcPr>
          <w:p>
            <w:pPr>
              <w:spacing w:before="0" w:after="0" w:line="240" w:lineRule="auto"/>
              <w:jc w:val="left"/>
              <w:keepLines/>
              <w:widowControl/>
            </w:pPr>
            <w:r>
              <w:rPr>
                <w:sz w:val="17"/>
              </w:rPr>
              <w:t>Improves explainability and shelf/campaign communication</w:t>
            </w:r>
          </w:p>
        </w:tc>
      </w:tr>
      <w:tr>
        <w:trPr>
          <w:cantSplit/>
        </w:trPr>
        <w:tc>
          <w:tcPr>
            <w:tcW w:type="dxa" w:w="3100"/>
            <w:tcMar>
              <w:top w:w="80" w:type="dxa"/>
              <w:start w:w="120" w:type="dxa"/>
              <w:bottom w:w="80" w:type="dxa"/>
              <w:end w:w="120" w:type="dxa"/>
            </w:tcMar>
            <w:vAlign w:val="center"/>
          </w:tcPr>
          <w:p>
            <w:pPr>
              <w:spacing w:before="0" w:after="0" w:line="240" w:lineRule="auto"/>
              <w:jc w:val="left"/>
              <w:keepLines/>
              <w:widowControl/>
            </w:pPr>
            <w:r>
              <w:rPr>
                <w:sz w:val="17"/>
              </w:rPr>
              <w:t>Production</w:t>
            </w:r>
          </w:p>
        </w:tc>
        <w:tc>
          <w:tcPr>
            <w:tcW w:type="dxa" w:w="1700"/>
            <w:tcMar>
              <w:top w:w="80" w:type="dxa"/>
              <w:start w:w="120" w:type="dxa"/>
              <w:bottom w:w="80" w:type="dxa"/>
              <w:end w:w="120" w:type="dxa"/>
            </w:tcMar>
            <w:vAlign w:val="center"/>
          </w:tcPr>
          <w:p>
            <w:pPr>
              <w:spacing w:before="0" w:after="0" w:line="240" w:lineRule="auto"/>
              <w:jc w:val="left"/>
              <w:keepLines/>
              <w:widowControl/>
            </w:pPr>
            <w:r>
              <w:rPr>
                <w:sz w:val="17"/>
              </w:rPr>
              <w:t>No bespoke plastic molds in the first edition</w:t>
            </w:r>
          </w:p>
        </w:tc>
        <w:tc>
          <w:tcPr>
            <w:tcW w:type="dxa" w:w="4560"/>
            <w:tcMar>
              <w:top w:w="80" w:type="dxa"/>
              <w:start w:w="120" w:type="dxa"/>
              <w:bottom w:w="80" w:type="dxa"/>
              <w:end w:w="120" w:type="dxa"/>
            </w:tcMar>
            <w:vAlign w:val="center"/>
          </w:tcPr>
          <w:p>
            <w:pPr>
              <w:spacing w:before="0" w:after="0" w:line="240" w:lineRule="auto"/>
              <w:jc w:val="left"/>
              <w:keepLines/>
              <w:widowControl/>
            </w:pPr>
            <w:r>
              <w:rPr>
                <w:sz w:val="17"/>
              </w:rPr>
              <w:t>Avoids MOQ and capital escalation [S12]</w:t>
            </w:r>
          </w:p>
        </w:tc>
      </w:tr>
    </w:tbl>
    <w:p>
      <w:pPr>
        <w:spacing w:after="0"/>
      </w:pPr>
    </w:p>
    <w:p>
      <w:pPr>
        <w:pStyle w:val="Heading2"/>
        <w:keepNext/>
        <w:keepLines/>
        <w:widowControl/>
      </w:pPr>
      <w:r>
        <w:t>5.2 Stage gates</w:t>
      </w:r>
    </w:p>
    <w:p>
      <w:pPr>
        <w:numPr>
          <w:ilvl w:val="0"/>
          <w:numId w:val="12"/>
        </w:numPr>
        <w:spacing w:after="60" w:line="259" w:lineRule="auto"/>
        <w:keepLines/>
        <w:widowControl/>
      </w:pPr>
      <w:r>
        <w:rPr>
          <w:b/>
        </w:rPr>
        <w:t>Concept gate:</w:t>
      </w:r>
      <w:r>
        <w:t xml:space="preserve"> one-sentence hook, audience, playtime, and target cost approved by both founders.</w:t>
      </w:r>
    </w:p>
    <w:p>
      <w:pPr>
        <w:numPr>
          <w:ilvl w:val="0"/>
          <w:numId w:val="12"/>
        </w:numPr>
        <w:spacing w:after="60" w:line="259" w:lineRule="auto"/>
        <w:keepLines/>
        <w:widowControl/>
      </w:pPr>
      <w:r>
        <w:rPr>
          <w:b/>
        </w:rPr>
        <w:t>Prototype gate:</w:t>
      </w:r>
      <w:r>
        <w:t xml:space="preserve"> complete game loop works with inexpensive components; ten internal sessions logged.</w:t>
      </w:r>
    </w:p>
    <w:p>
      <w:pPr>
        <w:numPr>
          <w:ilvl w:val="0"/>
          <w:numId w:val="12"/>
        </w:numPr>
        <w:spacing w:after="60" w:line="259" w:lineRule="auto"/>
        <w:keepLines/>
        <w:widowControl/>
      </w:pPr>
      <w:r>
        <w:rPr>
          <w:b/>
        </w:rPr>
        <w:t>Playtest gate:</w:t>
      </w:r>
      <w:r>
        <w:t xml:space="preserve"> at least 30 observed external sessions across at least six groups; issues tracked by severity.</w:t>
      </w:r>
    </w:p>
    <w:p>
      <w:pPr>
        <w:numPr>
          <w:ilvl w:val="0"/>
          <w:numId w:val="12"/>
        </w:numPr>
        <w:spacing w:after="60" w:line="259" w:lineRule="auto"/>
        <w:keepLines/>
        <w:widowControl/>
      </w:pPr>
      <w:r>
        <w:rPr>
          <w:b/>
        </w:rPr>
        <w:t>Blind-test gate:</w:t>
      </w:r>
      <w:r>
        <w:t xml:space="preserve"> at least ten groups can learn from the rulebook without a founder; at least 80% finish within the stated time; no critical rules ambiguity remains.</w:t>
      </w:r>
    </w:p>
    <w:p>
      <w:pPr>
        <w:numPr>
          <w:ilvl w:val="0"/>
          <w:numId w:val="12"/>
        </w:numPr>
        <w:spacing w:after="60" w:line="259" w:lineRule="auto"/>
        <w:keepLines/>
        <w:widowControl/>
      </w:pPr>
      <w:r>
        <w:rPr>
          <w:b/>
        </w:rPr>
        <w:t>Commercial gate:</w:t>
      </w:r>
      <w:r>
        <w:t xml:space="preserve"> two comparable manufacturing quotes, fulfillment estimate, compliance classification, MSRP/wholesale margin check, and prelaunch demand threshold met.</w:t>
      </w:r>
    </w:p>
    <w:p>
      <w:pPr>
        <w:numPr>
          <w:ilvl w:val="0"/>
          <w:numId w:val="12"/>
        </w:numPr>
        <w:spacing w:after="60" w:line="259" w:lineRule="auto"/>
        <w:keepLines/>
        <w:widowControl/>
      </w:pPr>
      <w:r>
        <w:rPr>
          <w:b/>
        </w:rPr>
        <w:t>Manufacturing gate:</w:t>
      </w:r>
      <w:r>
        <w:t xml:space="preserve"> final files, signed approvals, quality-control plan, cash reserve, and contingency approved.</w:t>
      </w:r>
    </w:p>
    <w:p>
      <w:pPr>
        <w:widowControl/>
      </w:pPr>
      <w:r>
        <w:t>These are management thresholds, not industry statistics.</w:t>
      </w:r>
    </w:p>
    <w:p>
      <w:pPr>
        <w:pStyle w:val="Heading2"/>
        <w:keepNext/>
        <w:keepLines/>
        <w:widowControl/>
      </w:pPr>
      <w:r>
        <w:t>5.3 The Republic</w:t>
      </w:r>
    </w:p>
    <w:p>
      <w:pPr>
        <w:widowControl/>
      </w:pPr>
      <w:r>
        <w:rPr>
          <w:i/>
        </w:rPr>
        <w:t>The Republic</w:t>
      </w:r>
      <w:r>
        <w:t xml:space="preserve"> may become a distinctive adult historical-strategy title, but it should not carry the company's first-launch burden without evidence. Its premise creates four additional risks: longer development, historical accuracy and framing, platform/advertising sensitivity, and retailer/customer hesitation around extremist imagery or role-play. The project should remain </w:t>
      </w:r>
      <w:r>
        <w:rPr>
          <w:rFonts w:ascii="Consolas" w:hAnsi="Consolas"/>
          <w:color w:val="44515C"/>
          <w:sz w:val="18"/>
        </w:rPr>
        <w:t>WORKING</w:t>
      </w:r>
      <w:r>
        <w:t xml:space="preserve"> and be evaluated through a separate design-and-content review. No unrecovered mechanics are assumed in this prospectus.</w:t>
      </w:r>
    </w:p>
    <w:p>
      <w:pPr>
        <w:pStyle w:val="Heading1"/>
        <w:keepNext/>
        <w:keepLines/>
        <w:widowControl/>
      </w:pPr>
      <w:r>
        <w:t>6. Market Research</w:t>
      </w:r>
    </w:p>
    <w:p>
      <w:pPr>
        <w:pStyle w:val="Heading2"/>
        <w:keepNext/>
        <w:keepLines/>
        <w:widowControl/>
      </w:pPr>
      <w:r>
        <w:t>6.1 Market size with the right caveat</w:t>
      </w:r>
    </w:p>
    <w:p>
      <w:pPr>
        <w:spacing w:before="80" w:after="40"/>
        <w:jc w:val="center"/>
        <w:keepLines/>
        <w:widowControl/>
      </w:pPr>
      <w:r>
        <w:drawing>
          <wp:inline xmlns:a="http://schemas.openxmlformats.org/drawingml/2006/main" xmlns:pic="http://schemas.openxmlformats.org/drawingml/2006/picture">
            <wp:extent cx="5715000" cy="2653393"/>
            <wp:docPr id="1" name="Picture 1" descr="Figure 1. Context-only market measures; category definitions overlap and are not additive. Sources: S01, S03, S05."/>
            <wp:cNvGraphicFramePr>
              <a:graphicFrameLocks noChangeAspect="1"/>
            </wp:cNvGraphicFramePr>
            <a:graphic>
              <a:graphicData uri="http://schemas.openxmlformats.org/drawingml/2006/picture">
                <pic:pic>
                  <pic:nvPicPr>
                    <pic:cNvPr id="0" name="market_context.png"/>
                    <pic:cNvPicPr/>
                  </pic:nvPicPr>
                  <pic:blipFill>
                    <a:blip r:embed="rId11"/>
                    <a:stretch>
                      <a:fillRect/>
                    </a:stretch>
                  </pic:blipFill>
                  <pic:spPr>
                    <a:xfrm>
                      <a:off x="0" y="0"/>
                      <a:ext cx="5715000" cy="2653393"/>
                    </a:xfrm>
                    <a:prstGeom prst="rect"/>
                  </pic:spPr>
                </pic:pic>
              </a:graphicData>
            </a:graphic>
          </wp:inline>
        </w:drawing>
      </w:r>
    </w:p>
    <w:p>
      <w:pPr>
        <w:pStyle w:val="Caption"/>
        <w:spacing w:after="160"/>
        <w:jc w:val="center"/>
        <w:keepLines/>
        <w:widowControl/>
      </w:pPr>
      <w:r>
        <w:t>Figure 1. Context-only market measures; category definitions overlap and are not additive. Sources: S01, S03, S05.</w:t>
      </w:r>
    </w:p>
    <w:p>
      <w:pPr>
        <w:widowControl/>
      </w:pPr>
      <w:r>
        <w:t>The broad U.S. toy market generated $30.3 billion in tracked retail sales in 2025. Games/Puzzles was the largest supercategory at $4.9 billion, up 37%. Circana attributes the category surge primarily to Pokémon, so the number should be treated as an upper context boundary—not a serviceable market for an unknown original board game. [S01–S02]</w:t>
      </w:r>
    </w:p>
    <w:p>
      <w:pPr>
        <w:widowControl/>
      </w:pPr>
      <w:r>
        <w:t>ICv2 estimated the U.S./Canada hobby-games market at $3.66 billion in 2025, up 40%, but reported that trading-card games account for about two-thirds of hobby-game dollars while the other categories were flat or showed modest growth. Board-game publishers also faced tariff disruption and an unusually heavy flow of product. [S03]</w:t>
      </w:r>
    </w:p>
    <w:p>
      <w:pPr>
        <w:widowControl/>
      </w:pPr>
      <w:r>
        <w:t>The investable insight is not “the category is booming.” It is that consumers still spend heavily on social, collectible, and repeat-play products, but original board games must win attention one title at a time.</w:t>
      </w:r>
    </w:p>
    <w:p>
      <w:pPr>
        <w:pStyle w:val="Heading2"/>
        <w:keepNext/>
        <w:keepLines/>
        <w:widowControl/>
      </w:pPr>
      <w:r>
        <w:t>6.2 Crowdfunding</w:t>
      </w:r>
    </w:p>
    <w:p>
      <w:pPr>
        <w:widowControl/>
      </w:pPr>
      <w:r>
        <w:t>Kickstarter reported 6,646 tabletop projects launched in 2024, 5,314 funded, and $220 million pledged to successful tabletop campaigns. The 80% platform success rate includes established publishers, low-goal projects, RPGs, expansions, and small items; it must not be used as Wallaboo's probability of success. In 2025, tabletop project count rose while overall Kickstarter dollars declined, and Gamefound/BackerKit continued to compete for tabletop projects. [S05–S06]</w:t>
      </w:r>
    </w:p>
    <w:p>
      <w:pPr>
        <w:widowControl/>
      </w:pPr>
      <w:r>
        <w:t>Kickstarter charges a 5% platform fee and approximately 3%–5% payment processing. The financial model uses 9% combined. Shipping charged through a campaign can inflate the funding total and fee base; the campaign budget should separate product revenue, collected shipping, taxes, and fulfillment liabilities. [S07–S08]</w:t>
      </w:r>
    </w:p>
    <w:p>
      <w:pPr>
        <w:pStyle w:val="Heading2"/>
        <w:keepNext/>
        <w:keepLines/>
        <w:widowControl/>
      </w:pPr>
      <w:r>
        <w:t>6.3 Customer segments</w:t>
      </w:r>
    </w:p>
    <w:tbl>
      <w:tblPr>
        <w:tblStyle w:val="TableGrid"/>
        <w:jc w:val="center"/>
        <w:tblLook w:firstColumn="1" w:firstRow="1" w:lastColumn="0" w:lastRow="0" w:noHBand="0" w:noVBand="1" w:val="04A0"/>
        <w:tblW w:w="9360" w:type="dxa"/>
        <w:tblInd w:w="0" w:type="dxa"/>
        <w:tblLayout w:type="fixed"/>
        <w:tblBorders>
          <w:top w:val="single" w:sz="4" w:space="0" w:color="D4DCE3"/>
          <w:left w:val="single" w:sz="4" w:space="0" w:color="D4DCE3"/>
          <w:bottom w:val="single" w:sz="4" w:space="0" w:color="D4DCE3"/>
          <w:right w:val="single" w:sz="4" w:space="0" w:color="D4DCE3"/>
          <w:insideH w:val="single" w:sz="4" w:space="0" w:color="D4DCE3"/>
          <w:insideV w:val="single" w:sz="4" w:space="0" w:color="D4DCE3"/>
        </w:tblBorders>
      </w:tblPr>
      <w:tblGrid>
        <w:gridCol w:w="2200"/>
        <w:gridCol w:w="1600"/>
        <w:gridCol w:w="1900"/>
        <w:gridCol w:w="3660"/>
      </w:tblGrid>
      <w:tr>
        <w:trPr>
          <w:tblHeader w:val="true"/>
          <w:cantSplit/>
        </w:trPr>
        <w:tc>
          <w:tcPr>
            <w:tcW w:type="dxa" w:w="2200"/>
            <w:tcMar>
              <w:top w:w="80" w:type="dxa"/>
              <w:start w:w="120" w:type="dxa"/>
              <w:bottom w:w="80" w:type="dxa"/>
              <w:end w:w="120" w:type="dxa"/>
            </w:tcMar>
            <w:vAlign w:val="center"/>
            <w:shd w:fill="15324B"/>
          </w:tcPr>
          <w:p>
            <w:pPr>
              <w:spacing w:before="0" w:after="0" w:line="240" w:lineRule="auto"/>
              <w:jc w:val="center"/>
              <w:keepLines/>
              <w:widowControl/>
            </w:pPr>
            <w:r>
              <w:rPr>
                <w:b/>
                <w:color w:val="FFFFFF"/>
                <w:sz w:val="17"/>
              </w:rPr>
              <w:t>Segment</w:t>
            </w:r>
          </w:p>
        </w:tc>
        <w:tc>
          <w:tcPr>
            <w:tcW w:type="dxa" w:w="1600"/>
            <w:tcMar>
              <w:top w:w="80" w:type="dxa"/>
              <w:start w:w="120" w:type="dxa"/>
              <w:bottom w:w="80" w:type="dxa"/>
              <w:end w:w="120" w:type="dxa"/>
            </w:tcMar>
            <w:vAlign w:val="center"/>
            <w:shd w:fill="15324B"/>
          </w:tcPr>
          <w:p>
            <w:pPr>
              <w:spacing w:before="0" w:after="0" w:line="240" w:lineRule="auto"/>
              <w:jc w:val="center"/>
              <w:keepLines/>
              <w:widowControl/>
            </w:pPr>
            <w:r>
              <w:rPr>
                <w:b/>
                <w:color w:val="FFFFFF"/>
                <w:sz w:val="17"/>
              </w:rPr>
              <w:t>Need</w:t>
            </w:r>
          </w:p>
        </w:tc>
        <w:tc>
          <w:tcPr>
            <w:tcW w:type="dxa" w:w="1900"/>
            <w:tcMar>
              <w:top w:w="80" w:type="dxa"/>
              <w:start w:w="120" w:type="dxa"/>
              <w:bottom w:w="80" w:type="dxa"/>
              <w:end w:w="120" w:type="dxa"/>
            </w:tcMar>
            <w:vAlign w:val="center"/>
            <w:shd w:fill="15324B"/>
          </w:tcPr>
          <w:p>
            <w:pPr>
              <w:spacing w:before="0" w:after="0" w:line="240" w:lineRule="auto"/>
              <w:jc w:val="center"/>
              <w:keepLines/>
              <w:widowControl/>
            </w:pPr>
            <w:r>
              <w:rPr>
                <w:b/>
                <w:color w:val="FFFFFF"/>
                <w:sz w:val="17"/>
              </w:rPr>
              <w:t>Wallaboo entry message</w:t>
            </w:r>
          </w:p>
        </w:tc>
        <w:tc>
          <w:tcPr>
            <w:tcW w:type="dxa" w:w="3660"/>
            <w:tcMar>
              <w:top w:w="80" w:type="dxa"/>
              <w:start w:w="120" w:type="dxa"/>
              <w:bottom w:w="80" w:type="dxa"/>
              <w:end w:w="120" w:type="dxa"/>
            </w:tcMar>
            <w:vAlign w:val="center"/>
            <w:shd w:fill="15324B"/>
          </w:tcPr>
          <w:p>
            <w:pPr>
              <w:spacing w:before="0" w:after="0" w:line="240" w:lineRule="auto"/>
              <w:jc w:val="center"/>
              <w:keepLines/>
              <w:widowControl/>
            </w:pPr>
            <w:r>
              <w:rPr>
                <w:b/>
                <w:color w:val="FFFFFF"/>
                <w:sz w:val="17"/>
              </w:rPr>
              <w:t>Primary channel</w:t>
            </w:r>
          </w:p>
        </w:tc>
      </w:tr>
      <w:tr>
        <w:trPr>
          <w:cantSplit/>
        </w:trPr>
        <w:tc>
          <w:tcPr>
            <w:tcW w:type="dxa" w:w="2200"/>
            <w:tcMar>
              <w:top w:w="80" w:type="dxa"/>
              <w:start w:w="120" w:type="dxa"/>
              <w:bottom w:w="80" w:type="dxa"/>
              <w:end w:w="120" w:type="dxa"/>
            </w:tcMar>
            <w:vAlign w:val="center"/>
          </w:tcPr>
          <w:p>
            <w:pPr>
              <w:spacing w:before="0" w:after="0" w:line="240" w:lineRule="auto"/>
              <w:jc w:val="left"/>
              <w:keepLines/>
              <w:widowControl/>
            </w:pPr>
            <w:r>
              <w:rPr>
                <w:sz w:val="17"/>
              </w:rPr>
              <w:t>Social families and mixed-experience groups</w:t>
            </w:r>
          </w:p>
        </w:tc>
        <w:tc>
          <w:tcPr>
            <w:tcW w:type="dxa" w:w="1600"/>
            <w:tcMar>
              <w:top w:w="80" w:type="dxa"/>
              <w:start w:w="120" w:type="dxa"/>
              <w:bottom w:w="80" w:type="dxa"/>
              <w:end w:w="120" w:type="dxa"/>
            </w:tcMar>
            <w:vAlign w:val="center"/>
          </w:tcPr>
          <w:p>
            <w:pPr>
              <w:spacing w:before="0" w:after="0" w:line="240" w:lineRule="auto"/>
              <w:jc w:val="left"/>
              <w:keepLines/>
              <w:widowControl/>
            </w:pPr>
            <w:r>
              <w:rPr>
                <w:sz w:val="17"/>
              </w:rPr>
              <w:t>Fast teaching, reliable duration, replay value</w:t>
            </w:r>
          </w:p>
        </w:tc>
        <w:tc>
          <w:tcPr>
            <w:tcW w:type="dxa" w:w="1900"/>
            <w:tcMar>
              <w:top w:w="80" w:type="dxa"/>
              <w:start w:w="120" w:type="dxa"/>
              <w:bottom w:w="80" w:type="dxa"/>
              <w:end w:w="120" w:type="dxa"/>
            </w:tcMar>
            <w:vAlign w:val="center"/>
          </w:tcPr>
          <w:p>
            <w:pPr>
              <w:spacing w:before="0" w:after="0" w:line="240" w:lineRule="auto"/>
              <w:jc w:val="left"/>
              <w:keepLines/>
              <w:widowControl/>
            </w:pPr>
            <w:r>
              <w:rPr>
                <w:sz w:val="17"/>
              </w:rPr>
              <w:t>“A smart game everyone can join”</w:t>
            </w:r>
          </w:p>
        </w:tc>
        <w:tc>
          <w:tcPr>
            <w:tcW w:type="dxa" w:w="3660"/>
            <w:tcMar>
              <w:top w:w="80" w:type="dxa"/>
              <w:start w:w="120" w:type="dxa"/>
              <w:bottom w:w="80" w:type="dxa"/>
              <w:end w:w="120" w:type="dxa"/>
            </w:tcMar>
            <w:vAlign w:val="center"/>
          </w:tcPr>
          <w:p>
            <w:pPr>
              <w:spacing w:before="0" w:after="0" w:line="240" w:lineRule="auto"/>
              <w:jc w:val="left"/>
              <w:keepLines/>
              <w:widowControl/>
            </w:pPr>
            <w:r>
              <w:rPr>
                <w:sz w:val="17"/>
              </w:rPr>
              <w:t>DTC, gift, specialty retail</w:t>
            </w:r>
          </w:p>
        </w:tc>
      </w:tr>
      <w:tr>
        <w:trPr>
          <w:cantSplit/>
        </w:trPr>
        <w:tc>
          <w:tcPr>
            <w:tcW w:type="dxa" w:w="2200"/>
            <w:tcMar>
              <w:top w:w="80" w:type="dxa"/>
              <w:start w:w="120" w:type="dxa"/>
              <w:bottom w:w="80" w:type="dxa"/>
              <w:end w:w="120" w:type="dxa"/>
            </w:tcMar>
            <w:vAlign w:val="center"/>
          </w:tcPr>
          <w:p>
            <w:pPr>
              <w:spacing w:before="0" w:after="0" w:line="240" w:lineRule="auto"/>
              <w:jc w:val="left"/>
              <w:keepLines/>
              <w:widowControl/>
            </w:pPr>
            <w:r>
              <w:rPr>
                <w:sz w:val="17"/>
              </w:rPr>
              <w:t>Gateway hobby gamers</w:t>
            </w:r>
          </w:p>
        </w:tc>
        <w:tc>
          <w:tcPr>
            <w:tcW w:type="dxa" w:w="1600"/>
            <w:tcMar>
              <w:top w:w="80" w:type="dxa"/>
              <w:start w:w="120" w:type="dxa"/>
              <w:bottom w:w="80" w:type="dxa"/>
              <w:end w:w="120" w:type="dxa"/>
            </w:tcMar>
            <w:vAlign w:val="center"/>
          </w:tcPr>
          <w:p>
            <w:pPr>
              <w:spacing w:before="0" w:after="0" w:line="240" w:lineRule="auto"/>
              <w:jc w:val="left"/>
              <w:keepLines/>
              <w:widowControl/>
            </w:pPr>
            <w:r>
              <w:rPr>
                <w:sz w:val="17"/>
              </w:rPr>
              <w:t>A distinctive hook without a rules wall</w:t>
            </w:r>
          </w:p>
        </w:tc>
        <w:tc>
          <w:tcPr>
            <w:tcW w:type="dxa" w:w="1900"/>
            <w:tcMar>
              <w:top w:w="80" w:type="dxa"/>
              <w:start w:w="120" w:type="dxa"/>
              <w:bottom w:w="80" w:type="dxa"/>
              <w:end w:w="120" w:type="dxa"/>
            </w:tcMar>
            <w:vAlign w:val="center"/>
          </w:tcPr>
          <w:p>
            <w:pPr>
              <w:spacing w:before="0" w:after="0" w:line="240" w:lineRule="auto"/>
              <w:jc w:val="left"/>
              <w:keepLines/>
              <w:widowControl/>
            </w:pPr>
            <w:r>
              <w:rPr>
                <w:sz w:val="17"/>
              </w:rPr>
              <w:t>“Interesting choices in under 45 minutes”</w:t>
            </w:r>
          </w:p>
        </w:tc>
        <w:tc>
          <w:tcPr>
            <w:tcW w:type="dxa" w:w="3660"/>
            <w:tcMar>
              <w:top w:w="80" w:type="dxa"/>
              <w:start w:w="120" w:type="dxa"/>
              <w:bottom w:w="80" w:type="dxa"/>
              <w:end w:w="120" w:type="dxa"/>
            </w:tcMar>
            <w:vAlign w:val="center"/>
          </w:tcPr>
          <w:p>
            <w:pPr>
              <w:spacing w:before="0" w:after="0" w:line="240" w:lineRule="auto"/>
              <w:jc w:val="left"/>
              <w:keepLines/>
              <w:widowControl/>
            </w:pPr>
            <w:r>
              <w:rPr>
                <w:sz w:val="17"/>
              </w:rPr>
              <w:t>Kickstarter, reviewers, hobby stores</w:t>
            </w:r>
          </w:p>
        </w:tc>
      </w:tr>
      <w:tr>
        <w:trPr>
          <w:cantSplit/>
        </w:trPr>
        <w:tc>
          <w:tcPr>
            <w:tcW w:type="dxa" w:w="2200"/>
            <w:tcMar>
              <w:top w:w="80" w:type="dxa"/>
              <w:start w:w="120" w:type="dxa"/>
              <w:bottom w:w="80" w:type="dxa"/>
              <w:end w:w="120" w:type="dxa"/>
            </w:tcMar>
            <w:vAlign w:val="center"/>
          </w:tcPr>
          <w:p>
            <w:pPr>
              <w:spacing w:before="0" w:after="0" w:line="240" w:lineRule="auto"/>
              <w:jc w:val="left"/>
              <w:keepLines/>
              <w:widowControl/>
            </w:pPr>
            <w:r>
              <w:rPr>
                <w:sz w:val="17"/>
              </w:rPr>
              <w:t>Collectors / super-fans</w:t>
            </w:r>
          </w:p>
        </w:tc>
        <w:tc>
          <w:tcPr>
            <w:tcW w:type="dxa" w:w="1600"/>
            <w:tcMar>
              <w:top w:w="80" w:type="dxa"/>
              <w:start w:w="120" w:type="dxa"/>
              <w:bottom w:w="80" w:type="dxa"/>
              <w:end w:w="120" w:type="dxa"/>
            </w:tcMar>
            <w:vAlign w:val="center"/>
          </w:tcPr>
          <w:p>
            <w:pPr>
              <w:spacing w:before="0" w:after="0" w:line="240" w:lineRule="auto"/>
              <w:jc w:val="left"/>
              <w:keepLines/>
              <w:widowControl/>
            </w:pPr>
            <w:r>
              <w:rPr>
                <w:sz w:val="17"/>
              </w:rPr>
              <w:t>Creator story, limited extras, early access</w:t>
            </w:r>
          </w:p>
        </w:tc>
        <w:tc>
          <w:tcPr>
            <w:tcW w:type="dxa" w:w="1900"/>
            <w:tcMar>
              <w:top w:w="80" w:type="dxa"/>
              <w:start w:w="120" w:type="dxa"/>
              <w:bottom w:w="80" w:type="dxa"/>
              <w:end w:w="120" w:type="dxa"/>
            </w:tcMar>
            <w:vAlign w:val="center"/>
          </w:tcPr>
          <w:p>
            <w:pPr>
              <w:spacing w:before="0" w:after="0" w:line="240" w:lineRule="auto"/>
              <w:jc w:val="left"/>
              <w:keepLines/>
              <w:widowControl/>
            </w:pPr>
            <w:r>
              <w:rPr>
                <w:sz w:val="17"/>
              </w:rPr>
              <w:t>“Founders' edition without gameplay fragmentation”</w:t>
            </w:r>
          </w:p>
        </w:tc>
        <w:tc>
          <w:tcPr>
            <w:tcW w:type="dxa" w:w="3660"/>
            <w:tcMar>
              <w:top w:w="80" w:type="dxa"/>
              <w:start w:w="120" w:type="dxa"/>
              <w:bottom w:w="80" w:type="dxa"/>
              <w:end w:w="120" w:type="dxa"/>
            </w:tcMar>
            <w:vAlign w:val="center"/>
          </w:tcPr>
          <w:p>
            <w:pPr>
              <w:spacing w:before="0" w:after="0" w:line="240" w:lineRule="auto"/>
              <w:jc w:val="left"/>
              <w:keepLines/>
              <w:widowControl/>
            </w:pPr>
            <w:r>
              <w:rPr>
                <w:sz w:val="17"/>
              </w:rPr>
              <w:t>Crowdfunding, email, conventions</w:t>
            </w:r>
          </w:p>
        </w:tc>
      </w:tr>
      <w:tr>
        <w:trPr>
          <w:cantSplit/>
        </w:trPr>
        <w:tc>
          <w:tcPr>
            <w:tcW w:type="dxa" w:w="2200"/>
            <w:tcMar>
              <w:top w:w="80" w:type="dxa"/>
              <w:start w:w="120" w:type="dxa"/>
              <w:bottom w:w="80" w:type="dxa"/>
              <w:end w:w="120" w:type="dxa"/>
            </w:tcMar>
            <w:vAlign w:val="center"/>
          </w:tcPr>
          <w:p>
            <w:pPr>
              <w:spacing w:before="0" w:after="0" w:line="240" w:lineRule="auto"/>
              <w:jc w:val="left"/>
              <w:keepLines/>
              <w:widowControl/>
            </w:pPr>
            <w:r>
              <w:rPr>
                <w:sz w:val="17"/>
              </w:rPr>
              <w:t>Deep-strategy audience</w:t>
            </w:r>
          </w:p>
        </w:tc>
        <w:tc>
          <w:tcPr>
            <w:tcW w:type="dxa" w:w="1600"/>
            <w:tcMar>
              <w:top w:w="80" w:type="dxa"/>
              <w:start w:w="120" w:type="dxa"/>
              <w:bottom w:w="80" w:type="dxa"/>
              <w:end w:w="120" w:type="dxa"/>
            </w:tcMar>
            <w:vAlign w:val="center"/>
          </w:tcPr>
          <w:p>
            <w:pPr>
              <w:spacing w:before="0" w:after="0" w:line="240" w:lineRule="auto"/>
              <w:jc w:val="left"/>
              <w:keepLines/>
              <w:widowControl/>
            </w:pPr>
            <w:r>
              <w:rPr>
                <w:sz w:val="17"/>
              </w:rPr>
              <w:t>Historical or systems depth</w:t>
            </w:r>
          </w:p>
        </w:tc>
        <w:tc>
          <w:tcPr>
            <w:tcW w:type="dxa" w:w="1900"/>
            <w:tcMar>
              <w:top w:w="80" w:type="dxa"/>
              <w:start w:w="120" w:type="dxa"/>
              <w:bottom w:w="80" w:type="dxa"/>
              <w:end w:w="120" w:type="dxa"/>
            </w:tcMar>
            <w:vAlign w:val="center"/>
          </w:tcPr>
          <w:p>
            <w:pPr>
              <w:spacing w:before="0" w:after="0" w:line="240" w:lineRule="auto"/>
              <w:jc w:val="left"/>
              <w:keepLines/>
              <w:widowControl/>
            </w:pPr>
            <w:r>
              <w:rPr>
                <w:sz w:val="17"/>
              </w:rPr>
              <w:t xml:space="preserve">Separate positioning for </w:t>
            </w:r>
            <w:r>
              <w:rPr>
                <w:i/>
                <w:sz w:val="17"/>
              </w:rPr>
              <w:t>The Republic</w:t>
            </w:r>
            <w:r>
              <w:rPr>
                <w:sz w:val="17"/>
              </w:rPr>
              <w:t xml:space="preserve"> and later designs</w:t>
            </w:r>
          </w:p>
        </w:tc>
        <w:tc>
          <w:tcPr>
            <w:tcW w:type="dxa" w:w="3660"/>
            <w:tcMar>
              <w:top w:w="80" w:type="dxa"/>
              <w:start w:w="120" w:type="dxa"/>
              <w:bottom w:w="80" w:type="dxa"/>
              <w:end w:w="120" w:type="dxa"/>
            </w:tcMar>
            <w:vAlign w:val="center"/>
          </w:tcPr>
          <w:p>
            <w:pPr>
              <w:spacing w:before="0" w:after="0" w:line="240" w:lineRule="auto"/>
              <w:jc w:val="left"/>
              <w:keepLines/>
              <w:widowControl/>
            </w:pPr>
            <w:r>
              <w:rPr>
                <w:sz w:val="17"/>
              </w:rPr>
              <w:t>Hobby media, conventions, specialist crowdfunding</w:t>
            </w:r>
          </w:p>
        </w:tc>
      </w:tr>
    </w:tbl>
    <w:p>
      <w:pPr>
        <w:spacing w:after="0"/>
      </w:pPr>
    </w:p>
    <w:p>
      <w:pPr>
        <w:pStyle w:val="Heading2"/>
        <w:keepNext/>
        <w:keepLines/>
        <w:widowControl/>
      </w:pPr>
      <w:r>
        <w:t>6.4 Competitive reference models</w:t>
      </w:r>
    </w:p>
    <w:p>
      <w:pPr>
        <w:numPr>
          <w:ilvl w:val="0"/>
          <w:numId w:val="10"/>
        </w:numPr>
        <w:spacing w:after="60" w:line="259" w:lineRule="auto"/>
        <w:keepLines/>
        <w:widowControl/>
      </w:pPr>
      <w:r>
        <w:rPr>
          <w:b/>
        </w:rPr>
        <w:t>Focused micro-publisher:</w:t>
      </w:r>
      <w:r>
        <w:t xml:space="preserve"> Button Shy demonstrates how a strict physical format and frequent small releases can create identity and lower product risk. Wallaboo should borrow the focus, not the monthly cadence. [S21]</w:t>
      </w:r>
    </w:p>
    <w:p>
      <w:pPr>
        <w:numPr>
          <w:ilvl w:val="0"/>
          <w:numId w:val="10"/>
        </w:numPr>
        <w:spacing w:after="60" w:line="259" w:lineRule="auto"/>
        <w:keepLines/>
        <w:widowControl/>
      </w:pPr>
      <w:r>
        <w:rPr>
          <w:b/>
        </w:rPr>
        <w:t>Distinctive strategy studio:</w:t>
      </w:r>
      <w:r>
        <w:t xml:space="preserve"> Leder Games combines a recognizable design point of view, replayability, and holistic product/art development. Wallaboo cannot match its catalog initially but can emulate the discipline of one clear mechanical identity per title. [S22]</w:t>
      </w:r>
    </w:p>
    <w:p>
      <w:pPr>
        <w:numPr>
          <w:ilvl w:val="0"/>
          <w:numId w:val="10"/>
        </w:numPr>
        <w:spacing w:after="60" w:line="259" w:lineRule="auto"/>
        <w:keepLines/>
        <w:widowControl/>
      </w:pPr>
      <w:r>
        <w:rPr>
          <w:b/>
        </w:rPr>
        <w:t>Premium catalog publisher:</w:t>
      </w:r>
      <w:r>
        <w:t xml:space="preserve"> Stonemaier illustrates a broad price ladder, DTC infrastructure, expansions, and accessories. That is a mature-state reference, not a launch template. [S23]</w:t>
      </w:r>
    </w:p>
    <w:p>
      <w:pPr>
        <w:widowControl/>
      </w:pPr>
      <w:r>
        <w:t>Wallaboo's defendable position is not “another indie publisher.” It must become a trusted curator of a specific play experience. The proposed first position—approachable, clever, replayable, visually distinctive—is promising but still too broad until one product proves it.</w:t>
      </w:r>
    </w:p>
    <w:p>
      <w:pPr>
        <w:pStyle w:val="Heading1"/>
        <w:keepNext/>
        <w:keepLines/>
        <w:widowControl/>
      </w:pPr>
      <w:r>
        <w:t>7. Go-to-Market Plan</w:t>
      </w:r>
    </w:p>
    <w:p>
      <w:pPr>
        <w:pStyle w:val="Heading2"/>
        <w:keepNext/>
        <w:keepLines/>
        <w:widowControl/>
      </w:pPr>
      <w:r>
        <w:t>7.1 Channel sequence</w:t>
      </w:r>
    </w:p>
    <w:p>
      <w:pPr>
        <w:numPr>
          <w:ilvl w:val="0"/>
          <w:numId w:val="13"/>
        </w:numPr>
        <w:spacing w:after="60" w:line="259" w:lineRule="auto"/>
        <w:keepLines/>
        <w:widowControl/>
      </w:pPr>
      <w:r>
        <w:rPr>
          <w:b/>
        </w:rPr>
        <w:t>Audience development:</w:t>
      </w:r>
      <w:r>
        <w:t xml:space="preserve"> development diary, print-and-play signups, local/public tests, designer notes, and email capture.</w:t>
      </w:r>
    </w:p>
    <w:p>
      <w:pPr>
        <w:numPr>
          <w:ilvl w:val="0"/>
          <w:numId w:val="13"/>
        </w:numPr>
        <w:spacing w:after="60" w:line="259" w:lineRule="auto"/>
        <w:keepLines/>
        <w:widowControl/>
      </w:pPr>
      <w:r>
        <w:rPr>
          <w:b/>
        </w:rPr>
        <w:t>Proof campaign:</w:t>
      </w:r>
      <w:r>
        <w:t xml:space="preserve"> Kickstarter or comparable platform after audience gates; one core pledge, one premium bundle, limited add-ons.</w:t>
      </w:r>
    </w:p>
    <w:p>
      <w:pPr>
        <w:numPr>
          <w:ilvl w:val="0"/>
          <w:numId w:val="13"/>
        </w:numPr>
        <w:spacing w:after="60" w:line="259" w:lineRule="auto"/>
        <w:keepLines/>
        <w:widowControl/>
      </w:pPr>
      <w:r>
        <w:rPr>
          <w:b/>
        </w:rPr>
        <w:t>DTC continuity:</w:t>
      </w:r>
      <w:r>
        <w:t xml:space="preserve"> own email list and webstore for late pledges, replacement parts, and reorders.</w:t>
      </w:r>
    </w:p>
    <w:p>
      <w:pPr>
        <w:numPr>
          <w:ilvl w:val="0"/>
          <w:numId w:val="13"/>
        </w:numPr>
        <w:spacing w:after="60" w:line="259" w:lineRule="auto"/>
        <w:keepLines/>
        <w:widowControl/>
      </w:pPr>
      <w:r>
        <w:rPr>
          <w:b/>
        </w:rPr>
        <w:t>Retail-direct pilots:</w:t>
      </w:r>
      <w:r>
        <w:t xml:space="preserve"> 20–40 stores with low case packs, demo support, and reorder tracking.</w:t>
      </w:r>
    </w:p>
    <w:p>
      <w:pPr>
        <w:numPr>
          <w:ilvl w:val="0"/>
          <w:numId w:val="13"/>
        </w:numPr>
        <w:spacing w:after="60" w:line="259" w:lineRule="auto"/>
        <w:keepLines/>
        <w:widowControl/>
      </w:pPr>
      <w:r>
        <w:rPr>
          <w:b/>
        </w:rPr>
        <w:t>Distribution:</w:t>
      </w:r>
      <w:r>
        <w:t xml:space="preserve"> only after demonstrated sell-through and a landed cost that works at approximately 40% of MSRP. [S13]</w:t>
      </w:r>
    </w:p>
    <w:p>
      <w:pPr>
        <w:pStyle w:val="Heading2"/>
        <w:keepNext/>
        <w:keepLines/>
        <w:widowControl/>
      </w:pPr>
      <w:r>
        <w:t>7.2 Prelaunch metrics and gates</w:t>
      </w:r>
    </w:p>
    <w:p>
      <w:pPr>
        <w:widowControl/>
      </w:pPr>
      <w:r>
        <w:t>Do not launch based on follower count alone. Require:</w:t>
      </w:r>
    </w:p>
    <w:p>
      <w:pPr>
        <w:numPr>
          <w:ilvl w:val="0"/>
          <w:numId w:val="10"/>
        </w:numPr>
        <w:spacing w:after="60" w:line="259" w:lineRule="auto"/>
        <w:keepLines/>
        <w:widowControl/>
      </w:pPr>
      <w:r>
        <w:t>1,500 qualified prelaunch followers across owned email and platform followers.</w:t>
      </w:r>
    </w:p>
    <w:p>
      <w:pPr>
        <w:numPr>
          <w:ilvl w:val="0"/>
          <w:numId w:val="10"/>
        </w:numPr>
        <w:spacing w:after="60" w:line="259" w:lineRule="auto"/>
        <w:keepLines/>
        <w:widowControl/>
      </w:pPr>
      <w:r>
        <w:t>At least 600 opted-in email subscribers with tracked source and engagement.</w:t>
      </w:r>
    </w:p>
    <w:p>
      <w:pPr>
        <w:numPr>
          <w:ilvl w:val="0"/>
          <w:numId w:val="10"/>
        </w:numPr>
        <w:spacing w:after="60" w:line="259" w:lineRule="auto"/>
        <w:keepLines/>
        <w:widowControl/>
      </w:pPr>
      <w:r>
        <w:t>At least 150 completed public playtest sessions across the development period.</w:t>
      </w:r>
    </w:p>
    <w:p>
      <w:pPr>
        <w:numPr>
          <w:ilvl w:val="0"/>
          <w:numId w:val="10"/>
        </w:numPr>
        <w:spacing w:after="60" w:line="259" w:lineRule="auto"/>
        <w:keepLines/>
        <w:widowControl/>
      </w:pPr>
      <w:r>
        <w:t>At least 100 written intent-to-back responses or refundable reservations where lawful and platform-compliant.</w:t>
      </w:r>
    </w:p>
    <w:p>
      <w:pPr>
        <w:numPr>
          <w:ilvl w:val="0"/>
          <w:numId w:val="10"/>
        </w:numPr>
        <w:spacing w:after="60" w:line="259" w:lineRule="auto"/>
        <w:keepLines/>
        <w:widowControl/>
      </w:pPr>
      <w:r>
        <w:t>A day-one support plan representing at least 30% of the campaign goal.</w:t>
      </w:r>
    </w:p>
    <w:p>
      <w:pPr>
        <w:numPr>
          <w:ilvl w:val="0"/>
          <w:numId w:val="10"/>
        </w:numPr>
        <w:spacing w:after="60" w:line="259" w:lineRule="auto"/>
        <w:keepLines/>
        <w:widowControl/>
      </w:pPr>
      <w:r>
        <w:t>Two independent reviews/previews scheduled, with no paid-review influence over conclusions.</w:t>
      </w:r>
    </w:p>
    <w:p>
      <w:pPr>
        <w:widowControl/>
      </w:pPr>
      <w:r>
        <w:t>These are internal risk gates. They are intentionally stricter than simply opening a campaign page.</w:t>
      </w:r>
    </w:p>
    <w:p>
      <w:pPr>
        <w:pStyle w:val="Heading2"/>
        <w:keepNext/>
        <w:keepLines/>
        <w:widowControl/>
      </w:pPr>
      <w:r>
        <w:t>7.3 Marketing system</w:t>
      </w:r>
    </w:p>
    <w:p>
      <w:pPr>
        <w:widowControl/>
      </w:pPr>
      <w:r>
        <w:t>Use a founder-led content engine: one meaningful development update per week, one playtest/reviewer outreach batch per month, and quarterly public prototype milestones. Paid media should amplify proven creative, not discover the product's audience from scratch. The email list is the durable asset; platform followers are rented reach.</w:t>
      </w:r>
    </w:p>
    <w:p>
      <w:pPr>
        <w:pStyle w:val="Heading1"/>
        <w:keepNext/>
        <w:keepLines/>
        <w:widowControl/>
      </w:pPr>
      <w:r>
        <w:t>8. Operating and Manufacturing Plan</w:t>
      </w:r>
    </w:p>
    <w:p>
      <w:pPr>
        <w:pStyle w:val="Heading2"/>
        <w:keepNext/>
        <w:keepLines/>
        <w:widowControl/>
      </w:pPr>
      <w:r>
        <w:t>8.1 Build-versus-partner recommendation</w:t>
      </w:r>
    </w:p>
    <w:p>
      <w:pPr>
        <w:widowControl/>
      </w:pPr>
      <w:r>
        <w:t>Use a hybrid publishing model:</w:t>
      </w:r>
    </w:p>
    <w:p>
      <w:pPr>
        <w:numPr>
          <w:ilvl w:val="0"/>
          <w:numId w:val="10"/>
        </w:numPr>
        <w:spacing w:after="60" w:line="259" w:lineRule="auto"/>
        <w:keepLines/>
        <w:widowControl/>
      </w:pPr>
      <w:r>
        <w:t>Retain game IP, creative direction, brand, community, and commercial decisions.</w:t>
      </w:r>
    </w:p>
    <w:p>
      <w:pPr>
        <w:numPr>
          <w:ilvl w:val="0"/>
          <w:numId w:val="10"/>
        </w:numPr>
        <w:spacing w:after="60" w:line="259" w:lineRule="auto"/>
        <w:keepLines/>
        <w:widowControl/>
      </w:pPr>
      <w:r>
        <w:t>Contract specialist development/editing, illustration, graphic design, manufacturing, freight, fulfillment, accounting, and legal work.</w:t>
      </w:r>
    </w:p>
    <w:p>
      <w:pPr>
        <w:numPr>
          <w:ilvl w:val="0"/>
          <w:numId w:val="10"/>
        </w:numPr>
        <w:spacing w:after="60" w:line="259" w:lineRule="auto"/>
        <w:keepLines/>
        <w:widowControl/>
      </w:pPr>
      <w:r>
        <w:t>Do not hire fixed full-time staff until the catalog produces repeatable contribution margin.</w:t>
      </w:r>
    </w:p>
    <w:p>
      <w:pPr>
        <w:pStyle w:val="Heading2"/>
        <w:keepNext/>
        <w:keepLines/>
        <w:widowControl/>
      </w:pPr>
      <w:r>
        <w:t>8.2 Manufacturing economics</w:t>
      </w:r>
    </w:p>
    <w:p>
      <w:pPr>
        <w:widowControl/>
      </w:pPr>
      <w:r>
        <w:t>Public 2026 budgetary data indicates that a straightforward folding-board/card/token game may cost $8–$15 per unit at 1,500+ copies; one published sample was $10.60 at 1,000 copies and $14.28 at 500. PrintNinja's minimum is 500 games and Panda's is 1,500. A typical production-plus-ocean timeline can be 10–14 weeks after proof approval, before contingency. [S09–S11]</w:t>
      </w:r>
    </w:p>
    <w:p>
      <w:pPr>
        <w:widowControl/>
      </w:pPr>
      <w:r>
        <w:t>The base model begins at a $12.50 landed unit cost and declines to $9.25 as volume rises. “Landed” includes manufacturing, ordinary freight, duty/tariff reserve, inbound handling, and quality loss. This is a model assumption, not a quote.</w:t>
      </w:r>
    </w:p>
    <w:p>
      <w:pPr>
        <w:pStyle w:val="Heading2"/>
        <w:keepNext/>
        <w:keepLines/>
        <w:widowControl/>
      </w:pPr>
      <w:r>
        <w:t>8.3 Import policy</w:t>
      </w:r>
    </w:p>
    <w:p>
      <w:pPr>
        <w:widowControl/>
      </w:pPr>
      <w:r>
        <w:t>The U.S. imposed a temporary 10% import surcharge through July 24, 2026 unless modified or extended, while China-specific arrangements and legal authorities have changed repeatedly. The company should never price a campaign using a stale tariff snapshot. Every production approval needs a current customs classification, country-of-origin analysis, and downside quote. [S19–S20]</w:t>
      </w:r>
    </w:p>
    <w:p>
      <w:pPr>
        <w:pStyle w:val="Heading2"/>
        <w:keepNext/>
        <w:keepLines/>
        <w:widowControl/>
      </w:pPr>
      <w:r>
        <w:t>8.4 Quality and fulfillment</w:t>
      </w:r>
    </w:p>
    <w:p>
      <w:pPr>
        <w:numPr>
          <w:ilvl w:val="0"/>
          <w:numId w:val="10"/>
        </w:numPr>
        <w:spacing w:after="60" w:line="259" w:lineRule="auto"/>
        <w:keepLines/>
        <w:widowControl/>
      </w:pPr>
      <w:r>
        <w:t>Approve white sample, digital proof, and pre-production copy before mass production.</w:t>
      </w:r>
    </w:p>
    <w:p>
      <w:pPr>
        <w:numPr>
          <w:ilvl w:val="0"/>
          <w:numId w:val="10"/>
        </w:numPr>
        <w:spacing w:after="60" w:line="259" w:lineRule="auto"/>
        <w:keepLines/>
        <w:widowControl/>
      </w:pPr>
      <w:r>
        <w:t>Define acceptable-quality limits for color, registration, component counts, warping, and packaging damage.</w:t>
      </w:r>
    </w:p>
    <w:p>
      <w:pPr>
        <w:numPr>
          <w:ilvl w:val="0"/>
          <w:numId w:val="10"/>
        </w:numPr>
        <w:spacing w:after="60" w:line="259" w:lineRule="auto"/>
        <w:keepLines/>
        <w:widowControl/>
      </w:pPr>
      <w:r>
        <w:t>Hold 2%–3% replacement stock.</w:t>
      </w:r>
    </w:p>
    <w:p>
      <w:pPr>
        <w:numPr>
          <w:ilvl w:val="0"/>
          <w:numId w:val="10"/>
        </w:numPr>
        <w:spacing w:after="60" w:line="259" w:lineRule="auto"/>
        <w:keepLines/>
        <w:widowControl/>
      </w:pPr>
      <w:r>
        <w:t>Collect shipping after the campaign only if the pledge-manager economics and customer communication are explicit.</w:t>
      </w:r>
    </w:p>
    <w:p>
      <w:pPr>
        <w:numPr>
          <w:ilvl w:val="0"/>
          <w:numId w:val="10"/>
        </w:numPr>
        <w:spacing w:after="60" w:line="259" w:lineRule="auto"/>
        <w:keepLines/>
        <w:widowControl/>
      </w:pPr>
      <w:r>
        <w:t>Do not subsidize worldwide shipping without lane-level quotes.</w:t>
      </w:r>
    </w:p>
    <w:p>
      <w:pPr>
        <w:numPr>
          <w:ilvl w:val="0"/>
          <w:numId w:val="10"/>
        </w:numPr>
        <w:spacing w:after="60" w:line="259" w:lineRule="auto"/>
        <w:keepLines/>
        <w:widowControl/>
      </w:pPr>
      <w:r>
        <w:t>Require fulfillment data ownership, export access, and service-level reporting.</w:t>
      </w:r>
    </w:p>
    <w:p>
      <w:pPr>
        <w:pStyle w:val="Heading1"/>
        <w:keepNext/>
        <w:keepLines/>
        <w:widowControl/>
      </w:pPr>
      <w:r>
        <w:t>9. Regulatory, Legal, and Governance</w:t>
      </w:r>
    </w:p>
    <w:p>
      <w:pPr>
        <w:pStyle w:val="Heading2"/>
        <w:keepNext/>
        <w:keepLines/>
        <w:widowControl/>
      </w:pPr>
      <w:r>
        <w:t>9.1 Product classification</w:t>
      </w:r>
    </w:p>
    <w:p>
      <w:pPr>
        <w:widowControl/>
      </w:pPr>
      <w:r>
        <w:t>CPSC says traditional board/table games that appeal equally to children and adults may be general-use products; child-directed features, junior positioning, age, small parts, and marketing can change the classification. Toys intended primarily for children 12 and under generally require third-party testing and a Children's Product Certificate. [S14–S15]</w:t>
      </w:r>
    </w:p>
    <w:p>
      <w:pPr>
        <w:widowControl/>
      </w:pPr>
      <w:r>
        <w:t>Age grading must follow actual design and marketing, not be used as a label-only shortcut. Obtain a written compliance plan before final packaging.</w:t>
      </w:r>
    </w:p>
    <w:p>
      <w:pPr>
        <w:pStyle w:val="Heading2"/>
        <w:keepNext/>
        <w:keepLines/>
        <w:widowControl/>
      </w:pPr>
      <w:r>
        <w:t>9.2 Intellectual property</w:t>
      </w:r>
    </w:p>
    <w:p>
      <w:pPr>
        <w:widowControl/>
      </w:pPr>
      <w:r>
        <w:t>Before public launch:</w:t>
      </w:r>
    </w:p>
    <w:p>
      <w:pPr>
        <w:numPr>
          <w:ilvl w:val="0"/>
          <w:numId w:val="10"/>
        </w:numPr>
        <w:spacing w:after="60" w:line="259" w:lineRule="auto"/>
        <w:keepLines/>
        <w:widowControl/>
      </w:pPr>
      <w:r>
        <w:t>Complete professional federal, state, domain, marketplace, and common-law clearance for MR WALLABOO and WALLABOO-related marks.</w:t>
      </w:r>
    </w:p>
    <w:p>
      <w:pPr>
        <w:numPr>
          <w:ilvl w:val="0"/>
          <w:numId w:val="10"/>
        </w:numPr>
        <w:spacing w:after="60" w:line="259" w:lineRule="auto"/>
        <w:keepLines/>
        <w:widowControl/>
      </w:pPr>
      <w:r>
        <w:t>Resolve the existing Dutch WALLABOO brand finding with counsel; different goods do not eliminate all risk.</w:t>
      </w:r>
    </w:p>
    <w:p>
      <w:pPr>
        <w:numPr>
          <w:ilvl w:val="0"/>
          <w:numId w:val="10"/>
        </w:numPr>
        <w:spacing w:after="60" w:line="259" w:lineRule="auto"/>
        <w:keepLines/>
        <w:widowControl/>
      </w:pPr>
      <w:r>
        <w:t>Assign all founder-created game, art, text, and brand IP to the company under written agreements.</w:t>
      </w:r>
    </w:p>
    <w:p>
      <w:pPr>
        <w:numPr>
          <w:ilvl w:val="0"/>
          <w:numId w:val="10"/>
        </w:numPr>
        <w:spacing w:after="60" w:line="259" w:lineRule="auto"/>
        <w:keepLines/>
        <w:widowControl/>
      </w:pPr>
      <w:r>
        <w:t>Use contractor work-made-for-hire and assignment language.</w:t>
      </w:r>
    </w:p>
    <w:p>
      <w:pPr>
        <w:numPr>
          <w:ilvl w:val="0"/>
          <w:numId w:val="10"/>
        </w:numPr>
        <w:spacing w:after="60" w:line="259" w:lineRule="auto"/>
        <w:keepLines/>
        <w:widowControl/>
      </w:pPr>
      <w:r>
        <w:t>File only after the goods/services strategy is clear; the current USPTO base fee is $350 per class before legal and additional fees. [S16–S18]</w:t>
      </w:r>
    </w:p>
    <w:p>
      <w:pPr>
        <w:pStyle w:val="Heading2"/>
        <w:keepNext/>
        <w:keepLines/>
        <w:widowControl/>
      </w:pPr>
      <w:r>
        <w:t>9.3 Founder governance</w:t>
      </w:r>
    </w:p>
    <w:p>
      <w:pPr>
        <w:widowControl/>
      </w:pPr>
      <w:r>
        <w:t>Execute an operating/founders agreement before outside spend. It should address equity, cash contributions, time commitments, design credits, solo versus joint IP, approval thresholds, deadlock, departure, incapacity, expense authority, and treatment of archived concepts. A two-founder company needs a deadlock mechanism before it needs a logo.</w:t>
      </w:r>
    </w:p>
    <w:p>
      <w:pPr>
        <w:widowControl/>
      </w:pPr>
      <w:r>
        <w:t>Proposed operating roles, subject to founder agreement:</w:t>
      </w:r>
    </w:p>
    <w:p>
      <w:pPr>
        <w:numPr>
          <w:ilvl w:val="0"/>
          <w:numId w:val="10"/>
        </w:numPr>
        <w:spacing w:after="60" w:line="259" w:lineRule="auto"/>
        <w:keepLines/>
        <w:widowControl/>
      </w:pPr>
      <w:r>
        <w:rPr>
          <w:b/>
        </w:rPr>
        <w:t>Creative/Product Lead:</w:t>
      </w:r>
      <w:r>
        <w:t xml:space="preserve"> game vision, prototype ownership, playtest synthesis, design sign-off.</w:t>
      </w:r>
    </w:p>
    <w:p>
      <w:pPr>
        <w:numPr>
          <w:ilvl w:val="0"/>
          <w:numId w:val="10"/>
        </w:numPr>
        <w:spacing w:after="60" w:line="259" w:lineRule="auto"/>
        <w:keepLines/>
        <w:widowControl/>
      </w:pPr>
      <w:r>
        <w:rPr>
          <w:b/>
        </w:rPr>
        <w:t>Publishing/Operations Lead:</w:t>
      </w:r>
      <w:r>
        <w:t xml:space="preserve"> budget, schedules, suppliers, campaign, fulfillment, compliance coordination.</w:t>
      </w:r>
    </w:p>
    <w:p>
      <w:pPr>
        <w:numPr>
          <w:ilvl w:val="0"/>
          <w:numId w:val="10"/>
        </w:numPr>
        <w:spacing w:after="60" w:line="259" w:lineRule="auto"/>
        <w:keepLines/>
        <w:widowControl/>
      </w:pPr>
      <w:r>
        <w:rPr>
          <w:b/>
        </w:rPr>
        <w:t>Joint reserved matters:</w:t>
      </w:r>
      <w:r>
        <w:t xml:space="preserve"> product greenlight, print quantity, debt/equity, IP sale/license, founder compensation, and brand changes.</w:t>
      </w:r>
    </w:p>
    <w:p>
      <w:pPr>
        <w:pStyle w:val="Heading1"/>
        <w:keepNext/>
        <w:keepLines/>
        <w:widowControl/>
      </w:pPr>
      <w:r>
        <w:t>10. Feasibility Study</w:t>
      </w:r>
    </w:p>
    <w:p>
      <w:pPr>
        <w:pStyle w:val="Heading2"/>
        <w:keepNext/>
        <w:keepLines/>
        <w:widowControl/>
      </w:pPr>
      <w:r>
        <w:t>10.1 Opportunity feasibility: 68 / 100</w:t>
      </w:r>
    </w:p>
    <w:tbl>
      <w:tblPr>
        <w:tblStyle w:val="TableGrid"/>
        <w:jc w:val="center"/>
        <w:tblLook w:firstColumn="1" w:firstRow="1" w:lastColumn="0" w:lastRow="0" w:noHBand="0" w:noVBand="1" w:val="04A0"/>
        <w:tblW w:w="9360" w:type="dxa"/>
        <w:tblInd w:w="0" w:type="dxa"/>
        <w:tblLayout w:type="fixed"/>
        <w:tblBorders>
          <w:top w:val="single" w:sz="4" w:space="0" w:color="D4DCE3"/>
          <w:left w:val="single" w:sz="4" w:space="0" w:color="D4DCE3"/>
          <w:bottom w:val="single" w:sz="4" w:space="0" w:color="D4DCE3"/>
          <w:right w:val="single" w:sz="4" w:space="0" w:color="D4DCE3"/>
          <w:insideH w:val="single" w:sz="4" w:space="0" w:color="D4DCE3"/>
          <w:insideV w:val="single" w:sz="4" w:space="0" w:color="D4DCE3"/>
        </w:tblBorders>
      </w:tblPr>
      <w:tblGrid>
        <w:gridCol w:w="2440"/>
        <w:gridCol w:w="1000"/>
        <w:gridCol w:w="1100"/>
        <w:gridCol w:w="1500"/>
        <w:gridCol w:w="3320"/>
      </w:tblGrid>
      <w:tr>
        <w:trPr>
          <w:tblHeader w:val="true"/>
          <w:cantSplit/>
        </w:trPr>
        <w:tc>
          <w:tcPr>
            <w:tcW w:type="dxa" w:w="2440"/>
            <w:tcMar>
              <w:top w:w="80" w:type="dxa"/>
              <w:start w:w="120" w:type="dxa"/>
              <w:bottom w:w="80" w:type="dxa"/>
              <w:end w:w="120" w:type="dxa"/>
            </w:tcMar>
            <w:vAlign w:val="center"/>
            <w:shd w:fill="15324B"/>
          </w:tcPr>
          <w:p>
            <w:pPr>
              <w:spacing w:before="0" w:after="0" w:line="240" w:lineRule="auto"/>
              <w:jc w:val="center"/>
              <w:keepLines/>
              <w:widowControl/>
            </w:pPr>
            <w:r>
              <w:rPr>
                <w:b/>
                <w:color w:val="FFFFFF"/>
                <w:sz w:val="16"/>
              </w:rPr>
              <w:t>Dimension</w:t>
            </w:r>
          </w:p>
        </w:tc>
        <w:tc>
          <w:tcPr>
            <w:tcW w:type="dxa" w:w="1000"/>
            <w:tcMar>
              <w:top w:w="80" w:type="dxa"/>
              <w:start w:w="120" w:type="dxa"/>
              <w:bottom w:w="80" w:type="dxa"/>
              <w:end w:w="120" w:type="dxa"/>
            </w:tcMar>
            <w:vAlign w:val="center"/>
            <w:shd w:fill="15324B"/>
          </w:tcPr>
          <w:p>
            <w:pPr>
              <w:spacing w:before="0" w:after="0" w:line="240" w:lineRule="auto"/>
              <w:jc w:val="center"/>
              <w:keepLines/>
              <w:widowControl/>
            </w:pPr>
            <w:r>
              <w:rPr>
                <w:b/>
                <w:color w:val="FFFFFF"/>
                <w:sz w:val="16"/>
              </w:rPr>
              <w:t>Weight</w:t>
            </w:r>
          </w:p>
        </w:tc>
        <w:tc>
          <w:tcPr>
            <w:tcW w:type="dxa" w:w="1100"/>
            <w:tcMar>
              <w:top w:w="80" w:type="dxa"/>
              <w:start w:w="120" w:type="dxa"/>
              <w:bottom w:w="80" w:type="dxa"/>
              <w:end w:w="120" w:type="dxa"/>
            </w:tcMar>
            <w:vAlign w:val="center"/>
            <w:shd w:fill="15324B"/>
          </w:tcPr>
          <w:p>
            <w:pPr>
              <w:spacing w:before="0" w:after="0" w:line="240" w:lineRule="auto"/>
              <w:jc w:val="center"/>
              <w:keepLines/>
              <w:widowControl/>
            </w:pPr>
            <w:r>
              <w:rPr>
                <w:b/>
                <w:color w:val="FFFFFF"/>
                <w:sz w:val="16"/>
              </w:rPr>
              <w:t>Score</w:t>
            </w:r>
          </w:p>
        </w:tc>
        <w:tc>
          <w:tcPr>
            <w:tcW w:type="dxa" w:w="1500"/>
            <w:tcMar>
              <w:top w:w="80" w:type="dxa"/>
              <w:start w:w="120" w:type="dxa"/>
              <w:bottom w:w="80" w:type="dxa"/>
              <w:end w:w="120" w:type="dxa"/>
            </w:tcMar>
            <w:vAlign w:val="center"/>
            <w:shd w:fill="15324B"/>
          </w:tcPr>
          <w:p>
            <w:pPr>
              <w:spacing w:before="0" w:after="0" w:line="240" w:lineRule="auto"/>
              <w:jc w:val="center"/>
              <w:keepLines/>
              <w:widowControl/>
            </w:pPr>
            <w:r>
              <w:rPr>
                <w:b/>
                <w:color w:val="FFFFFF"/>
                <w:sz w:val="16"/>
              </w:rPr>
              <w:t>Weighted result</w:t>
            </w:r>
          </w:p>
        </w:tc>
        <w:tc>
          <w:tcPr>
            <w:tcW w:type="dxa" w:w="3320"/>
            <w:tcMar>
              <w:top w:w="80" w:type="dxa"/>
              <w:start w:w="120" w:type="dxa"/>
              <w:bottom w:w="80" w:type="dxa"/>
              <w:end w:w="120" w:type="dxa"/>
            </w:tcMar>
            <w:vAlign w:val="center"/>
            <w:shd w:fill="15324B"/>
          </w:tcPr>
          <w:p>
            <w:pPr>
              <w:spacing w:before="0" w:after="0" w:line="240" w:lineRule="auto"/>
              <w:jc w:val="center"/>
              <w:keepLines/>
              <w:widowControl/>
            </w:pPr>
            <w:r>
              <w:rPr>
                <w:b/>
                <w:color w:val="FFFFFF"/>
                <w:sz w:val="16"/>
              </w:rPr>
              <w:t>Finding</w:t>
            </w:r>
          </w:p>
        </w:tc>
      </w:tr>
      <w:tr>
        <w:trPr>
          <w:cantSplit/>
        </w:trPr>
        <w:tc>
          <w:tcPr>
            <w:tcW w:type="dxa" w:w="2440"/>
            <w:tcMar>
              <w:top w:w="80" w:type="dxa"/>
              <w:start w:w="120" w:type="dxa"/>
              <w:bottom w:w="80" w:type="dxa"/>
              <w:end w:w="120" w:type="dxa"/>
            </w:tcMar>
            <w:vAlign w:val="center"/>
          </w:tcPr>
          <w:p>
            <w:pPr>
              <w:spacing w:before="0" w:after="0" w:line="240" w:lineRule="auto"/>
              <w:jc w:val="left"/>
              <w:keepLines/>
              <w:widowControl/>
            </w:pPr>
            <w:r>
              <w:rPr>
                <w:sz w:val="16"/>
              </w:rPr>
              <w:t>Market attractiveness</w:t>
            </w:r>
          </w:p>
        </w:tc>
        <w:tc>
          <w:tcPr>
            <w:tcW w:type="dxa" w:w="1000"/>
            <w:tcMar>
              <w:top w:w="80" w:type="dxa"/>
              <w:start w:w="120" w:type="dxa"/>
              <w:bottom w:w="80" w:type="dxa"/>
              <w:end w:w="120" w:type="dxa"/>
            </w:tcMar>
            <w:vAlign w:val="center"/>
          </w:tcPr>
          <w:p>
            <w:pPr>
              <w:spacing w:before="0" w:after="0" w:line="240" w:lineRule="auto"/>
              <w:jc w:val="right"/>
              <w:keepLines/>
              <w:widowControl/>
            </w:pPr>
            <w:r>
              <w:rPr>
                <w:sz w:val="16"/>
              </w:rPr>
              <w:t>20</w:t>
            </w:r>
          </w:p>
        </w:tc>
        <w:tc>
          <w:tcPr>
            <w:tcW w:type="dxa" w:w="1100"/>
            <w:tcMar>
              <w:top w:w="80" w:type="dxa"/>
              <w:start w:w="120" w:type="dxa"/>
              <w:bottom w:w="80" w:type="dxa"/>
              <w:end w:w="120" w:type="dxa"/>
            </w:tcMar>
            <w:vAlign w:val="center"/>
          </w:tcPr>
          <w:p>
            <w:pPr>
              <w:spacing w:before="0" w:after="0" w:line="240" w:lineRule="auto"/>
              <w:jc w:val="right"/>
              <w:keepLines/>
              <w:widowControl/>
            </w:pPr>
            <w:r>
              <w:rPr>
                <w:sz w:val="16"/>
              </w:rPr>
              <w:t>3.5 / 5</w:t>
            </w:r>
          </w:p>
        </w:tc>
        <w:tc>
          <w:tcPr>
            <w:tcW w:type="dxa" w:w="1500"/>
            <w:tcMar>
              <w:top w:w="80" w:type="dxa"/>
              <w:start w:w="120" w:type="dxa"/>
              <w:bottom w:w="80" w:type="dxa"/>
              <w:end w:w="120" w:type="dxa"/>
            </w:tcMar>
            <w:vAlign w:val="center"/>
          </w:tcPr>
          <w:p>
            <w:pPr>
              <w:spacing w:before="0" w:after="0" w:line="240" w:lineRule="auto"/>
              <w:jc w:val="right"/>
              <w:keepLines/>
              <w:widowControl/>
            </w:pPr>
            <w:r>
              <w:rPr>
                <w:sz w:val="16"/>
              </w:rPr>
              <w:t>14.0</w:t>
            </w:r>
          </w:p>
        </w:tc>
        <w:tc>
          <w:tcPr>
            <w:tcW w:type="dxa" w:w="3320"/>
            <w:tcMar>
              <w:top w:w="80" w:type="dxa"/>
              <w:start w:w="120" w:type="dxa"/>
              <w:bottom w:w="80" w:type="dxa"/>
              <w:end w:w="120" w:type="dxa"/>
            </w:tcMar>
            <w:vAlign w:val="center"/>
          </w:tcPr>
          <w:p>
            <w:pPr>
              <w:spacing w:before="0" w:after="0" w:line="240" w:lineRule="auto"/>
              <w:jc w:val="left"/>
              <w:keepLines/>
              <w:widowControl/>
            </w:pPr>
            <w:r>
              <w:rPr>
                <w:sz w:val="16"/>
              </w:rPr>
              <w:t>Large demand context, but growth is concentrated in TCG/licensed properties</w:t>
            </w:r>
          </w:p>
        </w:tc>
      </w:tr>
      <w:tr>
        <w:trPr>
          <w:cantSplit/>
        </w:trPr>
        <w:tc>
          <w:tcPr>
            <w:tcW w:type="dxa" w:w="2440"/>
            <w:tcMar>
              <w:top w:w="80" w:type="dxa"/>
              <w:start w:w="120" w:type="dxa"/>
              <w:bottom w:w="80" w:type="dxa"/>
              <w:end w:w="120" w:type="dxa"/>
            </w:tcMar>
            <w:vAlign w:val="center"/>
          </w:tcPr>
          <w:p>
            <w:pPr>
              <w:spacing w:before="0" w:after="0" w:line="240" w:lineRule="auto"/>
              <w:jc w:val="left"/>
              <w:keepLines/>
              <w:widowControl/>
            </w:pPr>
            <w:r>
              <w:rPr>
                <w:sz w:val="16"/>
              </w:rPr>
              <w:t>Manufacturability</w:t>
            </w:r>
          </w:p>
        </w:tc>
        <w:tc>
          <w:tcPr>
            <w:tcW w:type="dxa" w:w="1000"/>
            <w:tcMar>
              <w:top w:w="80" w:type="dxa"/>
              <w:start w:w="120" w:type="dxa"/>
              <w:bottom w:w="80" w:type="dxa"/>
              <w:end w:w="120" w:type="dxa"/>
            </w:tcMar>
            <w:vAlign w:val="center"/>
          </w:tcPr>
          <w:p>
            <w:pPr>
              <w:spacing w:before="0" w:after="0" w:line="240" w:lineRule="auto"/>
              <w:jc w:val="right"/>
              <w:keepLines/>
              <w:widowControl/>
            </w:pPr>
            <w:r>
              <w:rPr>
                <w:sz w:val="16"/>
              </w:rPr>
              <w:t>15</w:t>
            </w:r>
          </w:p>
        </w:tc>
        <w:tc>
          <w:tcPr>
            <w:tcW w:type="dxa" w:w="1100"/>
            <w:tcMar>
              <w:top w:w="80" w:type="dxa"/>
              <w:start w:w="120" w:type="dxa"/>
              <w:bottom w:w="80" w:type="dxa"/>
              <w:end w:w="120" w:type="dxa"/>
            </w:tcMar>
            <w:vAlign w:val="center"/>
          </w:tcPr>
          <w:p>
            <w:pPr>
              <w:spacing w:before="0" w:after="0" w:line="240" w:lineRule="auto"/>
              <w:jc w:val="right"/>
              <w:keepLines/>
              <w:widowControl/>
            </w:pPr>
            <w:r>
              <w:rPr>
                <w:sz w:val="16"/>
              </w:rPr>
              <w:t>4.0 / 5</w:t>
            </w:r>
          </w:p>
        </w:tc>
        <w:tc>
          <w:tcPr>
            <w:tcW w:type="dxa" w:w="1500"/>
            <w:tcMar>
              <w:top w:w="80" w:type="dxa"/>
              <w:start w:w="120" w:type="dxa"/>
              <w:bottom w:w="80" w:type="dxa"/>
              <w:end w:w="120" w:type="dxa"/>
            </w:tcMar>
            <w:vAlign w:val="center"/>
          </w:tcPr>
          <w:p>
            <w:pPr>
              <w:spacing w:before="0" w:after="0" w:line="240" w:lineRule="auto"/>
              <w:jc w:val="right"/>
              <w:keepLines/>
              <w:widowControl/>
            </w:pPr>
            <w:r>
              <w:rPr>
                <w:sz w:val="16"/>
              </w:rPr>
              <w:t>12.0</w:t>
            </w:r>
          </w:p>
        </w:tc>
        <w:tc>
          <w:tcPr>
            <w:tcW w:type="dxa" w:w="3320"/>
            <w:tcMar>
              <w:top w:w="80" w:type="dxa"/>
              <w:start w:w="120" w:type="dxa"/>
              <w:bottom w:w="80" w:type="dxa"/>
              <w:end w:w="120" w:type="dxa"/>
            </w:tcMar>
            <w:vAlign w:val="center"/>
          </w:tcPr>
          <w:p>
            <w:pPr>
              <w:spacing w:before="0" w:after="0" w:line="240" w:lineRule="auto"/>
              <w:jc w:val="left"/>
              <w:keepLines/>
              <w:widowControl/>
            </w:pPr>
            <w:r>
              <w:rPr>
                <w:sz w:val="16"/>
              </w:rPr>
              <w:t>Standard components and multiple MOQ pathways make production practical</w:t>
            </w:r>
          </w:p>
        </w:tc>
      </w:tr>
      <w:tr>
        <w:trPr>
          <w:cantSplit/>
        </w:trPr>
        <w:tc>
          <w:tcPr>
            <w:tcW w:type="dxa" w:w="2440"/>
            <w:tcMar>
              <w:top w:w="80" w:type="dxa"/>
              <w:start w:w="120" w:type="dxa"/>
              <w:bottom w:w="80" w:type="dxa"/>
              <w:end w:w="120" w:type="dxa"/>
            </w:tcMar>
            <w:vAlign w:val="center"/>
          </w:tcPr>
          <w:p>
            <w:pPr>
              <w:spacing w:before="0" w:after="0" w:line="240" w:lineRule="auto"/>
              <w:jc w:val="left"/>
              <w:keepLines/>
              <w:widowControl/>
            </w:pPr>
            <w:r>
              <w:rPr>
                <w:sz w:val="16"/>
              </w:rPr>
              <w:t>Unit-economics potential</w:t>
            </w:r>
          </w:p>
        </w:tc>
        <w:tc>
          <w:tcPr>
            <w:tcW w:type="dxa" w:w="1000"/>
            <w:tcMar>
              <w:top w:w="80" w:type="dxa"/>
              <w:start w:w="120" w:type="dxa"/>
              <w:bottom w:w="80" w:type="dxa"/>
              <w:end w:w="120" w:type="dxa"/>
            </w:tcMar>
            <w:vAlign w:val="center"/>
          </w:tcPr>
          <w:p>
            <w:pPr>
              <w:spacing w:before="0" w:after="0" w:line="240" w:lineRule="auto"/>
              <w:jc w:val="right"/>
              <w:keepLines/>
              <w:widowControl/>
            </w:pPr>
            <w:r>
              <w:rPr>
                <w:sz w:val="16"/>
              </w:rPr>
              <w:t>20</w:t>
            </w:r>
          </w:p>
        </w:tc>
        <w:tc>
          <w:tcPr>
            <w:tcW w:type="dxa" w:w="1100"/>
            <w:tcMar>
              <w:top w:w="80" w:type="dxa"/>
              <w:start w:w="120" w:type="dxa"/>
              <w:bottom w:w="80" w:type="dxa"/>
              <w:end w:w="120" w:type="dxa"/>
            </w:tcMar>
            <w:vAlign w:val="center"/>
          </w:tcPr>
          <w:p>
            <w:pPr>
              <w:spacing w:before="0" w:after="0" w:line="240" w:lineRule="auto"/>
              <w:jc w:val="right"/>
              <w:keepLines/>
              <w:widowControl/>
            </w:pPr>
            <w:r>
              <w:rPr>
                <w:sz w:val="16"/>
              </w:rPr>
              <w:t>3.5 / 5</w:t>
            </w:r>
          </w:p>
        </w:tc>
        <w:tc>
          <w:tcPr>
            <w:tcW w:type="dxa" w:w="1500"/>
            <w:tcMar>
              <w:top w:w="80" w:type="dxa"/>
              <w:start w:w="120" w:type="dxa"/>
              <w:bottom w:w="80" w:type="dxa"/>
              <w:end w:w="120" w:type="dxa"/>
            </w:tcMar>
            <w:vAlign w:val="center"/>
          </w:tcPr>
          <w:p>
            <w:pPr>
              <w:spacing w:before="0" w:after="0" w:line="240" w:lineRule="auto"/>
              <w:jc w:val="right"/>
              <w:keepLines/>
              <w:widowControl/>
            </w:pPr>
            <w:r>
              <w:rPr>
                <w:sz w:val="16"/>
              </w:rPr>
              <w:t>14.0</w:t>
            </w:r>
          </w:p>
        </w:tc>
        <w:tc>
          <w:tcPr>
            <w:tcW w:type="dxa" w:w="3320"/>
            <w:tcMar>
              <w:top w:w="80" w:type="dxa"/>
              <w:start w:w="120" w:type="dxa"/>
              <w:bottom w:w="80" w:type="dxa"/>
              <w:end w:w="120" w:type="dxa"/>
            </w:tcMar>
            <w:vAlign w:val="center"/>
          </w:tcPr>
          <w:p>
            <w:pPr>
              <w:spacing w:before="0" w:after="0" w:line="240" w:lineRule="auto"/>
              <w:jc w:val="left"/>
              <w:keepLines/>
              <w:widowControl/>
            </w:pPr>
            <w:r>
              <w:rPr>
                <w:sz w:val="16"/>
              </w:rPr>
              <w:t>DTC can work; distribution punishes high landed cost</w:t>
            </w:r>
          </w:p>
        </w:tc>
      </w:tr>
      <w:tr>
        <w:trPr>
          <w:cantSplit/>
        </w:trPr>
        <w:tc>
          <w:tcPr>
            <w:tcW w:type="dxa" w:w="2440"/>
            <w:tcMar>
              <w:top w:w="80" w:type="dxa"/>
              <w:start w:w="120" w:type="dxa"/>
              <w:bottom w:w="80" w:type="dxa"/>
              <w:end w:w="120" w:type="dxa"/>
            </w:tcMar>
            <w:vAlign w:val="center"/>
          </w:tcPr>
          <w:p>
            <w:pPr>
              <w:spacing w:before="0" w:after="0" w:line="240" w:lineRule="auto"/>
              <w:jc w:val="left"/>
              <w:keepLines/>
              <w:widowControl/>
            </w:pPr>
            <w:r>
              <w:rPr>
                <w:sz w:val="16"/>
              </w:rPr>
              <w:t>Channel access</w:t>
            </w:r>
          </w:p>
        </w:tc>
        <w:tc>
          <w:tcPr>
            <w:tcW w:type="dxa" w:w="1000"/>
            <w:tcMar>
              <w:top w:w="80" w:type="dxa"/>
              <w:start w:w="120" w:type="dxa"/>
              <w:bottom w:w="80" w:type="dxa"/>
              <w:end w:w="120" w:type="dxa"/>
            </w:tcMar>
            <w:vAlign w:val="center"/>
          </w:tcPr>
          <w:p>
            <w:pPr>
              <w:spacing w:before="0" w:after="0" w:line="240" w:lineRule="auto"/>
              <w:jc w:val="right"/>
              <w:keepLines/>
              <w:widowControl/>
            </w:pPr>
            <w:r>
              <w:rPr>
                <w:sz w:val="16"/>
              </w:rPr>
              <w:t>15</w:t>
            </w:r>
          </w:p>
        </w:tc>
        <w:tc>
          <w:tcPr>
            <w:tcW w:type="dxa" w:w="1100"/>
            <w:tcMar>
              <w:top w:w="80" w:type="dxa"/>
              <w:start w:w="120" w:type="dxa"/>
              <w:bottom w:w="80" w:type="dxa"/>
              <w:end w:w="120" w:type="dxa"/>
            </w:tcMar>
            <w:vAlign w:val="center"/>
          </w:tcPr>
          <w:p>
            <w:pPr>
              <w:spacing w:before="0" w:after="0" w:line="240" w:lineRule="auto"/>
              <w:jc w:val="right"/>
              <w:keepLines/>
              <w:widowControl/>
            </w:pPr>
            <w:r>
              <w:rPr>
                <w:sz w:val="16"/>
              </w:rPr>
              <w:t>3.0 / 5</w:t>
            </w:r>
          </w:p>
        </w:tc>
        <w:tc>
          <w:tcPr>
            <w:tcW w:type="dxa" w:w="1500"/>
            <w:tcMar>
              <w:top w:w="80" w:type="dxa"/>
              <w:start w:w="120" w:type="dxa"/>
              <w:bottom w:w="80" w:type="dxa"/>
              <w:end w:w="120" w:type="dxa"/>
            </w:tcMar>
            <w:vAlign w:val="center"/>
          </w:tcPr>
          <w:p>
            <w:pPr>
              <w:spacing w:before="0" w:after="0" w:line="240" w:lineRule="auto"/>
              <w:jc w:val="right"/>
              <w:keepLines/>
              <w:widowControl/>
            </w:pPr>
            <w:r>
              <w:rPr>
                <w:sz w:val="16"/>
              </w:rPr>
              <w:t>9.0</w:t>
            </w:r>
          </w:p>
        </w:tc>
        <w:tc>
          <w:tcPr>
            <w:tcW w:type="dxa" w:w="3320"/>
            <w:tcMar>
              <w:top w:w="80" w:type="dxa"/>
              <w:start w:w="120" w:type="dxa"/>
              <w:bottom w:w="80" w:type="dxa"/>
              <w:end w:w="120" w:type="dxa"/>
            </w:tcMar>
            <w:vAlign w:val="center"/>
          </w:tcPr>
          <w:p>
            <w:pPr>
              <w:spacing w:before="0" w:after="0" w:line="240" w:lineRule="auto"/>
              <w:jc w:val="left"/>
              <w:keepLines/>
              <w:widowControl/>
            </w:pPr>
            <w:r>
              <w:rPr>
                <w:sz w:val="16"/>
              </w:rPr>
              <w:t>Crowdfunding is proven but attention is crowded and shifting</w:t>
            </w:r>
          </w:p>
        </w:tc>
      </w:tr>
      <w:tr>
        <w:trPr>
          <w:cantSplit/>
        </w:trPr>
        <w:tc>
          <w:tcPr>
            <w:tcW w:type="dxa" w:w="2440"/>
            <w:tcMar>
              <w:top w:w="80" w:type="dxa"/>
              <w:start w:w="120" w:type="dxa"/>
              <w:bottom w:w="80" w:type="dxa"/>
              <w:end w:w="120" w:type="dxa"/>
            </w:tcMar>
            <w:vAlign w:val="center"/>
          </w:tcPr>
          <w:p>
            <w:pPr>
              <w:spacing w:before="0" w:after="0" w:line="240" w:lineRule="auto"/>
              <w:jc w:val="left"/>
              <w:keepLines/>
              <w:widowControl/>
            </w:pPr>
            <w:r>
              <w:rPr>
                <w:sz w:val="16"/>
              </w:rPr>
              <w:t>Team model</w:t>
            </w:r>
          </w:p>
        </w:tc>
        <w:tc>
          <w:tcPr>
            <w:tcW w:type="dxa" w:w="1000"/>
            <w:tcMar>
              <w:top w:w="80" w:type="dxa"/>
              <w:start w:w="120" w:type="dxa"/>
              <w:bottom w:w="80" w:type="dxa"/>
              <w:end w:w="120" w:type="dxa"/>
            </w:tcMar>
            <w:vAlign w:val="center"/>
          </w:tcPr>
          <w:p>
            <w:pPr>
              <w:spacing w:before="0" w:after="0" w:line="240" w:lineRule="auto"/>
              <w:jc w:val="right"/>
              <w:keepLines/>
              <w:widowControl/>
            </w:pPr>
            <w:r>
              <w:rPr>
                <w:sz w:val="16"/>
              </w:rPr>
              <w:t>15</w:t>
            </w:r>
          </w:p>
        </w:tc>
        <w:tc>
          <w:tcPr>
            <w:tcW w:type="dxa" w:w="1100"/>
            <w:tcMar>
              <w:top w:w="80" w:type="dxa"/>
              <w:start w:w="120" w:type="dxa"/>
              <w:bottom w:w="80" w:type="dxa"/>
              <w:end w:w="120" w:type="dxa"/>
            </w:tcMar>
            <w:vAlign w:val="center"/>
          </w:tcPr>
          <w:p>
            <w:pPr>
              <w:spacing w:before="0" w:after="0" w:line="240" w:lineRule="auto"/>
              <w:jc w:val="right"/>
              <w:keepLines/>
              <w:widowControl/>
            </w:pPr>
            <w:r>
              <w:rPr>
                <w:sz w:val="16"/>
              </w:rPr>
              <w:t>2.5 / 5</w:t>
            </w:r>
          </w:p>
        </w:tc>
        <w:tc>
          <w:tcPr>
            <w:tcW w:type="dxa" w:w="1500"/>
            <w:tcMar>
              <w:top w:w="80" w:type="dxa"/>
              <w:start w:w="120" w:type="dxa"/>
              <w:bottom w:w="80" w:type="dxa"/>
              <w:end w:w="120" w:type="dxa"/>
            </w:tcMar>
            <w:vAlign w:val="center"/>
          </w:tcPr>
          <w:p>
            <w:pPr>
              <w:spacing w:before="0" w:after="0" w:line="240" w:lineRule="auto"/>
              <w:jc w:val="right"/>
              <w:keepLines/>
              <w:widowControl/>
            </w:pPr>
            <w:r>
              <w:rPr>
                <w:sz w:val="16"/>
              </w:rPr>
              <w:t>7.5</w:t>
            </w:r>
          </w:p>
        </w:tc>
        <w:tc>
          <w:tcPr>
            <w:tcW w:type="dxa" w:w="3320"/>
            <w:tcMar>
              <w:top w:w="80" w:type="dxa"/>
              <w:start w:w="120" w:type="dxa"/>
              <w:bottom w:w="80" w:type="dxa"/>
              <w:end w:w="120" w:type="dxa"/>
            </w:tcMar>
            <w:vAlign w:val="center"/>
          </w:tcPr>
          <w:p>
            <w:pPr>
              <w:spacing w:before="0" w:after="0" w:line="240" w:lineRule="auto"/>
              <w:jc w:val="left"/>
              <w:keepLines/>
              <w:widowControl/>
            </w:pPr>
            <w:r>
              <w:rPr>
                <w:sz w:val="16"/>
              </w:rPr>
              <w:t>Two designers are identified; commercial roles/capacity are not</w:t>
            </w:r>
          </w:p>
        </w:tc>
      </w:tr>
      <w:tr>
        <w:trPr>
          <w:cantSplit/>
        </w:trPr>
        <w:tc>
          <w:tcPr>
            <w:tcW w:type="dxa" w:w="2440"/>
            <w:tcMar>
              <w:top w:w="80" w:type="dxa"/>
              <w:start w:w="120" w:type="dxa"/>
              <w:bottom w:w="80" w:type="dxa"/>
              <w:end w:w="120" w:type="dxa"/>
            </w:tcMar>
            <w:vAlign w:val="center"/>
          </w:tcPr>
          <w:p>
            <w:pPr>
              <w:spacing w:before="0" w:after="0" w:line="240" w:lineRule="auto"/>
              <w:jc w:val="left"/>
              <w:keepLines/>
              <w:widowControl/>
            </w:pPr>
            <w:r>
              <w:rPr>
                <w:sz w:val="16"/>
              </w:rPr>
              <w:t>Scalability</w:t>
            </w:r>
          </w:p>
        </w:tc>
        <w:tc>
          <w:tcPr>
            <w:tcW w:type="dxa" w:w="1000"/>
            <w:tcMar>
              <w:top w:w="80" w:type="dxa"/>
              <w:start w:w="120" w:type="dxa"/>
              <w:bottom w:w="80" w:type="dxa"/>
              <w:end w:w="120" w:type="dxa"/>
            </w:tcMar>
            <w:vAlign w:val="center"/>
          </w:tcPr>
          <w:p>
            <w:pPr>
              <w:spacing w:before="0" w:after="0" w:line="240" w:lineRule="auto"/>
              <w:jc w:val="right"/>
              <w:keepLines/>
              <w:widowControl/>
            </w:pPr>
            <w:r>
              <w:rPr>
                <w:sz w:val="16"/>
              </w:rPr>
              <w:t>15</w:t>
            </w:r>
          </w:p>
        </w:tc>
        <w:tc>
          <w:tcPr>
            <w:tcW w:type="dxa" w:w="1100"/>
            <w:tcMar>
              <w:top w:w="80" w:type="dxa"/>
              <w:start w:w="120" w:type="dxa"/>
              <w:bottom w:w="80" w:type="dxa"/>
              <w:end w:w="120" w:type="dxa"/>
            </w:tcMar>
            <w:vAlign w:val="center"/>
          </w:tcPr>
          <w:p>
            <w:pPr>
              <w:spacing w:before="0" w:after="0" w:line="240" w:lineRule="auto"/>
              <w:jc w:val="right"/>
              <w:keepLines/>
              <w:widowControl/>
            </w:pPr>
            <w:r>
              <w:rPr>
                <w:sz w:val="16"/>
              </w:rPr>
              <w:t>3.8 / 5</w:t>
            </w:r>
          </w:p>
        </w:tc>
        <w:tc>
          <w:tcPr>
            <w:tcW w:type="dxa" w:w="1500"/>
            <w:tcMar>
              <w:top w:w="80" w:type="dxa"/>
              <w:start w:w="120" w:type="dxa"/>
              <w:bottom w:w="80" w:type="dxa"/>
              <w:end w:w="120" w:type="dxa"/>
            </w:tcMar>
            <w:vAlign w:val="center"/>
          </w:tcPr>
          <w:p>
            <w:pPr>
              <w:spacing w:before="0" w:after="0" w:line="240" w:lineRule="auto"/>
              <w:jc w:val="right"/>
              <w:keepLines/>
              <w:widowControl/>
            </w:pPr>
            <w:r>
              <w:rPr>
                <w:sz w:val="16"/>
              </w:rPr>
              <w:t>11.4</w:t>
            </w:r>
          </w:p>
        </w:tc>
        <w:tc>
          <w:tcPr>
            <w:tcW w:type="dxa" w:w="3320"/>
            <w:tcMar>
              <w:top w:w="80" w:type="dxa"/>
              <w:start w:w="120" w:type="dxa"/>
              <w:bottom w:w="80" w:type="dxa"/>
              <w:end w:w="120" w:type="dxa"/>
            </w:tcMar>
            <w:vAlign w:val="center"/>
          </w:tcPr>
          <w:p>
            <w:pPr>
              <w:spacing w:before="0" w:after="0" w:line="240" w:lineRule="auto"/>
              <w:jc w:val="left"/>
              <w:keepLines/>
              <w:widowControl/>
            </w:pPr>
            <w:r>
              <w:rPr>
                <w:sz w:val="16"/>
              </w:rPr>
              <w:t>Catalog, expansions, and reprints can compound if a hero product emerges</w:t>
            </w:r>
          </w:p>
        </w:tc>
      </w:tr>
      <w:tr>
        <w:trPr>
          <w:cantSplit/>
        </w:trPr>
        <w:tc>
          <w:tcPr>
            <w:tcW w:type="dxa" w:w="2440"/>
            <w:tcMar>
              <w:top w:w="80" w:type="dxa"/>
              <w:start w:w="120" w:type="dxa"/>
              <w:bottom w:w="80" w:type="dxa"/>
              <w:end w:w="120" w:type="dxa"/>
            </w:tcMar>
            <w:vAlign w:val="center"/>
            <w:shd w:fill="E8F5F2"/>
          </w:tcPr>
          <w:p>
            <w:pPr>
              <w:spacing w:before="0" w:after="0" w:line="240" w:lineRule="auto"/>
              <w:jc w:val="left"/>
              <w:keepLines/>
              <w:widowControl/>
            </w:pPr>
            <w:r>
              <w:rPr>
                <w:b/>
                <w:sz w:val="16"/>
              </w:rPr>
              <w:t>Total</w:t>
            </w:r>
          </w:p>
        </w:tc>
        <w:tc>
          <w:tcPr>
            <w:tcW w:type="dxa" w:w="1000"/>
            <w:tcMar>
              <w:top w:w="80" w:type="dxa"/>
              <w:start w:w="120" w:type="dxa"/>
              <w:bottom w:w="80" w:type="dxa"/>
              <w:end w:w="120" w:type="dxa"/>
            </w:tcMar>
            <w:vAlign w:val="center"/>
            <w:shd w:fill="E8F5F2"/>
          </w:tcPr>
          <w:p>
            <w:pPr>
              <w:spacing w:before="0" w:after="0" w:line="240" w:lineRule="auto"/>
              <w:jc w:val="right"/>
              <w:keepLines/>
              <w:widowControl/>
            </w:pPr>
            <w:r>
              <w:rPr>
                <w:b/>
                <w:sz w:val="16"/>
              </w:rPr>
              <w:t>100</w:t>
            </w:r>
          </w:p>
        </w:tc>
        <w:tc>
          <w:tcPr>
            <w:tcW w:type="dxa" w:w="1100"/>
            <w:tcMar>
              <w:top w:w="80" w:type="dxa"/>
              <w:start w:w="120" w:type="dxa"/>
              <w:bottom w:w="80" w:type="dxa"/>
              <w:end w:w="120" w:type="dxa"/>
            </w:tcMar>
            <w:vAlign w:val="center"/>
            <w:shd w:fill="E8F5F2"/>
          </w:tcPr>
          <w:p>
            <w:pPr>
              <w:spacing w:before="0" w:after="0" w:line="240" w:lineRule="auto"/>
              <w:jc w:val="left"/>
              <w:keepLines/>
              <w:widowControl/>
            </w:pPr>
          </w:p>
        </w:tc>
        <w:tc>
          <w:tcPr>
            <w:tcW w:type="dxa" w:w="1500"/>
            <w:tcMar>
              <w:top w:w="80" w:type="dxa"/>
              <w:start w:w="120" w:type="dxa"/>
              <w:bottom w:w="80" w:type="dxa"/>
              <w:end w:w="120" w:type="dxa"/>
            </w:tcMar>
            <w:vAlign w:val="center"/>
            <w:shd w:fill="E8F5F2"/>
          </w:tcPr>
          <w:p>
            <w:pPr>
              <w:spacing w:before="0" w:after="0" w:line="240" w:lineRule="auto"/>
              <w:jc w:val="right"/>
              <w:keepLines/>
              <w:widowControl/>
            </w:pPr>
            <w:r>
              <w:rPr>
                <w:b/>
                <w:sz w:val="16"/>
              </w:rPr>
              <w:t>67.9</w:t>
            </w:r>
          </w:p>
        </w:tc>
        <w:tc>
          <w:tcPr>
            <w:tcW w:type="dxa" w:w="3320"/>
            <w:tcMar>
              <w:top w:w="80" w:type="dxa"/>
              <w:start w:w="120" w:type="dxa"/>
              <w:bottom w:w="80" w:type="dxa"/>
              <w:end w:w="120" w:type="dxa"/>
            </w:tcMar>
            <w:vAlign w:val="center"/>
            <w:shd w:fill="E8F5F2"/>
          </w:tcPr>
          <w:p>
            <w:pPr>
              <w:spacing w:before="0" w:after="0" w:line="240" w:lineRule="auto"/>
              <w:jc w:val="left"/>
              <w:keepLines/>
              <w:widowControl/>
            </w:pPr>
            <w:r>
              <w:rPr>
                <w:b/>
                <w:sz w:val="16"/>
              </w:rPr>
              <w:t>Conditionally feasible</w:t>
            </w:r>
          </w:p>
        </w:tc>
      </w:tr>
    </w:tbl>
    <w:p>
      <w:pPr>
        <w:spacing w:after="0"/>
      </w:pPr>
    </w:p>
    <w:p>
      <w:pPr>
        <w:pStyle w:val="Heading2"/>
        <w:keepNext/>
        <w:keepLines/>
        <w:widowControl/>
      </w:pPr>
      <w:r>
        <w:t>10.2 Launch readiness: 24 / 100</w:t>
      </w:r>
    </w:p>
    <w:tbl>
      <w:tblPr>
        <w:tblStyle w:val="TableGrid"/>
        <w:jc w:val="center"/>
        <w:tblLook w:firstColumn="1" w:firstRow="1" w:lastColumn="0" w:lastRow="0" w:noHBand="0" w:noVBand="1" w:val="04A0"/>
        <w:tblW w:w="9360" w:type="dxa"/>
        <w:tblInd w:w="0" w:type="dxa"/>
        <w:tblLayout w:type="fixed"/>
        <w:tblBorders>
          <w:top w:val="single" w:sz="4" w:space="0" w:color="D4DCE3"/>
          <w:left w:val="single" w:sz="4" w:space="0" w:color="D4DCE3"/>
          <w:bottom w:val="single" w:sz="4" w:space="0" w:color="D4DCE3"/>
          <w:right w:val="single" w:sz="4" w:space="0" w:color="D4DCE3"/>
          <w:insideH w:val="single" w:sz="4" w:space="0" w:color="D4DCE3"/>
          <w:insideV w:val="single" w:sz="4" w:space="0" w:color="D4DCE3"/>
        </w:tblBorders>
      </w:tblPr>
      <w:tblGrid>
        <w:gridCol w:w="2440"/>
        <w:gridCol w:w="1000"/>
        <w:gridCol w:w="1100"/>
        <w:gridCol w:w="1500"/>
        <w:gridCol w:w="3320"/>
      </w:tblGrid>
      <w:tr>
        <w:trPr>
          <w:tblHeader w:val="true"/>
          <w:cantSplit/>
        </w:trPr>
        <w:tc>
          <w:tcPr>
            <w:tcW w:type="dxa" w:w="2440"/>
            <w:tcMar>
              <w:top w:w="80" w:type="dxa"/>
              <w:start w:w="120" w:type="dxa"/>
              <w:bottom w:w="80" w:type="dxa"/>
              <w:end w:w="120" w:type="dxa"/>
            </w:tcMar>
            <w:vAlign w:val="center"/>
            <w:shd w:fill="15324B"/>
          </w:tcPr>
          <w:p>
            <w:pPr>
              <w:spacing w:before="0" w:after="0" w:line="240" w:lineRule="auto"/>
              <w:jc w:val="center"/>
              <w:keepLines/>
              <w:widowControl/>
            </w:pPr>
            <w:r>
              <w:rPr>
                <w:b/>
                <w:color w:val="FFFFFF"/>
                <w:sz w:val="16"/>
              </w:rPr>
              <w:t>Readiness item</w:t>
            </w:r>
          </w:p>
        </w:tc>
        <w:tc>
          <w:tcPr>
            <w:tcW w:type="dxa" w:w="1000"/>
            <w:tcMar>
              <w:top w:w="80" w:type="dxa"/>
              <w:start w:w="120" w:type="dxa"/>
              <w:bottom w:w="80" w:type="dxa"/>
              <w:end w:w="120" w:type="dxa"/>
            </w:tcMar>
            <w:vAlign w:val="center"/>
            <w:shd w:fill="15324B"/>
          </w:tcPr>
          <w:p>
            <w:pPr>
              <w:spacing w:before="0" w:after="0" w:line="240" w:lineRule="auto"/>
              <w:jc w:val="center"/>
              <w:keepLines/>
              <w:widowControl/>
            </w:pPr>
            <w:r>
              <w:rPr>
                <w:b/>
                <w:color w:val="FFFFFF"/>
                <w:sz w:val="16"/>
              </w:rPr>
              <w:t>Weight</w:t>
            </w:r>
          </w:p>
        </w:tc>
        <w:tc>
          <w:tcPr>
            <w:tcW w:type="dxa" w:w="1100"/>
            <w:tcMar>
              <w:top w:w="80" w:type="dxa"/>
              <w:start w:w="120" w:type="dxa"/>
              <w:bottom w:w="80" w:type="dxa"/>
              <w:end w:w="120" w:type="dxa"/>
            </w:tcMar>
            <w:vAlign w:val="center"/>
            <w:shd w:fill="15324B"/>
          </w:tcPr>
          <w:p>
            <w:pPr>
              <w:spacing w:before="0" w:after="0" w:line="240" w:lineRule="auto"/>
              <w:jc w:val="center"/>
              <w:keepLines/>
              <w:widowControl/>
            </w:pPr>
            <w:r>
              <w:rPr>
                <w:b/>
                <w:color w:val="FFFFFF"/>
                <w:sz w:val="16"/>
              </w:rPr>
              <w:t>Score</w:t>
            </w:r>
          </w:p>
        </w:tc>
        <w:tc>
          <w:tcPr>
            <w:tcW w:type="dxa" w:w="1500"/>
            <w:tcMar>
              <w:top w:w="80" w:type="dxa"/>
              <w:start w:w="120" w:type="dxa"/>
              <w:bottom w:w="80" w:type="dxa"/>
              <w:end w:w="120" w:type="dxa"/>
            </w:tcMar>
            <w:vAlign w:val="center"/>
            <w:shd w:fill="15324B"/>
          </w:tcPr>
          <w:p>
            <w:pPr>
              <w:spacing w:before="0" w:after="0" w:line="240" w:lineRule="auto"/>
              <w:jc w:val="center"/>
              <w:keepLines/>
              <w:widowControl/>
            </w:pPr>
            <w:r>
              <w:rPr>
                <w:b/>
                <w:color w:val="FFFFFF"/>
                <w:sz w:val="16"/>
              </w:rPr>
              <w:t>Weighted result</w:t>
            </w:r>
          </w:p>
        </w:tc>
        <w:tc>
          <w:tcPr>
            <w:tcW w:type="dxa" w:w="3320"/>
            <w:tcMar>
              <w:top w:w="80" w:type="dxa"/>
              <w:start w:w="120" w:type="dxa"/>
              <w:bottom w:w="80" w:type="dxa"/>
              <w:end w:w="120" w:type="dxa"/>
            </w:tcMar>
            <w:vAlign w:val="center"/>
            <w:shd w:fill="15324B"/>
          </w:tcPr>
          <w:p>
            <w:pPr>
              <w:spacing w:before="0" w:after="0" w:line="240" w:lineRule="auto"/>
              <w:jc w:val="center"/>
              <w:keepLines/>
              <w:widowControl/>
            </w:pPr>
            <w:r>
              <w:rPr>
                <w:b/>
                <w:color w:val="FFFFFF"/>
                <w:sz w:val="16"/>
              </w:rPr>
              <w:t>Evidence gap</w:t>
            </w:r>
          </w:p>
        </w:tc>
      </w:tr>
      <w:tr>
        <w:trPr>
          <w:cantSplit/>
        </w:trPr>
        <w:tc>
          <w:tcPr>
            <w:tcW w:type="dxa" w:w="2440"/>
            <w:tcMar>
              <w:top w:w="80" w:type="dxa"/>
              <w:start w:w="120" w:type="dxa"/>
              <w:bottom w:w="80" w:type="dxa"/>
              <w:end w:w="120" w:type="dxa"/>
            </w:tcMar>
            <w:vAlign w:val="center"/>
          </w:tcPr>
          <w:p>
            <w:pPr>
              <w:spacing w:before="0" w:after="0" w:line="240" w:lineRule="auto"/>
              <w:jc w:val="left"/>
              <w:keepLines/>
              <w:widowControl/>
            </w:pPr>
            <w:r>
              <w:rPr>
                <w:sz w:val="16"/>
              </w:rPr>
              <w:t>Flagship design</w:t>
            </w:r>
          </w:p>
        </w:tc>
        <w:tc>
          <w:tcPr>
            <w:tcW w:type="dxa" w:w="1000"/>
            <w:tcMar>
              <w:top w:w="80" w:type="dxa"/>
              <w:start w:w="120" w:type="dxa"/>
              <w:bottom w:w="80" w:type="dxa"/>
              <w:end w:w="120" w:type="dxa"/>
            </w:tcMar>
            <w:vAlign w:val="center"/>
          </w:tcPr>
          <w:p>
            <w:pPr>
              <w:spacing w:before="0" w:after="0" w:line="240" w:lineRule="auto"/>
              <w:jc w:val="right"/>
              <w:keepLines/>
              <w:widowControl/>
            </w:pPr>
            <w:r>
              <w:rPr>
                <w:sz w:val="16"/>
              </w:rPr>
              <w:t>20</w:t>
            </w:r>
          </w:p>
        </w:tc>
        <w:tc>
          <w:tcPr>
            <w:tcW w:type="dxa" w:w="1100"/>
            <w:tcMar>
              <w:top w:w="80" w:type="dxa"/>
              <w:start w:w="120" w:type="dxa"/>
              <w:bottom w:w="80" w:type="dxa"/>
              <w:end w:w="120" w:type="dxa"/>
            </w:tcMar>
            <w:vAlign w:val="center"/>
          </w:tcPr>
          <w:p>
            <w:pPr>
              <w:spacing w:before="0" w:after="0" w:line="240" w:lineRule="auto"/>
              <w:jc w:val="right"/>
              <w:keepLines/>
              <w:widowControl/>
            </w:pPr>
            <w:r>
              <w:rPr>
                <w:sz w:val="16"/>
              </w:rPr>
              <w:t>1.0 / 5</w:t>
            </w:r>
          </w:p>
        </w:tc>
        <w:tc>
          <w:tcPr>
            <w:tcW w:type="dxa" w:w="1500"/>
            <w:tcMar>
              <w:top w:w="80" w:type="dxa"/>
              <w:start w:w="120" w:type="dxa"/>
              <w:bottom w:w="80" w:type="dxa"/>
              <w:end w:w="120" w:type="dxa"/>
            </w:tcMar>
            <w:vAlign w:val="center"/>
          </w:tcPr>
          <w:p>
            <w:pPr>
              <w:spacing w:before="0" w:after="0" w:line="240" w:lineRule="auto"/>
              <w:jc w:val="right"/>
              <w:keepLines/>
              <w:widowControl/>
            </w:pPr>
            <w:r>
              <w:rPr>
                <w:sz w:val="16"/>
              </w:rPr>
              <w:t>4.0</w:t>
            </w:r>
          </w:p>
        </w:tc>
        <w:tc>
          <w:tcPr>
            <w:tcW w:type="dxa" w:w="3320"/>
            <w:tcMar>
              <w:top w:w="80" w:type="dxa"/>
              <w:start w:w="120" w:type="dxa"/>
              <w:bottom w:w="80" w:type="dxa"/>
              <w:end w:w="120" w:type="dxa"/>
            </w:tcMar>
            <w:vAlign w:val="center"/>
          </w:tcPr>
          <w:p>
            <w:pPr>
              <w:spacing w:before="0" w:after="0" w:line="240" w:lineRule="auto"/>
              <w:jc w:val="left"/>
              <w:keepLines/>
              <w:widowControl/>
            </w:pPr>
            <w:r>
              <w:rPr>
                <w:sz w:val="16"/>
              </w:rPr>
              <w:t>No recoverable prototype or specifications</w:t>
            </w:r>
          </w:p>
        </w:tc>
      </w:tr>
      <w:tr>
        <w:trPr>
          <w:cantSplit/>
        </w:trPr>
        <w:tc>
          <w:tcPr>
            <w:tcW w:type="dxa" w:w="2440"/>
            <w:tcMar>
              <w:top w:w="80" w:type="dxa"/>
              <w:start w:w="120" w:type="dxa"/>
              <w:bottom w:w="80" w:type="dxa"/>
              <w:end w:w="120" w:type="dxa"/>
            </w:tcMar>
            <w:vAlign w:val="center"/>
          </w:tcPr>
          <w:p>
            <w:pPr>
              <w:spacing w:before="0" w:after="0" w:line="240" w:lineRule="auto"/>
              <w:jc w:val="left"/>
              <w:keepLines/>
              <w:widowControl/>
            </w:pPr>
            <w:r>
              <w:rPr>
                <w:sz w:val="16"/>
              </w:rPr>
              <w:t>Playtest proof</w:t>
            </w:r>
          </w:p>
        </w:tc>
        <w:tc>
          <w:tcPr>
            <w:tcW w:type="dxa" w:w="1000"/>
            <w:tcMar>
              <w:top w:w="80" w:type="dxa"/>
              <w:start w:w="120" w:type="dxa"/>
              <w:bottom w:w="80" w:type="dxa"/>
              <w:end w:w="120" w:type="dxa"/>
            </w:tcMar>
            <w:vAlign w:val="center"/>
          </w:tcPr>
          <w:p>
            <w:pPr>
              <w:spacing w:before="0" w:after="0" w:line="240" w:lineRule="auto"/>
              <w:jc w:val="right"/>
              <w:keepLines/>
              <w:widowControl/>
            </w:pPr>
            <w:r>
              <w:rPr>
                <w:sz w:val="16"/>
              </w:rPr>
              <w:t>20</w:t>
            </w:r>
          </w:p>
        </w:tc>
        <w:tc>
          <w:tcPr>
            <w:tcW w:type="dxa" w:w="1100"/>
            <w:tcMar>
              <w:top w:w="80" w:type="dxa"/>
              <w:start w:w="120" w:type="dxa"/>
              <w:bottom w:w="80" w:type="dxa"/>
              <w:end w:w="120" w:type="dxa"/>
            </w:tcMar>
            <w:vAlign w:val="center"/>
          </w:tcPr>
          <w:p>
            <w:pPr>
              <w:spacing w:before="0" w:after="0" w:line="240" w:lineRule="auto"/>
              <w:jc w:val="right"/>
              <w:keepLines/>
              <w:widowControl/>
            </w:pPr>
            <w:r>
              <w:rPr>
                <w:sz w:val="16"/>
              </w:rPr>
              <w:t>0.5 / 5</w:t>
            </w:r>
          </w:p>
        </w:tc>
        <w:tc>
          <w:tcPr>
            <w:tcW w:type="dxa" w:w="1500"/>
            <w:tcMar>
              <w:top w:w="80" w:type="dxa"/>
              <w:start w:w="120" w:type="dxa"/>
              <w:bottom w:w="80" w:type="dxa"/>
              <w:end w:w="120" w:type="dxa"/>
            </w:tcMar>
            <w:vAlign w:val="center"/>
          </w:tcPr>
          <w:p>
            <w:pPr>
              <w:spacing w:before="0" w:after="0" w:line="240" w:lineRule="auto"/>
              <w:jc w:val="right"/>
              <w:keepLines/>
              <w:widowControl/>
            </w:pPr>
            <w:r>
              <w:rPr>
                <w:sz w:val="16"/>
              </w:rPr>
              <w:t>2.0</w:t>
            </w:r>
          </w:p>
        </w:tc>
        <w:tc>
          <w:tcPr>
            <w:tcW w:type="dxa" w:w="3320"/>
            <w:tcMar>
              <w:top w:w="80" w:type="dxa"/>
              <w:start w:w="120" w:type="dxa"/>
              <w:bottom w:w="80" w:type="dxa"/>
              <w:end w:w="120" w:type="dxa"/>
            </w:tcMar>
            <w:vAlign w:val="center"/>
          </w:tcPr>
          <w:p>
            <w:pPr>
              <w:spacing w:before="0" w:after="0" w:line="240" w:lineRule="auto"/>
              <w:jc w:val="left"/>
              <w:keepLines/>
              <w:widowControl/>
            </w:pPr>
            <w:r>
              <w:rPr>
                <w:sz w:val="16"/>
              </w:rPr>
              <w:t>No logged external or blind tests</w:t>
            </w:r>
          </w:p>
        </w:tc>
      </w:tr>
      <w:tr>
        <w:trPr>
          <w:cantSplit/>
        </w:trPr>
        <w:tc>
          <w:tcPr>
            <w:tcW w:type="dxa" w:w="2440"/>
            <w:tcMar>
              <w:top w:w="80" w:type="dxa"/>
              <w:start w:w="120" w:type="dxa"/>
              <w:bottom w:w="80" w:type="dxa"/>
              <w:end w:w="120" w:type="dxa"/>
            </w:tcMar>
            <w:vAlign w:val="center"/>
          </w:tcPr>
          <w:p>
            <w:pPr>
              <w:spacing w:before="0" w:after="0" w:line="240" w:lineRule="auto"/>
              <w:jc w:val="left"/>
              <w:keepLines/>
              <w:widowControl/>
            </w:pPr>
            <w:r>
              <w:rPr>
                <w:sz w:val="16"/>
              </w:rPr>
              <w:t>Audience</w:t>
            </w:r>
          </w:p>
        </w:tc>
        <w:tc>
          <w:tcPr>
            <w:tcW w:type="dxa" w:w="1000"/>
            <w:tcMar>
              <w:top w:w="80" w:type="dxa"/>
              <w:start w:w="120" w:type="dxa"/>
              <w:bottom w:w="80" w:type="dxa"/>
              <w:end w:w="120" w:type="dxa"/>
            </w:tcMar>
            <w:vAlign w:val="center"/>
          </w:tcPr>
          <w:p>
            <w:pPr>
              <w:spacing w:before="0" w:after="0" w:line="240" w:lineRule="auto"/>
              <w:jc w:val="right"/>
              <w:keepLines/>
              <w:widowControl/>
            </w:pPr>
            <w:r>
              <w:rPr>
                <w:sz w:val="16"/>
              </w:rPr>
              <w:t>15</w:t>
            </w:r>
          </w:p>
        </w:tc>
        <w:tc>
          <w:tcPr>
            <w:tcW w:type="dxa" w:w="1100"/>
            <w:tcMar>
              <w:top w:w="80" w:type="dxa"/>
              <w:start w:w="120" w:type="dxa"/>
              <w:bottom w:w="80" w:type="dxa"/>
              <w:end w:w="120" w:type="dxa"/>
            </w:tcMar>
            <w:vAlign w:val="center"/>
          </w:tcPr>
          <w:p>
            <w:pPr>
              <w:spacing w:before="0" w:after="0" w:line="240" w:lineRule="auto"/>
              <w:jc w:val="right"/>
              <w:keepLines/>
              <w:widowControl/>
            </w:pPr>
            <w:r>
              <w:rPr>
                <w:sz w:val="16"/>
              </w:rPr>
              <w:t>0.5 / 5</w:t>
            </w:r>
          </w:p>
        </w:tc>
        <w:tc>
          <w:tcPr>
            <w:tcW w:type="dxa" w:w="1500"/>
            <w:tcMar>
              <w:top w:w="80" w:type="dxa"/>
              <w:start w:w="120" w:type="dxa"/>
              <w:bottom w:w="80" w:type="dxa"/>
              <w:end w:w="120" w:type="dxa"/>
            </w:tcMar>
            <w:vAlign w:val="center"/>
          </w:tcPr>
          <w:p>
            <w:pPr>
              <w:spacing w:before="0" w:after="0" w:line="240" w:lineRule="auto"/>
              <w:jc w:val="right"/>
              <w:keepLines/>
              <w:widowControl/>
            </w:pPr>
            <w:r>
              <w:rPr>
                <w:sz w:val="16"/>
              </w:rPr>
              <w:t>1.5</w:t>
            </w:r>
          </w:p>
        </w:tc>
        <w:tc>
          <w:tcPr>
            <w:tcW w:type="dxa" w:w="3320"/>
            <w:tcMar>
              <w:top w:w="80" w:type="dxa"/>
              <w:start w:w="120" w:type="dxa"/>
              <w:bottom w:w="80" w:type="dxa"/>
              <w:end w:w="120" w:type="dxa"/>
            </w:tcMar>
            <w:vAlign w:val="center"/>
          </w:tcPr>
          <w:p>
            <w:pPr>
              <w:spacing w:before="0" w:after="0" w:line="240" w:lineRule="auto"/>
              <w:jc w:val="left"/>
              <w:keepLines/>
              <w:widowControl/>
            </w:pPr>
            <w:r>
              <w:rPr>
                <w:sz w:val="16"/>
              </w:rPr>
              <w:t>No list, followers, reservations, or conversion data</w:t>
            </w:r>
          </w:p>
        </w:tc>
      </w:tr>
      <w:tr>
        <w:trPr>
          <w:cantSplit/>
        </w:trPr>
        <w:tc>
          <w:tcPr>
            <w:tcW w:type="dxa" w:w="2440"/>
            <w:tcMar>
              <w:top w:w="80" w:type="dxa"/>
              <w:start w:w="120" w:type="dxa"/>
              <w:bottom w:w="80" w:type="dxa"/>
              <w:end w:w="120" w:type="dxa"/>
            </w:tcMar>
            <w:vAlign w:val="center"/>
          </w:tcPr>
          <w:p>
            <w:pPr>
              <w:spacing w:before="0" w:after="0" w:line="240" w:lineRule="auto"/>
              <w:jc w:val="left"/>
              <w:keepLines/>
              <w:widowControl/>
            </w:pPr>
            <w:r>
              <w:rPr>
                <w:sz w:val="16"/>
              </w:rPr>
              <w:t>Brand/IP</w:t>
            </w:r>
          </w:p>
        </w:tc>
        <w:tc>
          <w:tcPr>
            <w:tcW w:type="dxa" w:w="1000"/>
            <w:tcMar>
              <w:top w:w="80" w:type="dxa"/>
              <w:start w:w="120" w:type="dxa"/>
              <w:bottom w:w="80" w:type="dxa"/>
              <w:end w:w="120" w:type="dxa"/>
            </w:tcMar>
            <w:vAlign w:val="center"/>
          </w:tcPr>
          <w:p>
            <w:pPr>
              <w:spacing w:before="0" w:after="0" w:line="240" w:lineRule="auto"/>
              <w:jc w:val="right"/>
              <w:keepLines/>
              <w:widowControl/>
            </w:pPr>
            <w:r>
              <w:rPr>
                <w:sz w:val="16"/>
              </w:rPr>
              <w:t>15</w:t>
            </w:r>
          </w:p>
        </w:tc>
        <w:tc>
          <w:tcPr>
            <w:tcW w:type="dxa" w:w="1100"/>
            <w:tcMar>
              <w:top w:w="80" w:type="dxa"/>
              <w:start w:w="120" w:type="dxa"/>
              <w:bottom w:w="80" w:type="dxa"/>
              <w:end w:w="120" w:type="dxa"/>
            </w:tcMar>
            <w:vAlign w:val="center"/>
          </w:tcPr>
          <w:p>
            <w:pPr>
              <w:spacing w:before="0" w:after="0" w:line="240" w:lineRule="auto"/>
              <w:jc w:val="right"/>
              <w:keepLines/>
              <w:widowControl/>
            </w:pPr>
            <w:r>
              <w:rPr>
                <w:sz w:val="16"/>
              </w:rPr>
              <w:t>1.5 / 5</w:t>
            </w:r>
          </w:p>
        </w:tc>
        <w:tc>
          <w:tcPr>
            <w:tcW w:type="dxa" w:w="1500"/>
            <w:tcMar>
              <w:top w:w="80" w:type="dxa"/>
              <w:start w:w="120" w:type="dxa"/>
              <w:bottom w:w="80" w:type="dxa"/>
              <w:end w:w="120" w:type="dxa"/>
            </w:tcMar>
            <w:vAlign w:val="center"/>
          </w:tcPr>
          <w:p>
            <w:pPr>
              <w:spacing w:before="0" w:after="0" w:line="240" w:lineRule="auto"/>
              <w:jc w:val="right"/>
              <w:keepLines/>
              <w:widowControl/>
            </w:pPr>
            <w:r>
              <w:rPr>
                <w:sz w:val="16"/>
              </w:rPr>
              <w:t>4.5</w:t>
            </w:r>
          </w:p>
        </w:tc>
        <w:tc>
          <w:tcPr>
            <w:tcW w:type="dxa" w:w="3320"/>
            <w:tcMar>
              <w:top w:w="80" w:type="dxa"/>
              <w:start w:w="120" w:type="dxa"/>
              <w:bottom w:w="80" w:type="dxa"/>
              <w:end w:w="120" w:type="dxa"/>
            </w:tcMar>
            <w:vAlign w:val="center"/>
          </w:tcPr>
          <w:p>
            <w:pPr>
              <w:spacing w:before="0" w:after="0" w:line="240" w:lineRule="auto"/>
              <w:jc w:val="left"/>
              <w:keepLines/>
              <w:widowControl/>
            </w:pPr>
            <w:r>
              <w:rPr>
                <w:sz w:val="16"/>
              </w:rPr>
              <w:t>Name exists, but preliminary conflict and no clearance</w:t>
            </w:r>
          </w:p>
        </w:tc>
      </w:tr>
      <w:tr>
        <w:trPr>
          <w:cantSplit/>
        </w:trPr>
        <w:tc>
          <w:tcPr>
            <w:tcW w:type="dxa" w:w="2440"/>
            <w:tcMar>
              <w:top w:w="80" w:type="dxa"/>
              <w:start w:w="120" w:type="dxa"/>
              <w:bottom w:w="80" w:type="dxa"/>
              <w:end w:w="120" w:type="dxa"/>
            </w:tcMar>
            <w:vAlign w:val="center"/>
          </w:tcPr>
          <w:p>
            <w:pPr>
              <w:spacing w:before="0" w:after="0" w:line="240" w:lineRule="auto"/>
              <w:jc w:val="left"/>
              <w:keepLines/>
              <w:widowControl/>
            </w:pPr>
            <w:r>
              <w:rPr>
                <w:sz w:val="16"/>
              </w:rPr>
              <w:t>Supply chain</w:t>
            </w:r>
          </w:p>
        </w:tc>
        <w:tc>
          <w:tcPr>
            <w:tcW w:type="dxa" w:w="1000"/>
            <w:tcMar>
              <w:top w:w="80" w:type="dxa"/>
              <w:start w:w="120" w:type="dxa"/>
              <w:bottom w:w="80" w:type="dxa"/>
              <w:end w:w="120" w:type="dxa"/>
            </w:tcMar>
            <w:vAlign w:val="center"/>
          </w:tcPr>
          <w:p>
            <w:pPr>
              <w:spacing w:before="0" w:after="0" w:line="240" w:lineRule="auto"/>
              <w:jc w:val="right"/>
              <w:keepLines/>
              <w:widowControl/>
            </w:pPr>
            <w:r>
              <w:rPr>
                <w:sz w:val="16"/>
              </w:rPr>
              <w:t>15</w:t>
            </w:r>
          </w:p>
        </w:tc>
        <w:tc>
          <w:tcPr>
            <w:tcW w:type="dxa" w:w="1100"/>
            <w:tcMar>
              <w:top w:w="80" w:type="dxa"/>
              <w:start w:w="120" w:type="dxa"/>
              <w:bottom w:w="80" w:type="dxa"/>
              <w:end w:w="120" w:type="dxa"/>
            </w:tcMar>
            <w:vAlign w:val="center"/>
          </w:tcPr>
          <w:p>
            <w:pPr>
              <w:spacing w:before="0" w:after="0" w:line="240" w:lineRule="auto"/>
              <w:jc w:val="right"/>
              <w:keepLines/>
              <w:widowControl/>
            </w:pPr>
            <w:r>
              <w:rPr>
                <w:sz w:val="16"/>
              </w:rPr>
              <w:t>1.5 / 5</w:t>
            </w:r>
          </w:p>
        </w:tc>
        <w:tc>
          <w:tcPr>
            <w:tcW w:type="dxa" w:w="1500"/>
            <w:tcMar>
              <w:top w:w="80" w:type="dxa"/>
              <w:start w:w="120" w:type="dxa"/>
              <w:bottom w:w="80" w:type="dxa"/>
              <w:end w:w="120" w:type="dxa"/>
            </w:tcMar>
            <w:vAlign w:val="center"/>
          </w:tcPr>
          <w:p>
            <w:pPr>
              <w:spacing w:before="0" w:after="0" w:line="240" w:lineRule="auto"/>
              <w:jc w:val="right"/>
              <w:keepLines/>
              <w:widowControl/>
            </w:pPr>
            <w:r>
              <w:rPr>
                <w:sz w:val="16"/>
              </w:rPr>
              <w:t>4.5</w:t>
            </w:r>
          </w:p>
        </w:tc>
        <w:tc>
          <w:tcPr>
            <w:tcW w:type="dxa" w:w="3320"/>
            <w:tcMar>
              <w:top w:w="80" w:type="dxa"/>
              <w:start w:w="120" w:type="dxa"/>
              <w:bottom w:w="80" w:type="dxa"/>
              <w:end w:w="120" w:type="dxa"/>
            </w:tcMar>
            <w:vAlign w:val="center"/>
          </w:tcPr>
          <w:p>
            <w:pPr>
              <w:spacing w:before="0" w:after="0" w:line="240" w:lineRule="auto"/>
              <w:jc w:val="left"/>
              <w:keepLines/>
              <w:widowControl/>
            </w:pPr>
            <w:r>
              <w:rPr>
                <w:sz w:val="16"/>
              </w:rPr>
              <w:t>Public benchmarks only; no product quote or fulfillment plan</w:t>
            </w:r>
          </w:p>
        </w:tc>
      </w:tr>
      <w:tr>
        <w:trPr>
          <w:cantSplit/>
        </w:trPr>
        <w:tc>
          <w:tcPr>
            <w:tcW w:type="dxa" w:w="2440"/>
            <w:tcMar>
              <w:top w:w="80" w:type="dxa"/>
              <w:start w:w="120" w:type="dxa"/>
              <w:bottom w:w="80" w:type="dxa"/>
              <w:end w:w="120" w:type="dxa"/>
            </w:tcMar>
            <w:vAlign w:val="center"/>
          </w:tcPr>
          <w:p>
            <w:pPr>
              <w:spacing w:before="0" w:after="0" w:line="240" w:lineRule="auto"/>
              <w:jc w:val="left"/>
              <w:keepLines/>
              <w:widowControl/>
            </w:pPr>
            <w:r>
              <w:rPr>
                <w:sz w:val="16"/>
              </w:rPr>
              <w:t>Financial/operating plan</w:t>
            </w:r>
          </w:p>
        </w:tc>
        <w:tc>
          <w:tcPr>
            <w:tcW w:type="dxa" w:w="1000"/>
            <w:tcMar>
              <w:top w:w="80" w:type="dxa"/>
              <w:start w:w="120" w:type="dxa"/>
              <w:bottom w:w="80" w:type="dxa"/>
              <w:end w:w="120" w:type="dxa"/>
            </w:tcMar>
            <w:vAlign w:val="center"/>
          </w:tcPr>
          <w:p>
            <w:pPr>
              <w:spacing w:before="0" w:after="0" w:line="240" w:lineRule="auto"/>
              <w:jc w:val="right"/>
              <w:keepLines/>
              <w:widowControl/>
            </w:pPr>
            <w:r>
              <w:rPr>
                <w:sz w:val="16"/>
              </w:rPr>
              <w:t>15</w:t>
            </w:r>
          </w:p>
        </w:tc>
        <w:tc>
          <w:tcPr>
            <w:tcW w:type="dxa" w:w="1100"/>
            <w:tcMar>
              <w:top w:w="80" w:type="dxa"/>
              <w:start w:w="120" w:type="dxa"/>
              <w:bottom w:w="80" w:type="dxa"/>
              <w:end w:w="120" w:type="dxa"/>
            </w:tcMar>
            <w:vAlign w:val="center"/>
          </w:tcPr>
          <w:p>
            <w:pPr>
              <w:spacing w:before="0" w:after="0" w:line="240" w:lineRule="auto"/>
              <w:jc w:val="right"/>
              <w:keepLines/>
              <w:widowControl/>
            </w:pPr>
            <w:r>
              <w:rPr>
                <w:sz w:val="16"/>
              </w:rPr>
              <w:t>2.5 / 5</w:t>
            </w:r>
          </w:p>
        </w:tc>
        <w:tc>
          <w:tcPr>
            <w:tcW w:type="dxa" w:w="1500"/>
            <w:tcMar>
              <w:top w:w="80" w:type="dxa"/>
              <w:start w:w="120" w:type="dxa"/>
              <w:bottom w:w="80" w:type="dxa"/>
              <w:end w:w="120" w:type="dxa"/>
            </w:tcMar>
            <w:vAlign w:val="center"/>
          </w:tcPr>
          <w:p>
            <w:pPr>
              <w:spacing w:before="0" w:after="0" w:line="240" w:lineRule="auto"/>
              <w:jc w:val="right"/>
              <w:keepLines/>
              <w:widowControl/>
            </w:pPr>
            <w:r>
              <w:rPr>
                <w:sz w:val="16"/>
              </w:rPr>
              <w:t>7.5</w:t>
            </w:r>
          </w:p>
        </w:tc>
        <w:tc>
          <w:tcPr>
            <w:tcW w:type="dxa" w:w="3320"/>
            <w:tcMar>
              <w:top w:w="80" w:type="dxa"/>
              <w:start w:w="120" w:type="dxa"/>
              <w:bottom w:w="80" w:type="dxa"/>
              <w:end w:w="120" w:type="dxa"/>
            </w:tcMar>
            <w:vAlign w:val="center"/>
          </w:tcPr>
          <w:p>
            <w:pPr>
              <w:spacing w:before="0" w:after="0" w:line="240" w:lineRule="auto"/>
              <w:jc w:val="left"/>
              <w:keepLines/>
              <w:widowControl/>
            </w:pPr>
            <w:r>
              <w:rPr>
                <w:sz w:val="16"/>
              </w:rPr>
              <w:t>Initial model exists; founder capacity and quotes are unverified</w:t>
            </w:r>
          </w:p>
        </w:tc>
      </w:tr>
      <w:tr>
        <w:trPr>
          <w:cantSplit/>
        </w:trPr>
        <w:tc>
          <w:tcPr>
            <w:tcW w:type="dxa" w:w="2440"/>
            <w:tcMar>
              <w:top w:w="80" w:type="dxa"/>
              <w:start w:w="120" w:type="dxa"/>
              <w:bottom w:w="80" w:type="dxa"/>
              <w:end w:w="120" w:type="dxa"/>
            </w:tcMar>
            <w:vAlign w:val="center"/>
            <w:shd w:fill="E8F5F2"/>
          </w:tcPr>
          <w:p>
            <w:pPr>
              <w:spacing w:before="0" w:after="0" w:line="240" w:lineRule="auto"/>
              <w:jc w:val="left"/>
              <w:keepLines/>
              <w:widowControl/>
            </w:pPr>
            <w:r>
              <w:rPr>
                <w:b/>
                <w:sz w:val="16"/>
              </w:rPr>
              <w:t>Total</w:t>
            </w:r>
          </w:p>
        </w:tc>
        <w:tc>
          <w:tcPr>
            <w:tcW w:type="dxa" w:w="1000"/>
            <w:tcMar>
              <w:top w:w="80" w:type="dxa"/>
              <w:start w:w="120" w:type="dxa"/>
              <w:bottom w:w="80" w:type="dxa"/>
              <w:end w:w="120" w:type="dxa"/>
            </w:tcMar>
            <w:vAlign w:val="center"/>
            <w:shd w:fill="E8F5F2"/>
          </w:tcPr>
          <w:p>
            <w:pPr>
              <w:spacing w:before="0" w:after="0" w:line="240" w:lineRule="auto"/>
              <w:jc w:val="right"/>
              <w:keepLines/>
              <w:widowControl/>
            </w:pPr>
            <w:r>
              <w:rPr>
                <w:b/>
                <w:sz w:val="16"/>
              </w:rPr>
              <w:t>100</w:t>
            </w:r>
          </w:p>
        </w:tc>
        <w:tc>
          <w:tcPr>
            <w:tcW w:type="dxa" w:w="1100"/>
            <w:tcMar>
              <w:top w:w="80" w:type="dxa"/>
              <w:start w:w="120" w:type="dxa"/>
              <w:bottom w:w="80" w:type="dxa"/>
              <w:end w:w="120" w:type="dxa"/>
            </w:tcMar>
            <w:vAlign w:val="center"/>
            <w:shd w:fill="E8F5F2"/>
          </w:tcPr>
          <w:p>
            <w:pPr>
              <w:spacing w:before="0" w:after="0" w:line="240" w:lineRule="auto"/>
              <w:jc w:val="left"/>
              <w:keepLines/>
              <w:widowControl/>
            </w:pPr>
          </w:p>
        </w:tc>
        <w:tc>
          <w:tcPr>
            <w:tcW w:type="dxa" w:w="1500"/>
            <w:tcMar>
              <w:top w:w="80" w:type="dxa"/>
              <w:start w:w="120" w:type="dxa"/>
              <w:bottom w:w="80" w:type="dxa"/>
              <w:end w:w="120" w:type="dxa"/>
            </w:tcMar>
            <w:vAlign w:val="center"/>
            <w:shd w:fill="E8F5F2"/>
          </w:tcPr>
          <w:p>
            <w:pPr>
              <w:spacing w:before="0" w:after="0" w:line="240" w:lineRule="auto"/>
              <w:jc w:val="right"/>
              <w:keepLines/>
              <w:widowControl/>
            </w:pPr>
            <w:r>
              <w:rPr>
                <w:b/>
                <w:sz w:val="16"/>
              </w:rPr>
              <w:t>24.0</w:t>
            </w:r>
          </w:p>
        </w:tc>
        <w:tc>
          <w:tcPr>
            <w:tcW w:type="dxa" w:w="3320"/>
            <w:tcMar>
              <w:top w:w="80" w:type="dxa"/>
              <w:start w:w="120" w:type="dxa"/>
              <w:bottom w:w="80" w:type="dxa"/>
              <w:end w:w="120" w:type="dxa"/>
            </w:tcMar>
            <w:vAlign w:val="center"/>
            <w:shd w:fill="E8F5F2"/>
          </w:tcPr>
          <w:p>
            <w:pPr>
              <w:spacing w:before="0" w:after="0" w:line="240" w:lineRule="auto"/>
              <w:jc w:val="left"/>
              <w:keepLines/>
              <w:widowControl/>
            </w:pPr>
            <w:r>
              <w:rPr>
                <w:b/>
                <w:sz w:val="16"/>
              </w:rPr>
              <w:t>Pre-launch evidence phase</w:t>
            </w:r>
          </w:p>
        </w:tc>
      </w:tr>
    </w:tbl>
    <w:p>
      <w:pPr>
        <w:spacing w:after="0"/>
      </w:pPr>
    </w:p>
    <w:p>
      <w:pPr>
        <w:pStyle w:val="Heading2"/>
        <w:keepNext/>
        <w:keepLines/>
        <w:widowControl/>
      </w:pPr>
      <w:r>
        <w:t>10.3 Feasibility conclusion</w:t>
      </w:r>
    </w:p>
    <w:p>
      <w:pPr>
        <w:widowControl/>
      </w:pPr>
      <w:r>
        <w:t>Proceed with a capped validation phase. Do not order inventory or present the company as investment-ready until the commercial gate is met. The venture can be tested in small, reversible increments; that is its greatest advantage.</w:t>
      </w:r>
    </w:p>
    <w:p>
      <w:pPr>
        <w:pStyle w:val="Heading1"/>
        <w:keepNext/>
        <w:keepLines/>
        <w:widowControl/>
      </w:pPr>
      <w:r>
        <w:t>11. Financial Plan</w:t>
      </w:r>
    </w:p>
    <w:p>
      <w:pPr>
        <w:pStyle w:val="Heading2"/>
        <w:keepNext/>
        <w:keepLines/>
        <w:widowControl/>
      </w:pPr>
      <w:r>
        <w:t>11.1 Base-case five-year summary</w:t>
      </w:r>
    </w:p>
    <w:p>
      <w:pPr>
        <w:spacing w:before="80" w:after="40"/>
        <w:jc w:val="center"/>
        <w:keepLines/>
        <w:widowControl/>
      </w:pPr>
      <w:r>
        <w:drawing>
          <wp:inline xmlns:a="http://schemas.openxmlformats.org/drawingml/2006/main" xmlns:pic="http://schemas.openxmlformats.org/drawingml/2006/picture">
            <wp:extent cx="5715000" cy="2775857"/>
            <wp:docPr id="2" name="Picture 2" descr="Figure 2. Illustrative base case from the linked financial model; values are unaudited planning assumptions."/>
            <wp:cNvGraphicFramePr>
              <a:graphicFrameLocks noChangeAspect="1"/>
            </wp:cNvGraphicFramePr>
            <a:graphic>
              <a:graphicData uri="http://schemas.openxmlformats.org/drawingml/2006/picture">
                <pic:pic>
                  <pic:nvPicPr>
                    <pic:cNvPr id="0" name="base_outlook.png"/>
                    <pic:cNvPicPr/>
                  </pic:nvPicPr>
                  <pic:blipFill>
                    <a:blip r:embed="rId12"/>
                    <a:stretch>
                      <a:fillRect/>
                    </a:stretch>
                  </pic:blipFill>
                  <pic:spPr>
                    <a:xfrm>
                      <a:off x="0" y="0"/>
                      <a:ext cx="5715000" cy="2775857"/>
                    </a:xfrm>
                    <a:prstGeom prst="rect"/>
                  </pic:spPr>
                </pic:pic>
              </a:graphicData>
            </a:graphic>
          </wp:inline>
        </w:drawing>
      </w:r>
    </w:p>
    <w:p>
      <w:pPr>
        <w:pStyle w:val="Caption"/>
        <w:spacing w:after="160"/>
        <w:jc w:val="center"/>
        <w:keepLines/>
        <w:widowControl/>
      </w:pPr>
      <w:r>
        <w:t>Figure 2. Illustrative base case from the linked financial model; values are unaudited planning assumptions.</w:t>
      </w:r>
    </w:p>
    <w:tbl>
      <w:tblPr>
        <w:tblStyle w:val="TableGrid"/>
        <w:jc w:val="center"/>
        <w:tblLook w:firstColumn="1" w:firstRow="1" w:lastColumn="0" w:lastRow="0" w:noHBand="0" w:noVBand="1" w:val="04A0"/>
        <w:tblW w:w="9360" w:type="dxa"/>
        <w:tblInd w:w="0" w:type="dxa"/>
        <w:tblLayout w:type="fixed"/>
        <w:tblBorders>
          <w:top w:val="single" w:sz="4" w:space="0" w:color="D4DCE3"/>
          <w:left w:val="single" w:sz="4" w:space="0" w:color="D4DCE3"/>
          <w:bottom w:val="single" w:sz="4" w:space="0" w:color="D4DCE3"/>
          <w:right w:val="single" w:sz="4" w:space="0" w:color="D4DCE3"/>
          <w:insideH w:val="single" w:sz="4" w:space="0" w:color="D4DCE3"/>
          <w:insideV w:val="single" w:sz="4" w:space="0" w:color="D4DCE3"/>
        </w:tblBorders>
      </w:tblPr>
      <w:tblGrid>
        <w:gridCol w:w="2160"/>
        <w:gridCol w:w="1440"/>
        <w:gridCol w:w="1440"/>
        <w:gridCol w:w="1440"/>
        <w:gridCol w:w="1440"/>
        <w:gridCol w:w="1440"/>
      </w:tblGrid>
      <w:tr>
        <w:trPr>
          <w:tblHeader w:val="true"/>
          <w:cantSplit/>
        </w:trPr>
        <w:tc>
          <w:tcPr>
            <w:tcW w:type="dxa" w:w="2160"/>
            <w:tcMar>
              <w:top w:w="80" w:type="dxa"/>
              <w:start w:w="120" w:type="dxa"/>
              <w:bottom w:w="80" w:type="dxa"/>
              <w:end w:w="120" w:type="dxa"/>
            </w:tcMar>
            <w:vAlign w:val="center"/>
            <w:shd w:fill="15324B"/>
          </w:tcPr>
          <w:p>
            <w:pPr>
              <w:spacing w:before="0" w:after="0" w:line="240" w:lineRule="auto"/>
              <w:jc w:val="center"/>
              <w:keepLines/>
              <w:widowControl/>
            </w:pPr>
            <w:r>
              <w:rPr>
                <w:b/>
                <w:color w:val="FFFFFF"/>
                <w:sz w:val="15"/>
              </w:rPr>
              <w:t>$000s except units</w:t>
            </w:r>
          </w:p>
        </w:tc>
        <w:tc>
          <w:tcPr>
            <w:tcW w:type="dxa" w:w="1440"/>
            <w:tcMar>
              <w:top w:w="80" w:type="dxa"/>
              <w:start w:w="120" w:type="dxa"/>
              <w:bottom w:w="80" w:type="dxa"/>
              <w:end w:w="120" w:type="dxa"/>
            </w:tcMar>
            <w:vAlign w:val="center"/>
            <w:shd w:fill="15324B"/>
          </w:tcPr>
          <w:p>
            <w:pPr>
              <w:spacing w:before="0" w:after="0" w:line="240" w:lineRule="auto"/>
              <w:jc w:val="center"/>
              <w:keepLines/>
              <w:widowControl/>
            </w:pPr>
            <w:r>
              <w:rPr>
                <w:b/>
                <w:color w:val="FFFFFF"/>
                <w:sz w:val="15"/>
              </w:rPr>
              <w:t>2027</w:t>
            </w:r>
          </w:p>
        </w:tc>
        <w:tc>
          <w:tcPr>
            <w:tcW w:type="dxa" w:w="1440"/>
            <w:tcMar>
              <w:top w:w="80" w:type="dxa"/>
              <w:start w:w="120" w:type="dxa"/>
              <w:bottom w:w="80" w:type="dxa"/>
              <w:end w:w="120" w:type="dxa"/>
            </w:tcMar>
            <w:vAlign w:val="center"/>
            <w:shd w:fill="15324B"/>
          </w:tcPr>
          <w:p>
            <w:pPr>
              <w:spacing w:before="0" w:after="0" w:line="240" w:lineRule="auto"/>
              <w:jc w:val="center"/>
              <w:keepLines/>
              <w:widowControl/>
            </w:pPr>
            <w:r>
              <w:rPr>
                <w:b/>
                <w:color w:val="FFFFFF"/>
                <w:sz w:val="15"/>
              </w:rPr>
              <w:t>2028</w:t>
            </w:r>
          </w:p>
        </w:tc>
        <w:tc>
          <w:tcPr>
            <w:tcW w:type="dxa" w:w="1440"/>
            <w:tcMar>
              <w:top w:w="80" w:type="dxa"/>
              <w:start w:w="120" w:type="dxa"/>
              <w:bottom w:w="80" w:type="dxa"/>
              <w:end w:w="120" w:type="dxa"/>
            </w:tcMar>
            <w:vAlign w:val="center"/>
            <w:shd w:fill="15324B"/>
          </w:tcPr>
          <w:p>
            <w:pPr>
              <w:spacing w:before="0" w:after="0" w:line="240" w:lineRule="auto"/>
              <w:jc w:val="center"/>
              <w:keepLines/>
              <w:widowControl/>
            </w:pPr>
            <w:r>
              <w:rPr>
                <w:b/>
                <w:color w:val="FFFFFF"/>
                <w:sz w:val="15"/>
              </w:rPr>
              <w:t>2029</w:t>
            </w:r>
          </w:p>
        </w:tc>
        <w:tc>
          <w:tcPr>
            <w:tcW w:type="dxa" w:w="1440"/>
            <w:tcMar>
              <w:top w:w="80" w:type="dxa"/>
              <w:start w:w="120" w:type="dxa"/>
              <w:bottom w:w="80" w:type="dxa"/>
              <w:end w:w="120" w:type="dxa"/>
            </w:tcMar>
            <w:vAlign w:val="center"/>
            <w:shd w:fill="15324B"/>
          </w:tcPr>
          <w:p>
            <w:pPr>
              <w:spacing w:before="0" w:after="0" w:line="240" w:lineRule="auto"/>
              <w:jc w:val="center"/>
              <w:keepLines/>
              <w:widowControl/>
            </w:pPr>
            <w:r>
              <w:rPr>
                <w:b/>
                <w:color w:val="FFFFFF"/>
                <w:sz w:val="15"/>
              </w:rPr>
              <w:t>2030</w:t>
            </w:r>
          </w:p>
        </w:tc>
        <w:tc>
          <w:tcPr>
            <w:tcW w:type="dxa" w:w="1440"/>
            <w:tcMar>
              <w:top w:w="80" w:type="dxa"/>
              <w:start w:w="120" w:type="dxa"/>
              <w:bottom w:w="80" w:type="dxa"/>
              <w:end w:w="120" w:type="dxa"/>
            </w:tcMar>
            <w:vAlign w:val="center"/>
            <w:shd w:fill="15324B"/>
          </w:tcPr>
          <w:p>
            <w:pPr>
              <w:spacing w:before="0" w:after="0" w:line="240" w:lineRule="auto"/>
              <w:jc w:val="center"/>
              <w:keepLines/>
              <w:widowControl/>
            </w:pPr>
            <w:r>
              <w:rPr>
                <w:b/>
                <w:color w:val="FFFFFF"/>
                <w:sz w:val="15"/>
              </w:rPr>
              <w:t>2031</w:t>
            </w:r>
          </w:p>
        </w:tc>
      </w:tr>
      <w:tr>
        <w:trPr>
          <w:cantSplit/>
        </w:trPr>
        <w:tc>
          <w:tcPr>
            <w:tcW w:type="dxa" w:w="2160"/>
            <w:tcMar>
              <w:top w:w="80" w:type="dxa"/>
              <w:start w:w="120" w:type="dxa"/>
              <w:bottom w:w="80" w:type="dxa"/>
              <w:end w:w="120" w:type="dxa"/>
            </w:tcMar>
            <w:vAlign w:val="center"/>
          </w:tcPr>
          <w:p>
            <w:pPr>
              <w:spacing w:before="0" w:after="0" w:line="240" w:lineRule="auto"/>
              <w:jc w:val="left"/>
              <w:keepLines/>
              <w:widowControl/>
            </w:pPr>
            <w:r>
              <w:rPr>
                <w:sz w:val="15"/>
              </w:rPr>
              <w:t>Units sold</w:t>
            </w:r>
          </w:p>
        </w:tc>
        <w:tc>
          <w:tcPr>
            <w:tcW w:type="dxa" w:w="1440"/>
            <w:tcMar>
              <w:top w:w="80" w:type="dxa"/>
              <w:start w:w="120" w:type="dxa"/>
              <w:bottom w:w="80" w:type="dxa"/>
              <w:end w:w="120" w:type="dxa"/>
            </w:tcMar>
            <w:vAlign w:val="center"/>
          </w:tcPr>
          <w:p>
            <w:pPr>
              <w:spacing w:before="0" w:after="0" w:line="240" w:lineRule="auto"/>
              <w:jc w:val="right"/>
              <w:keepLines/>
              <w:widowControl/>
            </w:pPr>
            <w:r>
              <w:rPr>
                <w:sz w:val="15"/>
              </w:rPr>
              <w:t>2,000</w:t>
            </w:r>
          </w:p>
        </w:tc>
        <w:tc>
          <w:tcPr>
            <w:tcW w:type="dxa" w:w="1440"/>
            <w:tcMar>
              <w:top w:w="80" w:type="dxa"/>
              <w:start w:w="120" w:type="dxa"/>
              <w:bottom w:w="80" w:type="dxa"/>
              <w:end w:w="120" w:type="dxa"/>
            </w:tcMar>
            <w:vAlign w:val="center"/>
          </w:tcPr>
          <w:p>
            <w:pPr>
              <w:spacing w:before="0" w:after="0" w:line="240" w:lineRule="auto"/>
              <w:jc w:val="right"/>
              <w:keepLines/>
              <w:widowControl/>
            </w:pPr>
            <w:r>
              <w:rPr>
                <w:sz w:val="15"/>
              </w:rPr>
              <w:t>5,000</w:t>
            </w:r>
          </w:p>
        </w:tc>
        <w:tc>
          <w:tcPr>
            <w:tcW w:type="dxa" w:w="1440"/>
            <w:tcMar>
              <w:top w:w="80" w:type="dxa"/>
              <w:start w:w="120" w:type="dxa"/>
              <w:bottom w:w="80" w:type="dxa"/>
              <w:end w:w="120" w:type="dxa"/>
            </w:tcMar>
            <w:vAlign w:val="center"/>
          </w:tcPr>
          <w:p>
            <w:pPr>
              <w:spacing w:before="0" w:after="0" w:line="240" w:lineRule="auto"/>
              <w:jc w:val="right"/>
              <w:keepLines/>
              <w:widowControl/>
            </w:pPr>
            <w:r>
              <w:rPr>
                <w:sz w:val="15"/>
              </w:rPr>
              <w:t>10,000</w:t>
            </w:r>
          </w:p>
        </w:tc>
        <w:tc>
          <w:tcPr>
            <w:tcW w:type="dxa" w:w="1440"/>
            <w:tcMar>
              <w:top w:w="80" w:type="dxa"/>
              <w:start w:w="120" w:type="dxa"/>
              <w:bottom w:w="80" w:type="dxa"/>
              <w:end w:w="120" w:type="dxa"/>
            </w:tcMar>
            <w:vAlign w:val="center"/>
          </w:tcPr>
          <w:p>
            <w:pPr>
              <w:spacing w:before="0" w:after="0" w:line="240" w:lineRule="auto"/>
              <w:jc w:val="right"/>
              <w:keepLines/>
              <w:widowControl/>
            </w:pPr>
            <w:r>
              <w:rPr>
                <w:sz w:val="15"/>
              </w:rPr>
              <w:t>17,000</w:t>
            </w:r>
          </w:p>
        </w:tc>
        <w:tc>
          <w:tcPr>
            <w:tcW w:type="dxa" w:w="1440"/>
            <w:tcMar>
              <w:top w:w="80" w:type="dxa"/>
              <w:start w:w="120" w:type="dxa"/>
              <w:bottom w:w="80" w:type="dxa"/>
              <w:end w:w="120" w:type="dxa"/>
            </w:tcMar>
            <w:vAlign w:val="center"/>
          </w:tcPr>
          <w:p>
            <w:pPr>
              <w:spacing w:before="0" w:after="0" w:line="240" w:lineRule="auto"/>
              <w:jc w:val="right"/>
              <w:keepLines/>
              <w:widowControl/>
            </w:pPr>
            <w:r>
              <w:rPr>
                <w:sz w:val="15"/>
              </w:rPr>
              <w:t>26,000</w:t>
            </w:r>
          </w:p>
        </w:tc>
      </w:tr>
      <w:tr>
        <w:trPr>
          <w:cantSplit/>
        </w:trPr>
        <w:tc>
          <w:tcPr>
            <w:tcW w:type="dxa" w:w="2160"/>
            <w:tcMar>
              <w:top w:w="80" w:type="dxa"/>
              <w:start w:w="120" w:type="dxa"/>
              <w:bottom w:w="80" w:type="dxa"/>
              <w:end w:w="120" w:type="dxa"/>
            </w:tcMar>
            <w:vAlign w:val="center"/>
          </w:tcPr>
          <w:p>
            <w:pPr>
              <w:spacing w:before="0" w:after="0" w:line="240" w:lineRule="auto"/>
              <w:jc w:val="left"/>
              <w:keepLines/>
              <w:widowControl/>
            </w:pPr>
            <w:r>
              <w:rPr>
                <w:sz w:val="15"/>
              </w:rPr>
              <w:t>Net revenue</w:t>
            </w:r>
          </w:p>
        </w:tc>
        <w:tc>
          <w:tcPr>
            <w:tcW w:type="dxa" w:w="1440"/>
            <w:tcMar>
              <w:top w:w="80" w:type="dxa"/>
              <w:start w:w="120" w:type="dxa"/>
              <w:bottom w:w="80" w:type="dxa"/>
              <w:end w:w="120" w:type="dxa"/>
            </w:tcMar>
            <w:vAlign w:val="center"/>
          </w:tcPr>
          <w:p>
            <w:pPr>
              <w:spacing w:before="0" w:after="0" w:line="240" w:lineRule="auto"/>
              <w:jc w:val="right"/>
              <w:keepLines/>
              <w:widowControl/>
            </w:pPr>
            <w:r>
              <w:rPr>
                <w:sz w:val="15"/>
              </w:rPr>
              <w:t>67</w:t>
            </w:r>
          </w:p>
        </w:tc>
        <w:tc>
          <w:tcPr>
            <w:tcW w:type="dxa" w:w="1440"/>
            <w:tcMar>
              <w:top w:w="80" w:type="dxa"/>
              <w:start w:w="120" w:type="dxa"/>
              <w:bottom w:w="80" w:type="dxa"/>
              <w:end w:w="120" w:type="dxa"/>
            </w:tcMar>
            <w:vAlign w:val="center"/>
          </w:tcPr>
          <w:p>
            <w:pPr>
              <w:spacing w:before="0" w:after="0" w:line="240" w:lineRule="auto"/>
              <w:jc w:val="right"/>
              <w:keepLines/>
              <w:widowControl/>
            </w:pPr>
            <w:r>
              <w:rPr>
                <w:sz w:val="15"/>
              </w:rPr>
              <w:t>152</w:t>
            </w:r>
          </w:p>
        </w:tc>
        <w:tc>
          <w:tcPr>
            <w:tcW w:type="dxa" w:w="1440"/>
            <w:tcMar>
              <w:top w:w="80" w:type="dxa"/>
              <w:start w:w="120" w:type="dxa"/>
              <w:bottom w:w="80" w:type="dxa"/>
              <w:end w:w="120" w:type="dxa"/>
            </w:tcMar>
            <w:vAlign w:val="center"/>
          </w:tcPr>
          <w:p>
            <w:pPr>
              <w:spacing w:before="0" w:after="0" w:line="240" w:lineRule="auto"/>
              <w:jc w:val="right"/>
              <w:keepLines/>
              <w:widowControl/>
            </w:pPr>
            <w:r>
              <w:rPr>
                <w:sz w:val="15"/>
              </w:rPr>
              <w:t>288</w:t>
            </w:r>
          </w:p>
        </w:tc>
        <w:tc>
          <w:tcPr>
            <w:tcW w:type="dxa" w:w="1440"/>
            <w:tcMar>
              <w:top w:w="80" w:type="dxa"/>
              <w:start w:w="120" w:type="dxa"/>
              <w:bottom w:w="80" w:type="dxa"/>
              <w:end w:w="120" w:type="dxa"/>
            </w:tcMar>
            <w:vAlign w:val="center"/>
          </w:tcPr>
          <w:p>
            <w:pPr>
              <w:spacing w:before="0" w:after="0" w:line="240" w:lineRule="auto"/>
              <w:jc w:val="right"/>
              <w:keepLines/>
              <w:widowControl/>
            </w:pPr>
            <w:r>
              <w:rPr>
                <w:sz w:val="15"/>
              </w:rPr>
              <w:t>468</w:t>
            </w:r>
          </w:p>
        </w:tc>
        <w:tc>
          <w:tcPr>
            <w:tcW w:type="dxa" w:w="1440"/>
            <w:tcMar>
              <w:top w:w="80" w:type="dxa"/>
              <w:start w:w="120" w:type="dxa"/>
              <w:bottom w:w="80" w:type="dxa"/>
              <w:end w:w="120" w:type="dxa"/>
            </w:tcMar>
            <w:vAlign w:val="center"/>
          </w:tcPr>
          <w:p>
            <w:pPr>
              <w:spacing w:before="0" w:after="0" w:line="240" w:lineRule="auto"/>
              <w:jc w:val="right"/>
              <w:keepLines/>
              <w:widowControl/>
            </w:pPr>
            <w:r>
              <w:rPr>
                <w:sz w:val="15"/>
              </w:rPr>
              <w:t>688</w:t>
            </w:r>
          </w:p>
        </w:tc>
      </w:tr>
      <w:tr>
        <w:trPr>
          <w:cantSplit/>
        </w:trPr>
        <w:tc>
          <w:tcPr>
            <w:tcW w:type="dxa" w:w="2160"/>
            <w:tcMar>
              <w:top w:w="80" w:type="dxa"/>
              <w:start w:w="120" w:type="dxa"/>
              <w:bottom w:w="80" w:type="dxa"/>
              <w:end w:w="120" w:type="dxa"/>
            </w:tcMar>
            <w:vAlign w:val="center"/>
          </w:tcPr>
          <w:p>
            <w:pPr>
              <w:spacing w:before="0" w:after="0" w:line="240" w:lineRule="auto"/>
              <w:jc w:val="left"/>
              <w:keepLines/>
              <w:widowControl/>
            </w:pPr>
            <w:r>
              <w:rPr>
                <w:sz w:val="15"/>
              </w:rPr>
              <w:t>Contribution profit</w:t>
            </w:r>
          </w:p>
        </w:tc>
        <w:tc>
          <w:tcPr>
            <w:tcW w:type="dxa" w:w="1440"/>
            <w:tcMar>
              <w:top w:w="80" w:type="dxa"/>
              <w:start w:w="120" w:type="dxa"/>
              <w:bottom w:w="80" w:type="dxa"/>
              <w:end w:w="120" w:type="dxa"/>
            </w:tcMar>
            <w:vAlign w:val="center"/>
          </w:tcPr>
          <w:p>
            <w:pPr>
              <w:spacing w:before="0" w:after="0" w:line="240" w:lineRule="auto"/>
              <w:jc w:val="right"/>
              <w:keepLines/>
              <w:widowControl/>
            </w:pPr>
            <w:r>
              <w:rPr>
                <w:sz w:val="15"/>
              </w:rPr>
              <w:t>31</w:t>
            </w:r>
          </w:p>
        </w:tc>
        <w:tc>
          <w:tcPr>
            <w:tcW w:type="dxa" w:w="1440"/>
            <w:tcMar>
              <w:top w:w="80" w:type="dxa"/>
              <w:start w:w="120" w:type="dxa"/>
              <w:bottom w:w="80" w:type="dxa"/>
              <w:end w:w="120" w:type="dxa"/>
            </w:tcMar>
            <w:vAlign w:val="center"/>
          </w:tcPr>
          <w:p>
            <w:pPr>
              <w:spacing w:before="0" w:after="0" w:line="240" w:lineRule="auto"/>
              <w:jc w:val="right"/>
              <w:keepLines/>
              <w:widowControl/>
            </w:pPr>
            <w:r>
              <w:rPr>
                <w:sz w:val="15"/>
              </w:rPr>
              <w:t>71</w:t>
            </w:r>
          </w:p>
        </w:tc>
        <w:tc>
          <w:tcPr>
            <w:tcW w:type="dxa" w:w="1440"/>
            <w:tcMar>
              <w:top w:w="80" w:type="dxa"/>
              <w:start w:w="120" w:type="dxa"/>
              <w:bottom w:w="80" w:type="dxa"/>
              <w:end w:w="120" w:type="dxa"/>
            </w:tcMar>
            <w:vAlign w:val="center"/>
          </w:tcPr>
          <w:p>
            <w:pPr>
              <w:spacing w:before="0" w:after="0" w:line="240" w:lineRule="auto"/>
              <w:jc w:val="right"/>
              <w:keepLines/>
              <w:widowControl/>
            </w:pPr>
            <w:r>
              <w:rPr>
                <w:sz w:val="15"/>
              </w:rPr>
              <w:t>142</w:t>
            </w:r>
          </w:p>
        </w:tc>
        <w:tc>
          <w:tcPr>
            <w:tcW w:type="dxa" w:w="1440"/>
            <w:tcMar>
              <w:top w:w="80" w:type="dxa"/>
              <w:start w:w="120" w:type="dxa"/>
              <w:bottom w:w="80" w:type="dxa"/>
              <w:end w:w="120" w:type="dxa"/>
            </w:tcMar>
            <w:vAlign w:val="center"/>
          </w:tcPr>
          <w:p>
            <w:pPr>
              <w:spacing w:before="0" w:after="0" w:line="240" w:lineRule="auto"/>
              <w:jc w:val="right"/>
              <w:keepLines/>
              <w:widowControl/>
            </w:pPr>
            <w:r>
              <w:rPr>
                <w:sz w:val="15"/>
              </w:rPr>
              <w:t>242</w:t>
            </w:r>
          </w:p>
        </w:tc>
        <w:tc>
          <w:tcPr>
            <w:tcW w:type="dxa" w:w="1440"/>
            <w:tcMar>
              <w:top w:w="80" w:type="dxa"/>
              <w:start w:w="120" w:type="dxa"/>
              <w:bottom w:w="80" w:type="dxa"/>
              <w:end w:w="120" w:type="dxa"/>
            </w:tcMar>
            <w:vAlign w:val="center"/>
          </w:tcPr>
          <w:p>
            <w:pPr>
              <w:spacing w:before="0" w:after="0" w:line="240" w:lineRule="auto"/>
              <w:jc w:val="right"/>
              <w:keepLines/>
              <w:widowControl/>
            </w:pPr>
            <w:r>
              <w:rPr>
                <w:sz w:val="15"/>
              </w:rPr>
              <w:t>367</w:t>
            </w:r>
          </w:p>
        </w:tc>
      </w:tr>
      <w:tr>
        <w:trPr>
          <w:cantSplit/>
        </w:trPr>
        <w:tc>
          <w:tcPr>
            <w:tcW w:type="dxa" w:w="2160"/>
            <w:tcMar>
              <w:top w:w="80" w:type="dxa"/>
              <w:start w:w="120" w:type="dxa"/>
              <w:bottom w:w="80" w:type="dxa"/>
              <w:end w:w="120" w:type="dxa"/>
            </w:tcMar>
            <w:vAlign w:val="center"/>
          </w:tcPr>
          <w:p>
            <w:pPr>
              <w:spacing w:before="0" w:after="0" w:line="240" w:lineRule="auto"/>
              <w:jc w:val="left"/>
              <w:keepLines/>
              <w:widowControl/>
            </w:pPr>
            <w:r>
              <w:rPr>
                <w:sz w:val="15"/>
              </w:rPr>
              <w:t>EBITDA before founder compensation</w:t>
            </w:r>
          </w:p>
        </w:tc>
        <w:tc>
          <w:tcPr>
            <w:tcW w:type="dxa" w:w="1440"/>
            <w:tcMar>
              <w:top w:w="80" w:type="dxa"/>
              <w:start w:w="120" w:type="dxa"/>
              <w:bottom w:w="80" w:type="dxa"/>
              <w:end w:w="120" w:type="dxa"/>
            </w:tcMar>
            <w:vAlign w:val="center"/>
          </w:tcPr>
          <w:p>
            <w:pPr>
              <w:spacing w:before="0" w:after="0" w:line="240" w:lineRule="auto"/>
              <w:jc w:val="right"/>
              <w:keepLines/>
              <w:widowControl/>
            </w:pPr>
            <w:r>
              <w:rPr>
                <w:sz w:val="15"/>
              </w:rPr>
              <w:t>(23)</w:t>
            </w:r>
          </w:p>
        </w:tc>
        <w:tc>
          <w:tcPr>
            <w:tcW w:type="dxa" w:w="1440"/>
            <w:tcMar>
              <w:top w:w="80" w:type="dxa"/>
              <w:start w:w="120" w:type="dxa"/>
              <w:bottom w:w="80" w:type="dxa"/>
              <w:end w:w="120" w:type="dxa"/>
            </w:tcMar>
            <w:vAlign w:val="center"/>
          </w:tcPr>
          <w:p>
            <w:pPr>
              <w:spacing w:before="0" w:after="0" w:line="240" w:lineRule="auto"/>
              <w:jc w:val="right"/>
              <w:keepLines/>
              <w:widowControl/>
            </w:pPr>
            <w:r>
              <w:rPr>
                <w:sz w:val="15"/>
              </w:rPr>
              <w:t>(4)</w:t>
            </w:r>
          </w:p>
        </w:tc>
        <w:tc>
          <w:tcPr>
            <w:tcW w:type="dxa" w:w="1440"/>
            <w:tcMar>
              <w:top w:w="80" w:type="dxa"/>
              <w:start w:w="120" w:type="dxa"/>
              <w:bottom w:w="80" w:type="dxa"/>
              <w:end w:w="120" w:type="dxa"/>
            </w:tcMar>
            <w:vAlign w:val="center"/>
          </w:tcPr>
          <w:p>
            <w:pPr>
              <w:spacing w:before="0" w:after="0" w:line="240" w:lineRule="auto"/>
              <w:jc w:val="right"/>
              <w:keepLines/>
              <w:widowControl/>
            </w:pPr>
            <w:r>
              <w:rPr>
                <w:sz w:val="15"/>
              </w:rPr>
              <w:t>43</w:t>
            </w:r>
          </w:p>
        </w:tc>
        <w:tc>
          <w:tcPr>
            <w:tcW w:type="dxa" w:w="1440"/>
            <w:tcMar>
              <w:top w:w="80" w:type="dxa"/>
              <w:start w:w="120" w:type="dxa"/>
              <w:bottom w:w="80" w:type="dxa"/>
              <w:end w:w="120" w:type="dxa"/>
            </w:tcMar>
            <w:vAlign w:val="center"/>
          </w:tcPr>
          <w:p>
            <w:pPr>
              <w:spacing w:before="0" w:after="0" w:line="240" w:lineRule="auto"/>
              <w:jc w:val="right"/>
              <w:keepLines/>
              <w:widowControl/>
            </w:pPr>
            <w:r>
              <w:rPr>
                <w:sz w:val="15"/>
              </w:rPr>
              <w:t>113</w:t>
            </w:r>
          </w:p>
        </w:tc>
        <w:tc>
          <w:tcPr>
            <w:tcW w:type="dxa" w:w="1440"/>
            <w:tcMar>
              <w:top w:w="80" w:type="dxa"/>
              <w:start w:w="120" w:type="dxa"/>
              <w:bottom w:w="80" w:type="dxa"/>
              <w:end w:w="120" w:type="dxa"/>
            </w:tcMar>
            <w:vAlign w:val="center"/>
          </w:tcPr>
          <w:p>
            <w:pPr>
              <w:spacing w:before="0" w:after="0" w:line="240" w:lineRule="auto"/>
              <w:jc w:val="right"/>
              <w:keepLines/>
              <w:widowControl/>
            </w:pPr>
            <w:r>
              <w:rPr>
                <w:sz w:val="15"/>
              </w:rPr>
              <w:t>202</w:t>
            </w:r>
          </w:p>
        </w:tc>
      </w:tr>
      <w:tr>
        <w:trPr>
          <w:cantSplit/>
        </w:trPr>
        <w:tc>
          <w:tcPr>
            <w:tcW w:type="dxa" w:w="2160"/>
            <w:tcMar>
              <w:top w:w="80" w:type="dxa"/>
              <w:start w:w="120" w:type="dxa"/>
              <w:bottom w:w="80" w:type="dxa"/>
              <w:end w:w="120" w:type="dxa"/>
            </w:tcMar>
            <w:vAlign w:val="center"/>
          </w:tcPr>
          <w:p>
            <w:pPr>
              <w:spacing w:before="0" w:after="0" w:line="240" w:lineRule="auto"/>
              <w:jc w:val="left"/>
              <w:keepLines/>
              <w:widowControl/>
            </w:pPr>
            <w:r>
              <w:rPr>
                <w:sz w:val="15"/>
              </w:rPr>
              <w:t>Founder compensation</w:t>
            </w:r>
          </w:p>
        </w:tc>
        <w:tc>
          <w:tcPr>
            <w:tcW w:type="dxa" w:w="1440"/>
            <w:tcMar>
              <w:top w:w="80" w:type="dxa"/>
              <w:start w:w="120" w:type="dxa"/>
              <w:bottom w:w="80" w:type="dxa"/>
              <w:end w:w="120" w:type="dxa"/>
            </w:tcMar>
            <w:vAlign w:val="center"/>
          </w:tcPr>
          <w:p>
            <w:pPr>
              <w:spacing w:before="0" w:after="0" w:line="240" w:lineRule="auto"/>
              <w:jc w:val="left"/>
              <w:keepLines/>
              <w:widowControl/>
            </w:pPr>
            <w:r>
              <w:rPr>
                <w:sz w:val="15"/>
              </w:rPr>
              <w:t>-</w:t>
            </w:r>
          </w:p>
        </w:tc>
        <w:tc>
          <w:tcPr>
            <w:tcW w:type="dxa" w:w="1440"/>
            <w:tcMar>
              <w:top w:w="80" w:type="dxa"/>
              <w:start w:w="120" w:type="dxa"/>
              <w:bottom w:w="80" w:type="dxa"/>
              <w:end w:w="120" w:type="dxa"/>
            </w:tcMar>
            <w:vAlign w:val="center"/>
          </w:tcPr>
          <w:p>
            <w:pPr>
              <w:spacing w:before="0" w:after="0" w:line="240" w:lineRule="auto"/>
              <w:jc w:val="right"/>
              <w:keepLines/>
              <w:widowControl/>
            </w:pPr>
            <w:r>
              <w:rPr>
                <w:sz w:val="15"/>
              </w:rPr>
              <w:t>24</w:t>
            </w:r>
          </w:p>
        </w:tc>
        <w:tc>
          <w:tcPr>
            <w:tcW w:type="dxa" w:w="1440"/>
            <w:tcMar>
              <w:top w:w="80" w:type="dxa"/>
              <w:start w:w="120" w:type="dxa"/>
              <w:bottom w:w="80" w:type="dxa"/>
              <w:end w:w="120" w:type="dxa"/>
            </w:tcMar>
            <w:vAlign w:val="center"/>
          </w:tcPr>
          <w:p>
            <w:pPr>
              <w:spacing w:before="0" w:after="0" w:line="240" w:lineRule="auto"/>
              <w:jc w:val="right"/>
              <w:keepLines/>
              <w:widowControl/>
            </w:pPr>
            <w:r>
              <w:rPr>
                <w:sz w:val="15"/>
              </w:rPr>
              <w:t>48</w:t>
            </w:r>
          </w:p>
        </w:tc>
        <w:tc>
          <w:tcPr>
            <w:tcW w:type="dxa" w:w="1440"/>
            <w:tcMar>
              <w:top w:w="80" w:type="dxa"/>
              <w:start w:w="120" w:type="dxa"/>
              <w:bottom w:w="80" w:type="dxa"/>
              <w:end w:w="120" w:type="dxa"/>
            </w:tcMar>
            <w:vAlign w:val="center"/>
          </w:tcPr>
          <w:p>
            <w:pPr>
              <w:spacing w:before="0" w:after="0" w:line="240" w:lineRule="auto"/>
              <w:jc w:val="right"/>
              <w:keepLines/>
              <w:widowControl/>
            </w:pPr>
            <w:r>
              <w:rPr>
                <w:sz w:val="15"/>
              </w:rPr>
              <w:t>72</w:t>
            </w:r>
          </w:p>
        </w:tc>
        <w:tc>
          <w:tcPr>
            <w:tcW w:type="dxa" w:w="1440"/>
            <w:tcMar>
              <w:top w:w="80" w:type="dxa"/>
              <w:start w:w="120" w:type="dxa"/>
              <w:bottom w:w="80" w:type="dxa"/>
              <w:end w:w="120" w:type="dxa"/>
            </w:tcMar>
            <w:vAlign w:val="center"/>
          </w:tcPr>
          <w:p>
            <w:pPr>
              <w:spacing w:before="0" w:after="0" w:line="240" w:lineRule="auto"/>
              <w:jc w:val="right"/>
              <w:keepLines/>
              <w:widowControl/>
            </w:pPr>
            <w:r>
              <w:rPr>
                <w:sz w:val="15"/>
              </w:rPr>
              <w:t>90</w:t>
            </w:r>
          </w:p>
        </w:tc>
      </w:tr>
      <w:tr>
        <w:trPr>
          <w:cantSplit/>
        </w:trPr>
        <w:tc>
          <w:tcPr>
            <w:tcW w:type="dxa" w:w="2160"/>
            <w:tcMar>
              <w:top w:w="80" w:type="dxa"/>
              <w:start w:w="120" w:type="dxa"/>
              <w:bottom w:w="80" w:type="dxa"/>
              <w:end w:w="120" w:type="dxa"/>
            </w:tcMar>
            <w:vAlign w:val="center"/>
          </w:tcPr>
          <w:p>
            <w:pPr>
              <w:spacing w:before="0" w:after="0" w:line="240" w:lineRule="auto"/>
              <w:jc w:val="left"/>
              <w:keepLines/>
              <w:widowControl/>
            </w:pPr>
            <w:r>
              <w:rPr>
                <w:sz w:val="15"/>
              </w:rPr>
              <w:t>EBITDA after founder compensation</w:t>
            </w:r>
          </w:p>
        </w:tc>
        <w:tc>
          <w:tcPr>
            <w:tcW w:type="dxa" w:w="1440"/>
            <w:tcMar>
              <w:top w:w="80" w:type="dxa"/>
              <w:start w:w="120" w:type="dxa"/>
              <w:bottom w:w="80" w:type="dxa"/>
              <w:end w:w="120" w:type="dxa"/>
            </w:tcMar>
            <w:vAlign w:val="center"/>
          </w:tcPr>
          <w:p>
            <w:pPr>
              <w:spacing w:before="0" w:after="0" w:line="240" w:lineRule="auto"/>
              <w:jc w:val="right"/>
              <w:keepLines/>
              <w:widowControl/>
            </w:pPr>
            <w:r>
              <w:rPr>
                <w:sz w:val="15"/>
              </w:rPr>
              <w:t>(23)</w:t>
            </w:r>
          </w:p>
        </w:tc>
        <w:tc>
          <w:tcPr>
            <w:tcW w:type="dxa" w:w="1440"/>
            <w:tcMar>
              <w:top w:w="80" w:type="dxa"/>
              <w:start w:w="120" w:type="dxa"/>
              <w:bottom w:w="80" w:type="dxa"/>
              <w:end w:w="120" w:type="dxa"/>
            </w:tcMar>
            <w:vAlign w:val="center"/>
          </w:tcPr>
          <w:p>
            <w:pPr>
              <w:spacing w:before="0" w:after="0" w:line="240" w:lineRule="auto"/>
              <w:jc w:val="right"/>
              <w:keepLines/>
              <w:widowControl/>
            </w:pPr>
            <w:r>
              <w:rPr>
                <w:sz w:val="15"/>
              </w:rPr>
              <w:t>(28)</w:t>
            </w:r>
          </w:p>
        </w:tc>
        <w:tc>
          <w:tcPr>
            <w:tcW w:type="dxa" w:w="1440"/>
            <w:tcMar>
              <w:top w:w="80" w:type="dxa"/>
              <w:start w:w="120" w:type="dxa"/>
              <w:bottom w:w="80" w:type="dxa"/>
              <w:end w:w="120" w:type="dxa"/>
            </w:tcMar>
            <w:vAlign w:val="center"/>
          </w:tcPr>
          <w:p>
            <w:pPr>
              <w:spacing w:before="0" w:after="0" w:line="240" w:lineRule="auto"/>
              <w:jc w:val="right"/>
              <w:keepLines/>
              <w:widowControl/>
            </w:pPr>
            <w:r>
              <w:rPr>
                <w:sz w:val="15"/>
              </w:rPr>
              <w:t>(5)</w:t>
            </w:r>
          </w:p>
        </w:tc>
        <w:tc>
          <w:tcPr>
            <w:tcW w:type="dxa" w:w="1440"/>
            <w:tcMar>
              <w:top w:w="80" w:type="dxa"/>
              <w:start w:w="120" w:type="dxa"/>
              <w:bottom w:w="80" w:type="dxa"/>
              <w:end w:w="120" w:type="dxa"/>
            </w:tcMar>
            <w:vAlign w:val="center"/>
          </w:tcPr>
          <w:p>
            <w:pPr>
              <w:spacing w:before="0" w:after="0" w:line="240" w:lineRule="auto"/>
              <w:jc w:val="right"/>
              <w:keepLines/>
              <w:widowControl/>
            </w:pPr>
            <w:r>
              <w:rPr>
                <w:sz w:val="15"/>
              </w:rPr>
              <w:t>41</w:t>
            </w:r>
          </w:p>
        </w:tc>
        <w:tc>
          <w:tcPr>
            <w:tcW w:type="dxa" w:w="1440"/>
            <w:tcMar>
              <w:top w:w="80" w:type="dxa"/>
              <w:start w:w="120" w:type="dxa"/>
              <w:bottom w:w="80" w:type="dxa"/>
              <w:end w:w="120" w:type="dxa"/>
            </w:tcMar>
            <w:vAlign w:val="center"/>
          </w:tcPr>
          <w:p>
            <w:pPr>
              <w:spacing w:before="0" w:after="0" w:line="240" w:lineRule="auto"/>
              <w:jc w:val="right"/>
              <w:keepLines/>
              <w:widowControl/>
            </w:pPr>
            <w:r>
              <w:rPr>
                <w:sz w:val="15"/>
              </w:rPr>
              <w:t>112</w:t>
            </w:r>
          </w:p>
        </w:tc>
      </w:tr>
    </w:tbl>
    <w:p>
      <w:pPr>
        <w:spacing w:after="0"/>
      </w:pPr>
    </w:p>
    <w:p>
      <w:pPr>
        <w:widowControl/>
      </w:pPr>
      <w:r>
        <w:t>The base case is intentionally not a “hockey stick.” It implies approximately 60,000 cumulative units across five years and only modest founder compensation. It becomes an attractive small business if unit demand and DTC share hold; it does not support two market-rate salaries early.</w:t>
      </w:r>
    </w:p>
    <w:p>
      <w:pPr>
        <w:pStyle w:val="Heading2"/>
        <w:keepNext/>
        <w:keepLines/>
        <w:widowControl/>
      </w:pPr>
      <w:r>
        <w:t>11.2 Scenario outcomes</w:t>
      </w:r>
    </w:p>
    <w:p>
      <w:pPr>
        <w:spacing w:before="80" w:after="40"/>
        <w:jc w:val="center"/>
        <w:keepLines/>
        <w:widowControl/>
      </w:pPr>
      <w:r>
        <w:drawing>
          <wp:inline xmlns:a="http://schemas.openxmlformats.org/drawingml/2006/main" xmlns:pic="http://schemas.openxmlformats.org/drawingml/2006/picture">
            <wp:extent cx="5715000" cy="2285999"/>
            <wp:docPr id="3" name="Picture 3" descr="Figure 3. Five-year cumulative EBITDA range; scenarios are planning cases, not probabilities."/>
            <wp:cNvGraphicFramePr>
              <a:graphicFrameLocks noChangeAspect="1"/>
            </wp:cNvGraphicFramePr>
            <a:graphic>
              <a:graphicData uri="http://schemas.openxmlformats.org/drawingml/2006/picture">
                <pic:pic>
                  <pic:nvPicPr>
                    <pic:cNvPr id="0" name="scenario_ebitda.png"/>
                    <pic:cNvPicPr/>
                  </pic:nvPicPr>
                  <pic:blipFill>
                    <a:blip r:embed="rId13"/>
                    <a:stretch>
                      <a:fillRect/>
                    </a:stretch>
                  </pic:blipFill>
                  <pic:spPr>
                    <a:xfrm>
                      <a:off x="0" y="0"/>
                      <a:ext cx="5715000" cy="2285999"/>
                    </a:xfrm>
                    <a:prstGeom prst="rect"/>
                  </pic:spPr>
                </pic:pic>
              </a:graphicData>
            </a:graphic>
          </wp:inline>
        </w:drawing>
      </w:r>
    </w:p>
    <w:p>
      <w:pPr>
        <w:pStyle w:val="Caption"/>
        <w:spacing w:after="160"/>
        <w:jc w:val="center"/>
        <w:keepLines/>
        <w:widowControl/>
      </w:pPr>
      <w:r>
        <w:t>Figure 3. Five-year cumulative EBITDA range; scenarios are planning cases, not probabilities.</w:t>
      </w:r>
    </w:p>
    <w:tbl>
      <w:tblPr>
        <w:tblStyle w:val="TableGrid"/>
        <w:jc w:val="center"/>
        <w:tblLook w:firstColumn="1" w:firstRow="1" w:lastColumn="0" w:lastRow="0" w:noHBand="0" w:noVBand="1" w:val="04A0"/>
        <w:tblW w:w="9360" w:type="dxa"/>
        <w:tblInd w:w="0" w:type="dxa"/>
        <w:tblLayout w:type="fixed"/>
        <w:tblBorders>
          <w:top w:val="single" w:sz="4" w:space="0" w:color="D4DCE3"/>
          <w:left w:val="single" w:sz="4" w:space="0" w:color="D4DCE3"/>
          <w:bottom w:val="single" w:sz="4" w:space="0" w:color="D4DCE3"/>
          <w:right w:val="single" w:sz="4" w:space="0" w:color="D4DCE3"/>
          <w:insideH w:val="single" w:sz="4" w:space="0" w:color="D4DCE3"/>
          <w:insideV w:val="single" w:sz="4" w:space="0" w:color="D4DCE3"/>
        </w:tblBorders>
      </w:tblPr>
      <w:tblGrid>
        <w:gridCol w:w="2440"/>
        <w:gridCol w:w="1000"/>
        <w:gridCol w:w="1100"/>
        <w:gridCol w:w="1500"/>
        <w:gridCol w:w="3320"/>
      </w:tblGrid>
      <w:tr>
        <w:trPr>
          <w:tblHeader w:val="true"/>
          <w:cantSplit/>
        </w:trPr>
        <w:tc>
          <w:tcPr>
            <w:tcW w:type="dxa" w:w="2440"/>
            <w:tcMar>
              <w:top w:w="80" w:type="dxa"/>
              <w:start w:w="120" w:type="dxa"/>
              <w:bottom w:w="80" w:type="dxa"/>
              <w:end w:w="120" w:type="dxa"/>
            </w:tcMar>
            <w:vAlign w:val="center"/>
            <w:shd w:fill="15324B"/>
          </w:tcPr>
          <w:p>
            <w:pPr>
              <w:spacing w:before="0" w:after="0" w:line="240" w:lineRule="auto"/>
              <w:jc w:val="center"/>
              <w:keepLines/>
              <w:widowControl/>
            </w:pPr>
            <w:r>
              <w:rPr>
                <w:b/>
                <w:color w:val="FFFFFF"/>
                <w:sz w:val="16"/>
              </w:rPr>
              <w:t>Scenario</w:t>
            </w:r>
          </w:p>
        </w:tc>
        <w:tc>
          <w:tcPr>
            <w:tcW w:type="dxa" w:w="1000"/>
            <w:tcMar>
              <w:top w:w="80" w:type="dxa"/>
              <w:start w:w="120" w:type="dxa"/>
              <w:bottom w:w="80" w:type="dxa"/>
              <w:end w:w="120" w:type="dxa"/>
            </w:tcMar>
            <w:vAlign w:val="center"/>
            <w:shd w:fill="15324B"/>
          </w:tcPr>
          <w:p>
            <w:pPr>
              <w:spacing w:before="0" w:after="0" w:line="240" w:lineRule="auto"/>
              <w:jc w:val="center"/>
              <w:keepLines/>
              <w:widowControl/>
            </w:pPr>
            <w:r>
              <w:rPr>
                <w:b/>
                <w:color w:val="FFFFFF"/>
                <w:sz w:val="16"/>
              </w:rPr>
              <w:t>Year-5 revenue</w:t>
            </w:r>
          </w:p>
        </w:tc>
        <w:tc>
          <w:tcPr>
            <w:tcW w:type="dxa" w:w="1100"/>
            <w:tcMar>
              <w:top w:w="80" w:type="dxa"/>
              <w:start w:w="120" w:type="dxa"/>
              <w:bottom w:w="80" w:type="dxa"/>
              <w:end w:w="120" w:type="dxa"/>
            </w:tcMar>
            <w:vAlign w:val="center"/>
            <w:shd w:fill="15324B"/>
          </w:tcPr>
          <w:p>
            <w:pPr>
              <w:spacing w:before="0" w:after="0" w:line="240" w:lineRule="auto"/>
              <w:jc w:val="center"/>
              <w:keepLines/>
              <w:widowControl/>
            </w:pPr>
            <w:r>
              <w:rPr>
                <w:b/>
                <w:color w:val="FFFFFF"/>
                <w:sz w:val="16"/>
              </w:rPr>
              <w:t>Year-5 EBITDA</w:t>
            </w:r>
          </w:p>
        </w:tc>
        <w:tc>
          <w:tcPr>
            <w:tcW w:type="dxa" w:w="1500"/>
            <w:tcMar>
              <w:top w:w="80" w:type="dxa"/>
              <w:start w:w="120" w:type="dxa"/>
              <w:bottom w:w="80" w:type="dxa"/>
              <w:end w:w="120" w:type="dxa"/>
            </w:tcMar>
            <w:vAlign w:val="center"/>
            <w:shd w:fill="15324B"/>
          </w:tcPr>
          <w:p>
            <w:pPr>
              <w:spacing w:before="0" w:after="0" w:line="240" w:lineRule="auto"/>
              <w:jc w:val="center"/>
              <w:keepLines/>
              <w:widowControl/>
            </w:pPr>
            <w:r>
              <w:rPr>
                <w:b/>
                <w:color w:val="FFFFFF"/>
                <w:sz w:val="16"/>
              </w:rPr>
              <w:t>Five-year cumulative EBITDA</w:t>
            </w:r>
          </w:p>
        </w:tc>
        <w:tc>
          <w:tcPr>
            <w:tcW w:type="dxa" w:w="3320"/>
            <w:tcMar>
              <w:top w:w="80" w:type="dxa"/>
              <w:start w:w="120" w:type="dxa"/>
              <w:bottom w:w="80" w:type="dxa"/>
              <w:end w:w="120" w:type="dxa"/>
            </w:tcMar>
            <w:vAlign w:val="center"/>
            <w:shd w:fill="15324B"/>
          </w:tcPr>
          <w:p>
            <w:pPr>
              <w:spacing w:before="0" w:after="0" w:line="240" w:lineRule="auto"/>
              <w:jc w:val="center"/>
              <w:keepLines/>
              <w:widowControl/>
            </w:pPr>
            <w:r>
              <w:rPr>
                <w:b/>
                <w:color w:val="FFFFFF"/>
                <w:sz w:val="16"/>
              </w:rPr>
              <w:t>Interpretation</w:t>
            </w:r>
          </w:p>
        </w:tc>
      </w:tr>
      <w:tr>
        <w:trPr>
          <w:cantSplit/>
        </w:trPr>
        <w:tc>
          <w:tcPr>
            <w:tcW w:type="dxa" w:w="2440"/>
            <w:tcMar>
              <w:top w:w="80" w:type="dxa"/>
              <w:start w:w="120" w:type="dxa"/>
              <w:bottom w:w="80" w:type="dxa"/>
              <w:end w:w="120" w:type="dxa"/>
            </w:tcMar>
            <w:vAlign w:val="center"/>
          </w:tcPr>
          <w:p>
            <w:pPr>
              <w:spacing w:before="0" w:after="0" w:line="240" w:lineRule="auto"/>
              <w:jc w:val="left"/>
              <w:keepLines/>
              <w:widowControl/>
            </w:pPr>
            <w:r>
              <w:rPr>
                <w:sz w:val="16"/>
              </w:rPr>
              <w:t>Conservative</w:t>
            </w:r>
          </w:p>
        </w:tc>
        <w:tc>
          <w:tcPr>
            <w:tcW w:type="dxa" w:w="1000"/>
            <w:tcMar>
              <w:top w:w="80" w:type="dxa"/>
              <w:start w:w="120" w:type="dxa"/>
              <w:bottom w:w="80" w:type="dxa"/>
              <w:end w:w="120" w:type="dxa"/>
            </w:tcMar>
            <w:vAlign w:val="center"/>
          </w:tcPr>
          <w:p>
            <w:pPr>
              <w:spacing w:before="0" w:after="0" w:line="240" w:lineRule="auto"/>
              <w:jc w:val="right"/>
              <w:keepLines/>
              <w:widowControl/>
            </w:pPr>
            <w:r>
              <w:rPr>
                <w:sz w:val="16"/>
              </w:rPr>
              <w:t>$302K</w:t>
            </w:r>
          </w:p>
        </w:tc>
        <w:tc>
          <w:tcPr>
            <w:tcW w:type="dxa" w:w="1100"/>
            <w:tcMar>
              <w:top w:w="80" w:type="dxa"/>
              <w:start w:w="120" w:type="dxa"/>
              <w:bottom w:w="80" w:type="dxa"/>
              <w:end w:w="120" w:type="dxa"/>
            </w:tcMar>
            <w:vAlign w:val="center"/>
          </w:tcPr>
          <w:p>
            <w:pPr>
              <w:spacing w:before="0" w:after="0" w:line="240" w:lineRule="auto"/>
              <w:jc w:val="left"/>
              <w:keepLines/>
              <w:widowControl/>
            </w:pPr>
            <w:r>
              <w:rPr>
                <w:sz w:val="16"/>
              </w:rPr>
              <w:t>$(8)K</w:t>
            </w:r>
          </w:p>
        </w:tc>
        <w:tc>
          <w:tcPr>
            <w:tcW w:type="dxa" w:w="1500"/>
            <w:tcMar>
              <w:top w:w="80" w:type="dxa"/>
              <w:start w:w="120" w:type="dxa"/>
              <w:bottom w:w="80" w:type="dxa"/>
              <w:end w:w="120" w:type="dxa"/>
            </w:tcMar>
            <w:vAlign w:val="center"/>
          </w:tcPr>
          <w:p>
            <w:pPr>
              <w:spacing w:before="0" w:after="0" w:line="240" w:lineRule="auto"/>
              <w:jc w:val="left"/>
              <w:keepLines/>
              <w:widowControl/>
            </w:pPr>
            <w:r>
              <w:rPr>
                <w:sz w:val="16"/>
              </w:rPr>
              <w:t>$(158)K</w:t>
            </w:r>
          </w:p>
        </w:tc>
        <w:tc>
          <w:tcPr>
            <w:tcW w:type="dxa" w:w="3320"/>
            <w:tcMar>
              <w:top w:w="80" w:type="dxa"/>
              <w:start w:w="120" w:type="dxa"/>
              <w:bottom w:w="80" w:type="dxa"/>
              <w:end w:w="120" w:type="dxa"/>
            </w:tcMar>
            <w:vAlign w:val="center"/>
          </w:tcPr>
          <w:p>
            <w:pPr>
              <w:spacing w:before="0" w:after="0" w:line="240" w:lineRule="auto"/>
              <w:jc w:val="left"/>
              <w:keepLines/>
              <w:widowControl/>
            </w:pPr>
            <w:r>
              <w:rPr>
                <w:sz w:val="16"/>
              </w:rPr>
              <w:t>Do not scale; license or pause after validation failure</w:t>
            </w:r>
          </w:p>
        </w:tc>
      </w:tr>
      <w:tr>
        <w:trPr>
          <w:cantSplit/>
        </w:trPr>
        <w:tc>
          <w:tcPr>
            <w:tcW w:type="dxa" w:w="2440"/>
            <w:tcMar>
              <w:top w:w="80" w:type="dxa"/>
              <w:start w:w="120" w:type="dxa"/>
              <w:bottom w:w="80" w:type="dxa"/>
              <w:end w:w="120" w:type="dxa"/>
            </w:tcMar>
            <w:vAlign w:val="center"/>
            <w:shd w:fill="E8F5F2"/>
          </w:tcPr>
          <w:p>
            <w:pPr>
              <w:spacing w:before="0" w:after="0" w:line="240" w:lineRule="auto"/>
              <w:jc w:val="left"/>
              <w:keepLines/>
              <w:widowControl/>
            </w:pPr>
            <w:r>
              <w:rPr>
                <w:b/>
                <w:sz w:val="16"/>
              </w:rPr>
              <w:t>Base</w:t>
            </w:r>
          </w:p>
        </w:tc>
        <w:tc>
          <w:tcPr>
            <w:tcW w:type="dxa" w:w="1000"/>
            <w:tcMar>
              <w:top w:w="80" w:type="dxa"/>
              <w:start w:w="120" w:type="dxa"/>
              <w:bottom w:w="80" w:type="dxa"/>
              <w:end w:w="120" w:type="dxa"/>
            </w:tcMar>
            <w:vAlign w:val="center"/>
            <w:shd w:fill="E8F5F2"/>
          </w:tcPr>
          <w:p>
            <w:pPr>
              <w:spacing w:before="0" w:after="0" w:line="240" w:lineRule="auto"/>
              <w:jc w:val="right"/>
              <w:keepLines/>
              <w:widowControl/>
            </w:pPr>
            <w:r>
              <w:rPr>
                <w:b/>
                <w:sz w:val="16"/>
              </w:rPr>
              <w:t>$688K</w:t>
            </w:r>
          </w:p>
        </w:tc>
        <w:tc>
          <w:tcPr>
            <w:tcW w:type="dxa" w:w="1100"/>
            <w:tcMar>
              <w:top w:w="80" w:type="dxa"/>
              <w:start w:w="120" w:type="dxa"/>
              <w:bottom w:w="80" w:type="dxa"/>
              <w:end w:w="120" w:type="dxa"/>
            </w:tcMar>
            <w:vAlign w:val="center"/>
            <w:shd w:fill="E8F5F2"/>
          </w:tcPr>
          <w:p>
            <w:pPr>
              <w:spacing w:before="0" w:after="0" w:line="240" w:lineRule="auto"/>
              <w:jc w:val="right"/>
              <w:keepLines/>
              <w:widowControl/>
            </w:pPr>
            <w:r>
              <w:rPr>
                <w:b/>
                <w:sz w:val="16"/>
              </w:rPr>
              <w:t>$112K</w:t>
            </w:r>
          </w:p>
        </w:tc>
        <w:tc>
          <w:tcPr>
            <w:tcW w:type="dxa" w:w="1500"/>
            <w:tcMar>
              <w:top w:w="80" w:type="dxa"/>
              <w:start w:w="120" w:type="dxa"/>
              <w:bottom w:w="80" w:type="dxa"/>
              <w:end w:w="120" w:type="dxa"/>
            </w:tcMar>
            <w:vAlign w:val="center"/>
            <w:shd w:fill="E8F5F2"/>
          </w:tcPr>
          <w:p>
            <w:pPr>
              <w:spacing w:before="0" w:after="0" w:line="240" w:lineRule="auto"/>
              <w:jc w:val="right"/>
              <w:keepLines/>
              <w:widowControl/>
            </w:pPr>
            <w:r>
              <w:rPr>
                <w:b/>
                <w:sz w:val="16"/>
              </w:rPr>
              <w:t>$97K</w:t>
            </w:r>
          </w:p>
        </w:tc>
        <w:tc>
          <w:tcPr>
            <w:tcW w:type="dxa" w:w="3320"/>
            <w:tcMar>
              <w:top w:w="80" w:type="dxa"/>
              <w:start w:w="120" w:type="dxa"/>
              <w:bottom w:w="80" w:type="dxa"/>
              <w:end w:w="120" w:type="dxa"/>
            </w:tcMar>
            <w:vAlign w:val="center"/>
            <w:shd w:fill="E8F5F2"/>
          </w:tcPr>
          <w:p>
            <w:pPr>
              <w:spacing w:before="0" w:after="0" w:line="240" w:lineRule="auto"/>
              <w:jc w:val="left"/>
              <w:keepLines/>
              <w:widowControl/>
            </w:pPr>
            <w:r>
              <w:rPr>
                <w:b/>
                <w:sz w:val="16"/>
              </w:rPr>
              <w:t>Sustainable small publisher after a three-year build</w:t>
            </w:r>
          </w:p>
        </w:tc>
      </w:tr>
      <w:tr>
        <w:trPr>
          <w:cantSplit/>
        </w:trPr>
        <w:tc>
          <w:tcPr>
            <w:tcW w:type="dxa" w:w="2440"/>
            <w:tcMar>
              <w:top w:w="80" w:type="dxa"/>
              <w:start w:w="120" w:type="dxa"/>
              <w:bottom w:w="80" w:type="dxa"/>
              <w:end w:w="120" w:type="dxa"/>
            </w:tcMar>
            <w:vAlign w:val="center"/>
          </w:tcPr>
          <w:p>
            <w:pPr>
              <w:spacing w:before="0" w:after="0" w:line="240" w:lineRule="auto"/>
              <w:jc w:val="left"/>
              <w:keepLines/>
              <w:widowControl/>
            </w:pPr>
            <w:r>
              <w:rPr>
                <w:sz w:val="16"/>
              </w:rPr>
              <w:t>Upside</w:t>
            </w:r>
          </w:p>
        </w:tc>
        <w:tc>
          <w:tcPr>
            <w:tcW w:type="dxa" w:w="1000"/>
            <w:tcMar>
              <w:top w:w="80" w:type="dxa"/>
              <w:start w:w="120" w:type="dxa"/>
              <w:bottom w:w="80" w:type="dxa"/>
              <w:end w:w="120" w:type="dxa"/>
            </w:tcMar>
            <w:vAlign w:val="center"/>
          </w:tcPr>
          <w:p>
            <w:pPr>
              <w:spacing w:before="0" w:after="0" w:line="240" w:lineRule="auto"/>
              <w:jc w:val="right"/>
              <w:keepLines/>
              <w:widowControl/>
            </w:pPr>
            <w:r>
              <w:rPr>
                <w:sz w:val="16"/>
              </w:rPr>
              <w:t>$1.44M</w:t>
            </w:r>
          </w:p>
        </w:tc>
        <w:tc>
          <w:tcPr>
            <w:tcW w:type="dxa" w:w="1100"/>
            <w:tcMar>
              <w:top w:w="80" w:type="dxa"/>
              <w:start w:w="120" w:type="dxa"/>
              <w:bottom w:w="80" w:type="dxa"/>
              <w:end w:w="120" w:type="dxa"/>
            </w:tcMar>
            <w:vAlign w:val="center"/>
          </w:tcPr>
          <w:p>
            <w:pPr>
              <w:spacing w:before="0" w:after="0" w:line="240" w:lineRule="auto"/>
              <w:jc w:val="right"/>
              <w:keepLines/>
              <w:widowControl/>
            </w:pPr>
            <w:r>
              <w:rPr>
                <w:sz w:val="16"/>
              </w:rPr>
              <w:t>$457K</w:t>
            </w:r>
          </w:p>
        </w:tc>
        <w:tc>
          <w:tcPr>
            <w:tcW w:type="dxa" w:w="1500"/>
            <w:tcMar>
              <w:top w:w="80" w:type="dxa"/>
              <w:start w:w="120" w:type="dxa"/>
              <w:bottom w:w="80" w:type="dxa"/>
              <w:end w:w="120" w:type="dxa"/>
            </w:tcMar>
            <w:vAlign w:val="center"/>
          </w:tcPr>
          <w:p>
            <w:pPr>
              <w:spacing w:before="0" w:after="0" w:line="240" w:lineRule="auto"/>
              <w:jc w:val="right"/>
              <w:keepLines/>
              <w:widowControl/>
            </w:pPr>
            <w:r>
              <w:rPr>
                <w:sz w:val="16"/>
              </w:rPr>
              <w:t>$849K</w:t>
            </w:r>
          </w:p>
        </w:tc>
        <w:tc>
          <w:tcPr>
            <w:tcW w:type="dxa" w:w="3320"/>
            <w:tcMar>
              <w:top w:w="80" w:type="dxa"/>
              <w:start w:w="120" w:type="dxa"/>
              <w:bottom w:w="80" w:type="dxa"/>
              <w:end w:w="120" w:type="dxa"/>
            </w:tcMar>
            <w:vAlign w:val="center"/>
          </w:tcPr>
          <w:p>
            <w:pPr>
              <w:spacing w:before="0" w:after="0" w:line="240" w:lineRule="auto"/>
              <w:jc w:val="left"/>
              <w:keepLines/>
              <w:widowControl/>
            </w:pPr>
            <w:r>
              <w:rPr>
                <w:sz w:val="16"/>
              </w:rPr>
              <w:t>Supports team expansion and faster catalog investment</w:t>
            </w:r>
          </w:p>
        </w:tc>
      </w:tr>
    </w:tbl>
    <w:p>
      <w:pPr>
        <w:spacing w:after="0"/>
      </w:pPr>
    </w:p>
    <w:p>
      <w:pPr>
        <w:pStyle w:val="Heading2"/>
        <w:keepNext/>
        <w:keepLines/>
        <w:widowControl/>
      </w:pPr>
      <w:r>
        <w:t>11.3 Initial capital reserve: $75,000</w:t>
      </w:r>
    </w:p>
    <w:tbl>
      <w:tblPr>
        <w:tblStyle w:val="TableGrid"/>
        <w:jc w:val="center"/>
        <w:tblLook w:firstColumn="1" w:firstRow="1" w:lastColumn="0" w:lastRow="0" w:noHBand="0" w:noVBand="1" w:val="04A0"/>
        <w:tblW w:w="9360" w:type="dxa"/>
        <w:tblInd w:w="0" w:type="dxa"/>
        <w:tblLayout w:type="fixed"/>
        <w:tblBorders>
          <w:top w:val="single" w:sz="4" w:space="0" w:color="D4DCE3"/>
          <w:left w:val="single" w:sz="4" w:space="0" w:color="D4DCE3"/>
          <w:bottom w:val="single" w:sz="4" w:space="0" w:color="D4DCE3"/>
          <w:right w:val="single" w:sz="4" w:space="0" w:color="D4DCE3"/>
          <w:insideH w:val="single" w:sz="4" w:space="0" w:color="D4DCE3"/>
          <w:insideV w:val="single" w:sz="4" w:space="0" w:color="D4DCE3"/>
        </w:tblBorders>
      </w:tblPr>
      <w:tblGrid>
        <w:gridCol w:w="3100"/>
        <w:gridCol w:w="1700"/>
        <w:gridCol w:w="4560"/>
      </w:tblGrid>
      <w:tr>
        <w:trPr>
          <w:tblHeader w:val="true"/>
          <w:cantSplit/>
        </w:trPr>
        <w:tc>
          <w:tcPr>
            <w:tcW w:type="dxa" w:w="3100"/>
            <w:tcMar>
              <w:top w:w="80" w:type="dxa"/>
              <w:start w:w="120" w:type="dxa"/>
              <w:bottom w:w="80" w:type="dxa"/>
              <w:end w:w="120" w:type="dxa"/>
            </w:tcMar>
            <w:vAlign w:val="center"/>
            <w:shd w:fill="15324B"/>
          </w:tcPr>
          <w:p>
            <w:pPr>
              <w:spacing w:before="0" w:after="0" w:line="240" w:lineRule="auto"/>
              <w:jc w:val="center"/>
              <w:keepLines/>
              <w:widowControl/>
            </w:pPr>
            <w:r>
              <w:rPr>
                <w:b/>
                <w:color w:val="FFFFFF"/>
                <w:sz w:val="17"/>
              </w:rPr>
              <w:t>Use</w:t>
            </w:r>
          </w:p>
        </w:tc>
        <w:tc>
          <w:tcPr>
            <w:tcW w:type="dxa" w:w="1700"/>
            <w:tcMar>
              <w:top w:w="80" w:type="dxa"/>
              <w:start w:w="120" w:type="dxa"/>
              <w:bottom w:w="80" w:type="dxa"/>
              <w:end w:w="120" w:type="dxa"/>
            </w:tcMar>
            <w:vAlign w:val="center"/>
            <w:shd w:fill="15324B"/>
          </w:tcPr>
          <w:p>
            <w:pPr>
              <w:spacing w:before="0" w:after="0" w:line="240" w:lineRule="auto"/>
              <w:jc w:val="center"/>
              <w:keepLines/>
              <w:widowControl/>
            </w:pPr>
            <w:r>
              <w:rPr>
                <w:b/>
                <w:color w:val="FFFFFF"/>
                <w:sz w:val="17"/>
              </w:rPr>
              <w:t>Amount</w:t>
            </w:r>
          </w:p>
        </w:tc>
        <w:tc>
          <w:tcPr>
            <w:tcW w:type="dxa" w:w="4560"/>
            <w:tcMar>
              <w:top w:w="80" w:type="dxa"/>
              <w:start w:w="120" w:type="dxa"/>
              <w:bottom w:w="80" w:type="dxa"/>
              <w:end w:w="120" w:type="dxa"/>
            </w:tcMar>
            <w:vAlign w:val="center"/>
            <w:shd w:fill="15324B"/>
          </w:tcPr>
          <w:p>
            <w:pPr>
              <w:spacing w:before="0" w:after="0" w:line="240" w:lineRule="auto"/>
              <w:jc w:val="center"/>
              <w:keepLines/>
              <w:widowControl/>
            </w:pPr>
            <w:r>
              <w:rPr>
                <w:b/>
                <w:color w:val="FFFFFF"/>
                <w:sz w:val="17"/>
              </w:rPr>
              <w:t>Release condition</w:t>
            </w:r>
          </w:p>
        </w:tc>
      </w:tr>
      <w:tr>
        <w:trPr>
          <w:cantSplit/>
        </w:trPr>
        <w:tc>
          <w:tcPr>
            <w:tcW w:type="dxa" w:w="3100"/>
            <w:tcMar>
              <w:top w:w="80" w:type="dxa"/>
              <w:start w:w="120" w:type="dxa"/>
              <w:bottom w:w="80" w:type="dxa"/>
              <w:end w:w="120" w:type="dxa"/>
            </w:tcMar>
            <w:vAlign w:val="center"/>
          </w:tcPr>
          <w:p>
            <w:pPr>
              <w:spacing w:before="0" w:after="0" w:line="240" w:lineRule="auto"/>
              <w:jc w:val="left"/>
              <w:keepLines/>
              <w:widowControl/>
            </w:pPr>
            <w:r>
              <w:rPr>
                <w:sz w:val="17"/>
              </w:rPr>
              <w:t>Prototypes and playtesting</w:t>
            </w:r>
          </w:p>
        </w:tc>
        <w:tc>
          <w:tcPr>
            <w:tcW w:type="dxa" w:w="1700"/>
            <w:tcMar>
              <w:top w:w="80" w:type="dxa"/>
              <w:start w:w="120" w:type="dxa"/>
              <w:bottom w:w="80" w:type="dxa"/>
              <w:end w:w="120" w:type="dxa"/>
            </w:tcMar>
            <w:vAlign w:val="center"/>
          </w:tcPr>
          <w:p>
            <w:pPr>
              <w:spacing w:before="0" w:after="0" w:line="240" w:lineRule="auto"/>
              <w:jc w:val="right"/>
              <w:keepLines/>
              <w:widowControl/>
            </w:pPr>
            <w:r>
              <w:rPr>
                <w:sz w:val="17"/>
              </w:rPr>
              <w:t>$5,000</w:t>
            </w:r>
          </w:p>
        </w:tc>
        <w:tc>
          <w:tcPr>
            <w:tcW w:type="dxa" w:w="4560"/>
            <w:tcMar>
              <w:top w:w="80" w:type="dxa"/>
              <w:start w:w="120" w:type="dxa"/>
              <w:bottom w:w="80" w:type="dxa"/>
              <w:end w:w="120" w:type="dxa"/>
            </w:tcMar>
            <w:vAlign w:val="center"/>
          </w:tcPr>
          <w:p>
            <w:pPr>
              <w:spacing w:before="0" w:after="0" w:line="240" w:lineRule="auto"/>
              <w:jc w:val="left"/>
              <w:keepLines/>
              <w:widowControl/>
            </w:pPr>
            <w:r>
              <w:rPr>
                <w:sz w:val="17"/>
              </w:rPr>
              <w:t>Concept gate</w:t>
            </w:r>
          </w:p>
        </w:tc>
      </w:tr>
      <w:tr>
        <w:trPr>
          <w:cantSplit/>
        </w:trPr>
        <w:tc>
          <w:tcPr>
            <w:tcW w:type="dxa" w:w="3100"/>
            <w:tcMar>
              <w:top w:w="80" w:type="dxa"/>
              <w:start w:w="120" w:type="dxa"/>
              <w:bottom w:w="80" w:type="dxa"/>
              <w:end w:w="120" w:type="dxa"/>
            </w:tcMar>
            <w:vAlign w:val="center"/>
          </w:tcPr>
          <w:p>
            <w:pPr>
              <w:spacing w:before="0" w:after="0" w:line="240" w:lineRule="auto"/>
              <w:jc w:val="left"/>
              <w:keepLines/>
              <w:widowControl/>
            </w:pPr>
            <w:r>
              <w:rPr>
                <w:sz w:val="17"/>
              </w:rPr>
              <w:t>Development, art, and graphic design</w:t>
            </w:r>
          </w:p>
        </w:tc>
        <w:tc>
          <w:tcPr>
            <w:tcW w:type="dxa" w:w="1700"/>
            <w:tcMar>
              <w:top w:w="80" w:type="dxa"/>
              <w:start w:w="120" w:type="dxa"/>
              <w:bottom w:w="80" w:type="dxa"/>
              <w:end w:w="120" w:type="dxa"/>
            </w:tcMar>
            <w:vAlign w:val="center"/>
          </w:tcPr>
          <w:p>
            <w:pPr>
              <w:spacing w:before="0" w:after="0" w:line="240" w:lineRule="auto"/>
              <w:jc w:val="right"/>
              <w:keepLines/>
              <w:widowControl/>
            </w:pPr>
            <w:r>
              <w:rPr>
                <w:sz w:val="17"/>
              </w:rPr>
              <w:t>$18,000</w:t>
            </w:r>
          </w:p>
        </w:tc>
        <w:tc>
          <w:tcPr>
            <w:tcW w:type="dxa" w:w="4560"/>
            <w:tcMar>
              <w:top w:w="80" w:type="dxa"/>
              <w:start w:w="120" w:type="dxa"/>
              <w:bottom w:w="80" w:type="dxa"/>
              <w:end w:w="120" w:type="dxa"/>
            </w:tcMar>
            <w:vAlign w:val="center"/>
          </w:tcPr>
          <w:p>
            <w:pPr>
              <w:spacing w:before="0" w:after="0" w:line="240" w:lineRule="auto"/>
              <w:jc w:val="left"/>
              <w:keepLines/>
              <w:widowControl/>
            </w:pPr>
            <w:r>
              <w:rPr>
                <w:sz w:val="17"/>
              </w:rPr>
              <w:t>External playtest gate; staged contracts</w:t>
            </w:r>
          </w:p>
        </w:tc>
      </w:tr>
      <w:tr>
        <w:trPr>
          <w:cantSplit/>
        </w:trPr>
        <w:tc>
          <w:tcPr>
            <w:tcW w:type="dxa" w:w="3100"/>
            <w:tcMar>
              <w:top w:w="80" w:type="dxa"/>
              <w:start w:w="120" w:type="dxa"/>
              <w:bottom w:w="80" w:type="dxa"/>
              <w:end w:w="120" w:type="dxa"/>
            </w:tcMar>
            <w:vAlign w:val="center"/>
          </w:tcPr>
          <w:p>
            <w:pPr>
              <w:spacing w:before="0" w:after="0" w:line="240" w:lineRule="auto"/>
              <w:jc w:val="left"/>
              <w:keepLines/>
              <w:widowControl/>
            </w:pPr>
            <w:r>
              <w:rPr>
                <w:sz w:val="17"/>
              </w:rPr>
              <w:t>Campaign creative and prelaunch marketing</w:t>
            </w:r>
          </w:p>
        </w:tc>
        <w:tc>
          <w:tcPr>
            <w:tcW w:type="dxa" w:w="1700"/>
            <w:tcMar>
              <w:top w:w="80" w:type="dxa"/>
              <w:start w:w="120" w:type="dxa"/>
              <w:bottom w:w="80" w:type="dxa"/>
              <w:end w:w="120" w:type="dxa"/>
            </w:tcMar>
            <w:vAlign w:val="center"/>
          </w:tcPr>
          <w:p>
            <w:pPr>
              <w:spacing w:before="0" w:after="0" w:line="240" w:lineRule="auto"/>
              <w:jc w:val="right"/>
              <w:keepLines/>
              <w:widowControl/>
            </w:pPr>
            <w:r>
              <w:rPr>
                <w:sz w:val="17"/>
              </w:rPr>
              <w:t>$12,000</w:t>
            </w:r>
          </w:p>
        </w:tc>
        <w:tc>
          <w:tcPr>
            <w:tcW w:type="dxa" w:w="4560"/>
            <w:tcMar>
              <w:top w:w="80" w:type="dxa"/>
              <w:start w:w="120" w:type="dxa"/>
              <w:bottom w:w="80" w:type="dxa"/>
              <w:end w:w="120" w:type="dxa"/>
            </w:tcMar>
            <w:vAlign w:val="center"/>
          </w:tcPr>
          <w:p>
            <w:pPr>
              <w:spacing w:before="0" w:after="0" w:line="240" w:lineRule="auto"/>
              <w:jc w:val="left"/>
              <w:keepLines/>
              <w:widowControl/>
            </w:pPr>
            <w:r>
              <w:rPr>
                <w:sz w:val="17"/>
              </w:rPr>
              <w:t>Blind-test and audience gates</w:t>
            </w:r>
          </w:p>
        </w:tc>
      </w:tr>
      <w:tr>
        <w:trPr>
          <w:cantSplit/>
        </w:trPr>
        <w:tc>
          <w:tcPr>
            <w:tcW w:type="dxa" w:w="3100"/>
            <w:tcMar>
              <w:top w:w="80" w:type="dxa"/>
              <w:start w:w="120" w:type="dxa"/>
              <w:bottom w:w="80" w:type="dxa"/>
              <w:end w:w="120" w:type="dxa"/>
            </w:tcMar>
            <w:vAlign w:val="center"/>
          </w:tcPr>
          <w:p>
            <w:pPr>
              <w:spacing w:before="0" w:after="0" w:line="240" w:lineRule="auto"/>
              <w:jc w:val="left"/>
              <w:keepLines/>
              <w:widowControl/>
            </w:pPr>
            <w:r>
              <w:rPr>
                <w:sz w:val="17"/>
              </w:rPr>
              <w:t>Legal, IP, insurance, compliance planning</w:t>
            </w:r>
          </w:p>
        </w:tc>
        <w:tc>
          <w:tcPr>
            <w:tcW w:type="dxa" w:w="1700"/>
            <w:tcMar>
              <w:top w:w="80" w:type="dxa"/>
              <w:start w:w="120" w:type="dxa"/>
              <w:bottom w:w="80" w:type="dxa"/>
              <w:end w:w="120" w:type="dxa"/>
            </w:tcMar>
            <w:vAlign w:val="center"/>
          </w:tcPr>
          <w:p>
            <w:pPr>
              <w:spacing w:before="0" w:after="0" w:line="240" w:lineRule="auto"/>
              <w:jc w:val="right"/>
              <w:keepLines/>
              <w:widowControl/>
            </w:pPr>
            <w:r>
              <w:rPr>
                <w:sz w:val="17"/>
              </w:rPr>
              <w:t>$4,000</w:t>
            </w:r>
          </w:p>
        </w:tc>
        <w:tc>
          <w:tcPr>
            <w:tcW w:type="dxa" w:w="4560"/>
            <w:tcMar>
              <w:top w:w="80" w:type="dxa"/>
              <w:start w:w="120" w:type="dxa"/>
              <w:bottom w:w="80" w:type="dxa"/>
              <w:end w:w="120" w:type="dxa"/>
            </w:tcMar>
            <w:vAlign w:val="center"/>
          </w:tcPr>
          <w:p>
            <w:pPr>
              <w:spacing w:before="0" w:after="0" w:line="240" w:lineRule="auto"/>
              <w:jc w:val="left"/>
              <w:keepLines/>
              <w:widowControl/>
            </w:pPr>
            <w:r>
              <w:rPr>
                <w:sz w:val="17"/>
              </w:rPr>
              <w:t>Before public brand spend</w:t>
            </w:r>
          </w:p>
        </w:tc>
      </w:tr>
      <w:tr>
        <w:trPr>
          <w:cantSplit/>
        </w:trPr>
        <w:tc>
          <w:tcPr>
            <w:tcW w:type="dxa" w:w="3100"/>
            <w:tcMar>
              <w:top w:w="80" w:type="dxa"/>
              <w:start w:w="120" w:type="dxa"/>
              <w:bottom w:w="80" w:type="dxa"/>
              <w:end w:w="120" w:type="dxa"/>
            </w:tcMar>
            <w:vAlign w:val="center"/>
          </w:tcPr>
          <w:p>
            <w:pPr>
              <w:spacing w:before="0" w:after="0" w:line="240" w:lineRule="auto"/>
              <w:jc w:val="left"/>
              <w:keepLines/>
              <w:widowControl/>
            </w:pPr>
            <w:r>
              <w:rPr>
                <w:sz w:val="17"/>
              </w:rPr>
              <w:t>Manufacturing/fulfillment working capital</w:t>
            </w:r>
          </w:p>
        </w:tc>
        <w:tc>
          <w:tcPr>
            <w:tcW w:type="dxa" w:w="1700"/>
            <w:tcMar>
              <w:top w:w="80" w:type="dxa"/>
              <w:start w:w="120" w:type="dxa"/>
              <w:bottom w:w="80" w:type="dxa"/>
              <w:end w:w="120" w:type="dxa"/>
            </w:tcMar>
            <w:vAlign w:val="center"/>
          </w:tcPr>
          <w:p>
            <w:pPr>
              <w:spacing w:before="0" w:after="0" w:line="240" w:lineRule="auto"/>
              <w:jc w:val="right"/>
              <w:keepLines/>
              <w:widowControl/>
            </w:pPr>
            <w:r>
              <w:rPr>
                <w:sz w:val="17"/>
              </w:rPr>
              <w:t>$20,000</w:t>
            </w:r>
          </w:p>
        </w:tc>
        <w:tc>
          <w:tcPr>
            <w:tcW w:type="dxa" w:w="4560"/>
            <w:tcMar>
              <w:top w:w="80" w:type="dxa"/>
              <w:start w:w="120" w:type="dxa"/>
              <w:bottom w:w="80" w:type="dxa"/>
              <w:end w:w="120" w:type="dxa"/>
            </w:tcMar>
            <w:vAlign w:val="center"/>
          </w:tcPr>
          <w:p>
            <w:pPr>
              <w:spacing w:before="0" w:after="0" w:line="240" w:lineRule="auto"/>
              <w:jc w:val="left"/>
              <w:keepLines/>
              <w:widowControl/>
            </w:pPr>
            <w:r>
              <w:rPr>
                <w:sz w:val="17"/>
              </w:rPr>
              <w:t>Successful campaign and final quotes</w:t>
            </w:r>
          </w:p>
        </w:tc>
      </w:tr>
      <w:tr>
        <w:trPr>
          <w:cantSplit/>
        </w:trPr>
        <w:tc>
          <w:tcPr>
            <w:tcW w:type="dxa" w:w="3100"/>
            <w:tcMar>
              <w:top w:w="80" w:type="dxa"/>
              <w:start w:w="120" w:type="dxa"/>
              <w:bottom w:w="80" w:type="dxa"/>
              <w:end w:w="120" w:type="dxa"/>
            </w:tcMar>
            <w:vAlign w:val="center"/>
          </w:tcPr>
          <w:p>
            <w:pPr>
              <w:spacing w:before="0" w:after="0" w:line="240" w:lineRule="auto"/>
              <w:jc w:val="left"/>
              <w:keepLines/>
              <w:widowControl/>
            </w:pPr>
            <w:r>
              <w:rPr>
                <w:sz w:val="17"/>
              </w:rPr>
              <w:t>General overhead/tools</w:t>
            </w:r>
          </w:p>
        </w:tc>
        <w:tc>
          <w:tcPr>
            <w:tcW w:type="dxa" w:w="1700"/>
            <w:tcMar>
              <w:top w:w="80" w:type="dxa"/>
              <w:start w:w="120" w:type="dxa"/>
              <w:bottom w:w="80" w:type="dxa"/>
              <w:end w:w="120" w:type="dxa"/>
            </w:tcMar>
            <w:vAlign w:val="center"/>
          </w:tcPr>
          <w:p>
            <w:pPr>
              <w:spacing w:before="0" w:after="0" w:line="240" w:lineRule="auto"/>
              <w:jc w:val="right"/>
              <w:keepLines/>
              <w:widowControl/>
            </w:pPr>
            <w:r>
              <w:rPr>
                <w:sz w:val="17"/>
              </w:rPr>
              <w:t>$4,000</w:t>
            </w:r>
          </w:p>
        </w:tc>
        <w:tc>
          <w:tcPr>
            <w:tcW w:type="dxa" w:w="4560"/>
            <w:tcMar>
              <w:top w:w="80" w:type="dxa"/>
              <w:start w:w="120" w:type="dxa"/>
              <w:bottom w:w="80" w:type="dxa"/>
              <w:end w:w="120" w:type="dxa"/>
            </w:tcMar>
            <w:vAlign w:val="center"/>
          </w:tcPr>
          <w:p>
            <w:pPr>
              <w:spacing w:before="0" w:after="0" w:line="240" w:lineRule="auto"/>
              <w:jc w:val="left"/>
              <w:keepLines/>
              <w:widowControl/>
            </w:pPr>
            <w:r>
              <w:rPr>
                <w:sz w:val="17"/>
              </w:rPr>
              <w:t>Monthly cap</w:t>
            </w:r>
          </w:p>
        </w:tc>
      </w:tr>
      <w:tr>
        <w:trPr>
          <w:cantSplit/>
        </w:trPr>
        <w:tc>
          <w:tcPr>
            <w:tcW w:type="dxa" w:w="3100"/>
            <w:tcMar>
              <w:top w:w="80" w:type="dxa"/>
              <w:start w:w="120" w:type="dxa"/>
              <w:bottom w:w="80" w:type="dxa"/>
              <w:end w:w="120" w:type="dxa"/>
            </w:tcMar>
            <w:vAlign w:val="center"/>
          </w:tcPr>
          <w:p>
            <w:pPr>
              <w:spacing w:before="0" w:after="0" w:line="240" w:lineRule="auto"/>
              <w:jc w:val="left"/>
              <w:keepLines/>
              <w:widowControl/>
            </w:pPr>
            <w:r>
              <w:rPr>
                <w:sz w:val="17"/>
              </w:rPr>
              <w:t>Contingency</w:t>
            </w:r>
          </w:p>
        </w:tc>
        <w:tc>
          <w:tcPr>
            <w:tcW w:type="dxa" w:w="1700"/>
            <w:tcMar>
              <w:top w:w="80" w:type="dxa"/>
              <w:start w:w="120" w:type="dxa"/>
              <w:bottom w:w="80" w:type="dxa"/>
              <w:end w:w="120" w:type="dxa"/>
            </w:tcMar>
            <w:vAlign w:val="center"/>
          </w:tcPr>
          <w:p>
            <w:pPr>
              <w:spacing w:before="0" w:after="0" w:line="240" w:lineRule="auto"/>
              <w:jc w:val="right"/>
              <w:keepLines/>
              <w:widowControl/>
            </w:pPr>
            <w:r>
              <w:rPr>
                <w:sz w:val="17"/>
              </w:rPr>
              <w:t>$12,000</w:t>
            </w:r>
          </w:p>
        </w:tc>
        <w:tc>
          <w:tcPr>
            <w:tcW w:type="dxa" w:w="4560"/>
            <w:tcMar>
              <w:top w:w="80" w:type="dxa"/>
              <w:start w:w="120" w:type="dxa"/>
              <w:bottom w:w="80" w:type="dxa"/>
              <w:end w:w="120" w:type="dxa"/>
            </w:tcMar>
            <w:vAlign w:val="center"/>
          </w:tcPr>
          <w:p>
            <w:pPr>
              <w:spacing w:before="0" w:after="0" w:line="240" w:lineRule="auto"/>
              <w:jc w:val="left"/>
              <w:keepLines/>
              <w:widowControl/>
            </w:pPr>
            <w:r>
              <w:rPr>
                <w:sz w:val="17"/>
              </w:rPr>
              <w:t>Joint founder approval</w:t>
            </w:r>
          </w:p>
        </w:tc>
      </w:tr>
      <w:tr>
        <w:trPr>
          <w:cantSplit/>
        </w:trPr>
        <w:tc>
          <w:tcPr>
            <w:tcW w:type="dxa" w:w="3100"/>
            <w:tcMar>
              <w:top w:w="80" w:type="dxa"/>
              <w:start w:w="120" w:type="dxa"/>
              <w:bottom w:w="80" w:type="dxa"/>
              <w:end w:w="120" w:type="dxa"/>
            </w:tcMar>
            <w:vAlign w:val="center"/>
            <w:shd w:fill="E8F5F2"/>
          </w:tcPr>
          <w:p>
            <w:pPr>
              <w:spacing w:before="0" w:after="0" w:line="240" w:lineRule="auto"/>
              <w:jc w:val="left"/>
              <w:keepLines/>
              <w:widowControl/>
            </w:pPr>
            <w:r>
              <w:rPr>
                <w:b/>
                <w:sz w:val="17"/>
              </w:rPr>
              <w:t>Total</w:t>
            </w:r>
          </w:p>
        </w:tc>
        <w:tc>
          <w:tcPr>
            <w:tcW w:type="dxa" w:w="1700"/>
            <w:tcMar>
              <w:top w:w="80" w:type="dxa"/>
              <w:start w:w="120" w:type="dxa"/>
              <w:bottom w:w="80" w:type="dxa"/>
              <w:end w:w="120" w:type="dxa"/>
            </w:tcMar>
            <w:vAlign w:val="center"/>
            <w:shd w:fill="E8F5F2"/>
          </w:tcPr>
          <w:p>
            <w:pPr>
              <w:spacing w:before="0" w:after="0" w:line="240" w:lineRule="auto"/>
              <w:jc w:val="right"/>
              <w:keepLines/>
              <w:widowControl/>
            </w:pPr>
            <w:r>
              <w:rPr>
                <w:b/>
                <w:sz w:val="17"/>
              </w:rPr>
              <w:t>$75,000</w:t>
            </w:r>
          </w:p>
        </w:tc>
        <w:tc>
          <w:tcPr>
            <w:tcW w:type="dxa" w:w="4560"/>
            <w:tcMar>
              <w:top w:w="80" w:type="dxa"/>
              <w:start w:w="120" w:type="dxa"/>
              <w:bottom w:w="80" w:type="dxa"/>
              <w:end w:w="120" w:type="dxa"/>
            </w:tcMar>
            <w:vAlign w:val="center"/>
            <w:shd w:fill="E8F5F2"/>
          </w:tcPr>
          <w:p>
            <w:pPr>
              <w:spacing w:before="0" w:after="0" w:line="240" w:lineRule="auto"/>
              <w:jc w:val="left"/>
              <w:keepLines/>
              <w:widowControl/>
            </w:pPr>
          </w:p>
        </w:tc>
      </w:tr>
    </w:tbl>
    <w:p>
      <w:pPr>
        <w:spacing w:after="0"/>
      </w:pPr>
    </w:p>
    <w:p>
      <w:pPr>
        <w:widowControl/>
      </w:pPr>
      <w:r>
        <w:t>The capital should be released by gate, not spent as an annual budget. If the flagship fails a product or audience gate, uncommitted capital should be preserved.</w:t>
      </w:r>
    </w:p>
    <w:p>
      <w:pPr>
        <w:pStyle w:val="Heading2"/>
        <w:keepNext/>
        <w:keepLines/>
        <w:widowControl/>
      </w:pPr>
      <w:r>
        <w:t>11.4 Unit-economics discipline</w:t>
      </w:r>
    </w:p>
    <w:p>
      <w:pPr>
        <w:widowControl/>
      </w:pPr>
      <w:r>
        <w:t>Traditional distribution may yield only about 40% of MSRP to the publisher, versus approximately 50% in retail-direct arrangements and close to full MSRP before fees in DTC. [S13] A $39 game with a $12.50 landed cost can work in DTC but becomes thin through distribution. The commercial gate should require:</w:t>
      </w:r>
    </w:p>
    <w:p>
      <w:pPr>
        <w:numPr>
          <w:ilvl w:val="0"/>
          <w:numId w:val="10"/>
        </w:numPr>
        <w:spacing w:after="60" w:line="259" w:lineRule="auto"/>
        <w:keepLines/>
        <w:widowControl/>
      </w:pPr>
      <w:r>
        <w:t>landed cost no more than 25% of MSRP for a distribution-intended edition, ideally lower;</w:t>
      </w:r>
    </w:p>
    <w:p>
      <w:pPr>
        <w:numPr>
          <w:ilvl w:val="0"/>
          <w:numId w:val="10"/>
        </w:numPr>
        <w:spacing w:after="60" w:line="259" w:lineRule="auto"/>
        <w:keepLines/>
        <w:widowControl/>
      </w:pPr>
      <w:r>
        <w:t>DTC contribution margin above 45% after platform fees, refund reserve, and fulfillment handling;</w:t>
      </w:r>
    </w:p>
    <w:p>
      <w:pPr>
        <w:numPr>
          <w:ilvl w:val="0"/>
          <w:numId w:val="10"/>
        </w:numPr>
        <w:spacing w:after="60" w:line="259" w:lineRule="auto"/>
        <w:keepLines/>
        <w:widowControl/>
      </w:pPr>
      <w:r>
        <w:t>distributor-channel contribution above 15% before fixed overhead;</w:t>
      </w:r>
    </w:p>
    <w:p>
      <w:pPr>
        <w:numPr>
          <w:ilvl w:val="0"/>
          <w:numId w:val="10"/>
        </w:numPr>
        <w:spacing w:after="60" w:line="259" w:lineRule="auto"/>
        <w:keepLines/>
        <w:widowControl/>
      </w:pPr>
      <w:r>
        <w:t>no campaign stretch goal that makes the retail edition uneconomic.</w:t>
      </w:r>
    </w:p>
    <w:p>
      <w:pPr>
        <w:pStyle w:val="Heading2"/>
        <w:keepNext/>
        <w:keepLines/>
        <w:widowControl/>
      </w:pPr>
      <w:r>
        <w:t>11.5 Break-even</w:t>
      </w:r>
    </w:p>
    <w:p>
      <w:pPr>
        <w:widowControl/>
      </w:pPr>
      <w:r>
        <w:t>At base launch economics, the weighted contribution is roughly $15 per unit. Cash fixed costs before founder compensation are approximately $54,000, implying about 3,500 units for year-one operating break-even. The base plan sells 2,000 units, so a planned first-year loss is expected. By 2031, scale and cost reduction lower the all-in annual break-even to roughly 18,000 units including modeled founder compensation, compared with 26,000 base-case units.</w:t>
      </w:r>
    </w:p>
    <w:p>
      <w:pPr>
        <w:pStyle w:val="Heading1"/>
        <w:keepNext/>
        <w:keepLines/>
        <w:widowControl/>
      </w:pPr>
      <w:r>
        <w:t>12. Risk Register</w:t>
      </w:r>
    </w:p>
    <w:tbl>
      <w:tblPr>
        <w:tblStyle w:val="TableGrid"/>
        <w:jc w:val="center"/>
        <w:tblLook w:firstColumn="1" w:firstRow="1" w:lastColumn="0" w:lastRow="0" w:noHBand="0" w:noVBand="1" w:val="04A0"/>
        <w:tblW w:w="9360" w:type="dxa"/>
        <w:tblInd w:w="0" w:type="dxa"/>
        <w:tblLayout w:type="fixed"/>
        <w:tblBorders>
          <w:top w:val="single" w:sz="4" w:space="0" w:color="D4DCE3"/>
          <w:left w:val="single" w:sz="4" w:space="0" w:color="D4DCE3"/>
          <w:bottom w:val="single" w:sz="4" w:space="0" w:color="D4DCE3"/>
          <w:right w:val="single" w:sz="4" w:space="0" w:color="D4DCE3"/>
          <w:insideH w:val="single" w:sz="4" w:space="0" w:color="D4DCE3"/>
          <w:insideV w:val="single" w:sz="4" w:space="0" w:color="D4DCE3"/>
        </w:tblBorders>
      </w:tblPr>
      <w:tblGrid>
        <w:gridCol w:w="2440"/>
        <w:gridCol w:w="1000"/>
        <w:gridCol w:w="1100"/>
        <w:gridCol w:w="1500"/>
        <w:gridCol w:w="3320"/>
      </w:tblGrid>
      <w:tr>
        <w:trPr>
          <w:tblHeader w:val="true"/>
          <w:cantSplit/>
        </w:trPr>
        <w:tc>
          <w:tcPr>
            <w:tcW w:type="dxa" w:w="2440"/>
            <w:tcMar>
              <w:top w:w="80" w:type="dxa"/>
              <w:start w:w="120" w:type="dxa"/>
              <w:bottom w:w="80" w:type="dxa"/>
              <w:end w:w="120" w:type="dxa"/>
            </w:tcMar>
            <w:vAlign w:val="center"/>
            <w:shd w:fill="15324B"/>
          </w:tcPr>
          <w:p>
            <w:pPr>
              <w:spacing w:before="0" w:after="0" w:line="240" w:lineRule="auto"/>
              <w:jc w:val="center"/>
              <w:keepLines/>
              <w:widowControl/>
            </w:pPr>
            <w:r>
              <w:rPr>
                <w:b/>
                <w:color w:val="FFFFFF"/>
                <w:sz w:val="16"/>
              </w:rPr>
              <w:t>Risk</w:t>
            </w:r>
          </w:p>
        </w:tc>
        <w:tc>
          <w:tcPr>
            <w:tcW w:type="dxa" w:w="1000"/>
            <w:tcMar>
              <w:top w:w="80" w:type="dxa"/>
              <w:start w:w="120" w:type="dxa"/>
              <w:bottom w:w="80" w:type="dxa"/>
              <w:end w:w="120" w:type="dxa"/>
            </w:tcMar>
            <w:vAlign w:val="center"/>
            <w:shd w:fill="15324B"/>
          </w:tcPr>
          <w:p>
            <w:pPr>
              <w:spacing w:before="0" w:after="0" w:line="240" w:lineRule="auto"/>
              <w:jc w:val="center"/>
              <w:keepLines/>
              <w:widowControl/>
            </w:pPr>
            <w:r>
              <w:rPr>
                <w:b/>
                <w:color w:val="FFFFFF"/>
                <w:sz w:val="16"/>
              </w:rPr>
              <w:t>Probability</w:t>
            </w:r>
          </w:p>
        </w:tc>
        <w:tc>
          <w:tcPr>
            <w:tcW w:type="dxa" w:w="1100"/>
            <w:tcMar>
              <w:top w:w="80" w:type="dxa"/>
              <w:start w:w="120" w:type="dxa"/>
              <w:bottom w:w="80" w:type="dxa"/>
              <w:end w:w="120" w:type="dxa"/>
            </w:tcMar>
            <w:vAlign w:val="center"/>
            <w:shd w:fill="15324B"/>
          </w:tcPr>
          <w:p>
            <w:pPr>
              <w:spacing w:before="0" w:after="0" w:line="240" w:lineRule="auto"/>
              <w:jc w:val="center"/>
              <w:keepLines/>
              <w:widowControl/>
            </w:pPr>
            <w:r>
              <w:rPr>
                <w:b/>
                <w:color w:val="FFFFFF"/>
                <w:sz w:val="16"/>
              </w:rPr>
              <w:t>Impact</w:t>
            </w:r>
          </w:p>
        </w:tc>
        <w:tc>
          <w:tcPr>
            <w:tcW w:type="dxa" w:w="1500"/>
            <w:tcMar>
              <w:top w:w="80" w:type="dxa"/>
              <w:start w:w="120" w:type="dxa"/>
              <w:bottom w:w="80" w:type="dxa"/>
              <w:end w:w="120" w:type="dxa"/>
            </w:tcMar>
            <w:vAlign w:val="center"/>
            <w:shd w:fill="15324B"/>
          </w:tcPr>
          <w:p>
            <w:pPr>
              <w:spacing w:before="0" w:after="0" w:line="240" w:lineRule="auto"/>
              <w:jc w:val="center"/>
              <w:keepLines/>
              <w:widowControl/>
            </w:pPr>
            <w:r>
              <w:rPr>
                <w:b/>
                <w:color w:val="FFFFFF"/>
                <w:sz w:val="16"/>
              </w:rPr>
              <w:t>Early warning</w:t>
            </w:r>
          </w:p>
        </w:tc>
        <w:tc>
          <w:tcPr>
            <w:tcW w:type="dxa" w:w="3320"/>
            <w:tcMar>
              <w:top w:w="80" w:type="dxa"/>
              <w:start w:w="120" w:type="dxa"/>
              <w:bottom w:w="80" w:type="dxa"/>
              <w:end w:w="120" w:type="dxa"/>
            </w:tcMar>
            <w:vAlign w:val="center"/>
            <w:shd w:fill="15324B"/>
          </w:tcPr>
          <w:p>
            <w:pPr>
              <w:spacing w:before="0" w:after="0" w:line="240" w:lineRule="auto"/>
              <w:jc w:val="center"/>
              <w:keepLines/>
              <w:widowControl/>
            </w:pPr>
            <w:r>
              <w:rPr>
                <w:b/>
                <w:color w:val="FFFFFF"/>
                <w:sz w:val="16"/>
              </w:rPr>
              <w:t>Mitigation</w:t>
            </w:r>
          </w:p>
        </w:tc>
      </w:tr>
      <w:tr>
        <w:trPr>
          <w:cantSplit/>
        </w:trPr>
        <w:tc>
          <w:tcPr>
            <w:tcW w:type="dxa" w:w="2440"/>
            <w:tcMar>
              <w:top w:w="80" w:type="dxa"/>
              <w:start w:w="120" w:type="dxa"/>
              <w:bottom w:w="80" w:type="dxa"/>
              <w:end w:w="120" w:type="dxa"/>
            </w:tcMar>
            <w:vAlign w:val="center"/>
          </w:tcPr>
          <w:p>
            <w:pPr>
              <w:spacing w:before="0" w:after="0" w:line="240" w:lineRule="auto"/>
              <w:jc w:val="left"/>
              <w:keepLines/>
              <w:widowControl/>
            </w:pPr>
            <w:r>
              <w:rPr>
                <w:sz w:val="16"/>
              </w:rPr>
              <w:t>Flagship is not compelling</w:t>
            </w:r>
          </w:p>
        </w:tc>
        <w:tc>
          <w:tcPr>
            <w:tcW w:type="dxa" w:w="1000"/>
            <w:tcMar>
              <w:top w:w="80" w:type="dxa"/>
              <w:start w:w="120" w:type="dxa"/>
              <w:bottom w:w="80" w:type="dxa"/>
              <w:end w:w="120" w:type="dxa"/>
            </w:tcMar>
            <w:vAlign w:val="center"/>
          </w:tcPr>
          <w:p>
            <w:pPr>
              <w:spacing w:before="0" w:after="0" w:line="240" w:lineRule="auto"/>
              <w:jc w:val="left"/>
              <w:keepLines/>
              <w:widowControl/>
            </w:pPr>
            <w:r>
              <w:rPr>
                <w:sz w:val="16"/>
              </w:rPr>
              <w:t>High</w:t>
            </w:r>
          </w:p>
        </w:tc>
        <w:tc>
          <w:tcPr>
            <w:tcW w:type="dxa" w:w="1100"/>
            <w:tcMar>
              <w:top w:w="80" w:type="dxa"/>
              <w:start w:w="120" w:type="dxa"/>
              <w:bottom w:w="80" w:type="dxa"/>
              <w:end w:w="120" w:type="dxa"/>
            </w:tcMar>
            <w:vAlign w:val="center"/>
          </w:tcPr>
          <w:p>
            <w:pPr>
              <w:spacing w:before="0" w:after="0" w:line="240" w:lineRule="auto"/>
              <w:jc w:val="left"/>
              <w:keepLines/>
              <w:widowControl/>
            </w:pPr>
            <w:r>
              <w:rPr>
                <w:sz w:val="16"/>
              </w:rPr>
              <w:t>Critical</w:t>
            </w:r>
          </w:p>
        </w:tc>
        <w:tc>
          <w:tcPr>
            <w:tcW w:type="dxa" w:w="1500"/>
            <w:tcMar>
              <w:top w:w="80" w:type="dxa"/>
              <w:start w:w="120" w:type="dxa"/>
              <w:bottom w:w="80" w:type="dxa"/>
              <w:end w:w="120" w:type="dxa"/>
            </w:tcMar>
            <w:vAlign w:val="center"/>
          </w:tcPr>
          <w:p>
            <w:pPr>
              <w:spacing w:before="0" w:after="0" w:line="240" w:lineRule="auto"/>
              <w:jc w:val="left"/>
              <w:keepLines/>
              <w:widowControl/>
            </w:pPr>
            <w:r>
              <w:rPr>
                <w:sz w:val="16"/>
              </w:rPr>
              <w:t>Weak repeat-play scores; blind-test failure</w:t>
            </w:r>
          </w:p>
        </w:tc>
        <w:tc>
          <w:tcPr>
            <w:tcW w:type="dxa" w:w="3320"/>
            <w:tcMar>
              <w:top w:w="80" w:type="dxa"/>
              <w:start w:w="120" w:type="dxa"/>
              <w:bottom w:w="80" w:type="dxa"/>
              <w:end w:w="120" w:type="dxa"/>
            </w:tcMar>
            <w:vAlign w:val="center"/>
          </w:tcPr>
          <w:p>
            <w:pPr>
              <w:spacing w:before="0" w:after="0" w:line="240" w:lineRule="auto"/>
              <w:jc w:val="left"/>
              <w:keepLines/>
              <w:widowControl/>
            </w:pPr>
            <w:r>
              <w:rPr>
                <w:sz w:val="16"/>
              </w:rPr>
              <w:t>Kill or redevelop before final art</w:t>
            </w:r>
          </w:p>
        </w:tc>
      </w:tr>
      <w:tr>
        <w:trPr>
          <w:cantSplit/>
        </w:trPr>
        <w:tc>
          <w:tcPr>
            <w:tcW w:type="dxa" w:w="2440"/>
            <w:tcMar>
              <w:top w:w="80" w:type="dxa"/>
              <w:start w:w="120" w:type="dxa"/>
              <w:bottom w:w="80" w:type="dxa"/>
              <w:end w:w="120" w:type="dxa"/>
            </w:tcMar>
            <w:vAlign w:val="center"/>
          </w:tcPr>
          <w:p>
            <w:pPr>
              <w:spacing w:before="0" w:after="0" w:line="240" w:lineRule="auto"/>
              <w:jc w:val="left"/>
              <w:keepLines/>
              <w:widowControl/>
            </w:pPr>
            <w:r>
              <w:rPr>
                <w:sz w:val="16"/>
              </w:rPr>
              <w:t>Audience too small</w:t>
            </w:r>
          </w:p>
        </w:tc>
        <w:tc>
          <w:tcPr>
            <w:tcW w:type="dxa" w:w="1000"/>
            <w:tcMar>
              <w:top w:w="80" w:type="dxa"/>
              <w:start w:w="120" w:type="dxa"/>
              <w:bottom w:w="80" w:type="dxa"/>
              <w:end w:w="120" w:type="dxa"/>
            </w:tcMar>
            <w:vAlign w:val="center"/>
          </w:tcPr>
          <w:p>
            <w:pPr>
              <w:spacing w:before="0" w:after="0" w:line="240" w:lineRule="auto"/>
              <w:jc w:val="left"/>
              <w:keepLines/>
              <w:widowControl/>
            </w:pPr>
            <w:r>
              <w:rPr>
                <w:sz w:val="16"/>
              </w:rPr>
              <w:t>High</w:t>
            </w:r>
          </w:p>
        </w:tc>
        <w:tc>
          <w:tcPr>
            <w:tcW w:type="dxa" w:w="1100"/>
            <w:tcMar>
              <w:top w:w="80" w:type="dxa"/>
              <w:start w:w="120" w:type="dxa"/>
              <w:bottom w:w="80" w:type="dxa"/>
              <w:end w:w="120" w:type="dxa"/>
            </w:tcMar>
            <w:vAlign w:val="center"/>
          </w:tcPr>
          <w:p>
            <w:pPr>
              <w:spacing w:before="0" w:after="0" w:line="240" w:lineRule="auto"/>
              <w:jc w:val="left"/>
              <w:keepLines/>
              <w:widowControl/>
            </w:pPr>
            <w:r>
              <w:rPr>
                <w:sz w:val="16"/>
              </w:rPr>
              <w:t>Critical</w:t>
            </w:r>
          </w:p>
        </w:tc>
        <w:tc>
          <w:tcPr>
            <w:tcW w:type="dxa" w:w="1500"/>
            <w:tcMar>
              <w:top w:w="80" w:type="dxa"/>
              <w:start w:w="120" w:type="dxa"/>
              <w:bottom w:w="80" w:type="dxa"/>
              <w:end w:w="120" w:type="dxa"/>
            </w:tcMar>
            <w:vAlign w:val="center"/>
          </w:tcPr>
          <w:p>
            <w:pPr>
              <w:spacing w:before="0" w:after="0" w:line="240" w:lineRule="auto"/>
              <w:jc w:val="left"/>
              <w:keepLines/>
              <w:widowControl/>
            </w:pPr>
            <w:r>
              <w:rPr>
                <w:sz w:val="16"/>
              </w:rPr>
              <w:t>Low email growth; &lt;30% day-one support</w:t>
            </w:r>
          </w:p>
        </w:tc>
        <w:tc>
          <w:tcPr>
            <w:tcW w:type="dxa" w:w="3320"/>
            <w:tcMar>
              <w:top w:w="80" w:type="dxa"/>
              <w:start w:w="120" w:type="dxa"/>
              <w:bottom w:w="80" w:type="dxa"/>
              <w:end w:w="120" w:type="dxa"/>
            </w:tcMar>
            <w:vAlign w:val="center"/>
          </w:tcPr>
          <w:p>
            <w:pPr>
              <w:spacing w:before="0" w:after="0" w:line="240" w:lineRule="auto"/>
              <w:jc w:val="left"/>
              <w:keepLines/>
              <w:widowControl/>
            </w:pPr>
            <w:r>
              <w:rPr>
                <w:sz w:val="16"/>
              </w:rPr>
              <w:t>Delay campaign; continue public testing</w:t>
            </w:r>
          </w:p>
        </w:tc>
      </w:tr>
      <w:tr>
        <w:trPr>
          <w:cantSplit/>
        </w:trPr>
        <w:tc>
          <w:tcPr>
            <w:tcW w:type="dxa" w:w="2440"/>
            <w:tcMar>
              <w:top w:w="80" w:type="dxa"/>
              <w:start w:w="120" w:type="dxa"/>
              <w:bottom w:w="80" w:type="dxa"/>
              <w:end w:w="120" w:type="dxa"/>
            </w:tcMar>
            <w:vAlign w:val="center"/>
          </w:tcPr>
          <w:p>
            <w:pPr>
              <w:spacing w:before="0" w:after="0" w:line="240" w:lineRule="auto"/>
              <w:jc w:val="left"/>
              <w:keepLines/>
              <w:widowControl/>
            </w:pPr>
            <w:r>
              <w:rPr>
                <w:sz w:val="16"/>
              </w:rPr>
              <w:t>Name conflict</w:t>
            </w:r>
          </w:p>
        </w:tc>
        <w:tc>
          <w:tcPr>
            <w:tcW w:type="dxa" w:w="1000"/>
            <w:tcMar>
              <w:top w:w="80" w:type="dxa"/>
              <w:start w:w="120" w:type="dxa"/>
              <w:bottom w:w="80" w:type="dxa"/>
              <w:end w:w="120" w:type="dxa"/>
            </w:tcMar>
            <w:vAlign w:val="center"/>
          </w:tcPr>
          <w:p>
            <w:pPr>
              <w:spacing w:before="0" w:after="0" w:line="240" w:lineRule="auto"/>
              <w:jc w:val="left"/>
              <w:keepLines/>
              <w:widowControl/>
            </w:pPr>
            <w:r>
              <w:rPr>
                <w:sz w:val="16"/>
              </w:rPr>
              <w:t>Medium</w:t>
            </w:r>
          </w:p>
        </w:tc>
        <w:tc>
          <w:tcPr>
            <w:tcW w:type="dxa" w:w="1100"/>
            <w:tcMar>
              <w:top w:w="80" w:type="dxa"/>
              <w:start w:w="120" w:type="dxa"/>
              <w:bottom w:w="80" w:type="dxa"/>
              <w:end w:w="120" w:type="dxa"/>
            </w:tcMar>
            <w:vAlign w:val="center"/>
          </w:tcPr>
          <w:p>
            <w:pPr>
              <w:spacing w:before="0" w:after="0" w:line="240" w:lineRule="auto"/>
              <w:jc w:val="left"/>
              <w:keepLines/>
              <w:widowControl/>
            </w:pPr>
            <w:r>
              <w:rPr>
                <w:sz w:val="16"/>
              </w:rPr>
              <w:t>High</w:t>
            </w:r>
          </w:p>
        </w:tc>
        <w:tc>
          <w:tcPr>
            <w:tcW w:type="dxa" w:w="1500"/>
            <w:tcMar>
              <w:top w:w="80" w:type="dxa"/>
              <w:start w:w="120" w:type="dxa"/>
              <w:bottom w:w="80" w:type="dxa"/>
              <w:end w:w="120" w:type="dxa"/>
            </w:tcMar>
            <w:vAlign w:val="center"/>
          </w:tcPr>
          <w:p>
            <w:pPr>
              <w:spacing w:before="0" w:after="0" w:line="240" w:lineRule="auto"/>
              <w:jc w:val="left"/>
              <w:keepLines/>
              <w:widowControl/>
            </w:pPr>
            <w:r>
              <w:rPr>
                <w:sz w:val="16"/>
              </w:rPr>
              <w:t>Clearance finds related marks/claims</w:t>
            </w:r>
          </w:p>
        </w:tc>
        <w:tc>
          <w:tcPr>
            <w:tcW w:type="dxa" w:w="3320"/>
            <w:tcMar>
              <w:top w:w="80" w:type="dxa"/>
              <w:start w:w="120" w:type="dxa"/>
              <w:bottom w:w="80" w:type="dxa"/>
              <w:end w:w="120" w:type="dxa"/>
            </w:tcMar>
            <w:vAlign w:val="center"/>
          </w:tcPr>
          <w:p>
            <w:pPr>
              <w:spacing w:before="0" w:after="0" w:line="240" w:lineRule="auto"/>
              <w:jc w:val="left"/>
              <w:keepLines/>
              <w:widowControl/>
            </w:pPr>
            <w:r>
              <w:rPr>
                <w:sz w:val="16"/>
              </w:rPr>
              <w:t>Rebrand before packaging or filing</w:t>
            </w:r>
          </w:p>
        </w:tc>
      </w:tr>
      <w:tr>
        <w:trPr>
          <w:cantSplit/>
        </w:trPr>
        <w:tc>
          <w:tcPr>
            <w:tcW w:type="dxa" w:w="2440"/>
            <w:tcMar>
              <w:top w:w="80" w:type="dxa"/>
              <w:start w:w="120" w:type="dxa"/>
              <w:bottom w:w="80" w:type="dxa"/>
              <w:end w:w="120" w:type="dxa"/>
            </w:tcMar>
            <w:vAlign w:val="center"/>
          </w:tcPr>
          <w:p>
            <w:pPr>
              <w:spacing w:before="0" w:after="0" w:line="240" w:lineRule="auto"/>
              <w:jc w:val="left"/>
              <w:keepLines/>
              <w:widowControl/>
            </w:pPr>
            <w:r>
              <w:rPr>
                <w:sz w:val="16"/>
              </w:rPr>
              <w:t>Landed cost shock</w:t>
            </w:r>
          </w:p>
        </w:tc>
        <w:tc>
          <w:tcPr>
            <w:tcW w:type="dxa" w:w="1000"/>
            <w:tcMar>
              <w:top w:w="80" w:type="dxa"/>
              <w:start w:w="120" w:type="dxa"/>
              <w:bottom w:w="80" w:type="dxa"/>
              <w:end w:w="120" w:type="dxa"/>
            </w:tcMar>
            <w:vAlign w:val="center"/>
          </w:tcPr>
          <w:p>
            <w:pPr>
              <w:spacing w:before="0" w:after="0" w:line="240" w:lineRule="auto"/>
              <w:jc w:val="left"/>
              <w:keepLines/>
              <w:widowControl/>
            </w:pPr>
            <w:r>
              <w:rPr>
                <w:sz w:val="16"/>
              </w:rPr>
              <w:t>High</w:t>
            </w:r>
          </w:p>
        </w:tc>
        <w:tc>
          <w:tcPr>
            <w:tcW w:type="dxa" w:w="1100"/>
            <w:tcMar>
              <w:top w:w="80" w:type="dxa"/>
              <w:start w:w="120" w:type="dxa"/>
              <w:bottom w:w="80" w:type="dxa"/>
              <w:end w:w="120" w:type="dxa"/>
            </w:tcMar>
            <w:vAlign w:val="center"/>
          </w:tcPr>
          <w:p>
            <w:pPr>
              <w:spacing w:before="0" w:after="0" w:line="240" w:lineRule="auto"/>
              <w:jc w:val="left"/>
              <w:keepLines/>
              <w:widowControl/>
            </w:pPr>
            <w:r>
              <w:rPr>
                <w:sz w:val="16"/>
              </w:rPr>
              <w:t>High</w:t>
            </w:r>
          </w:p>
        </w:tc>
        <w:tc>
          <w:tcPr>
            <w:tcW w:type="dxa" w:w="1500"/>
            <w:tcMar>
              <w:top w:w="80" w:type="dxa"/>
              <w:start w:w="120" w:type="dxa"/>
              <w:bottom w:w="80" w:type="dxa"/>
              <w:end w:w="120" w:type="dxa"/>
            </w:tcMar>
            <w:vAlign w:val="center"/>
          </w:tcPr>
          <w:p>
            <w:pPr>
              <w:spacing w:before="0" w:after="0" w:line="240" w:lineRule="auto"/>
              <w:jc w:val="left"/>
              <w:keepLines/>
              <w:widowControl/>
            </w:pPr>
            <w:r>
              <w:rPr>
                <w:sz w:val="16"/>
              </w:rPr>
              <w:t>Quote age, tariff change, freight surge</w:t>
            </w:r>
          </w:p>
        </w:tc>
        <w:tc>
          <w:tcPr>
            <w:tcW w:type="dxa" w:w="3320"/>
            <w:tcMar>
              <w:top w:w="80" w:type="dxa"/>
              <w:start w:w="120" w:type="dxa"/>
              <w:bottom w:w="80" w:type="dxa"/>
              <w:end w:w="120" w:type="dxa"/>
            </w:tcMar>
            <w:vAlign w:val="center"/>
          </w:tcPr>
          <w:p>
            <w:pPr>
              <w:spacing w:before="0" w:after="0" w:line="240" w:lineRule="auto"/>
              <w:jc w:val="left"/>
              <w:keepLines/>
              <w:widowControl/>
            </w:pPr>
            <w:r>
              <w:rPr>
                <w:sz w:val="16"/>
              </w:rPr>
              <w:t>Two-country/two-supplier quote; 15% contingency; short quote validity</w:t>
            </w:r>
          </w:p>
        </w:tc>
      </w:tr>
      <w:tr>
        <w:trPr>
          <w:cantSplit/>
        </w:trPr>
        <w:tc>
          <w:tcPr>
            <w:tcW w:type="dxa" w:w="2440"/>
            <w:tcMar>
              <w:top w:w="80" w:type="dxa"/>
              <w:start w:w="120" w:type="dxa"/>
              <w:bottom w:w="80" w:type="dxa"/>
              <w:end w:w="120" w:type="dxa"/>
            </w:tcMar>
            <w:vAlign w:val="center"/>
          </w:tcPr>
          <w:p>
            <w:pPr>
              <w:spacing w:before="0" w:after="0" w:line="240" w:lineRule="auto"/>
              <w:jc w:val="left"/>
              <w:keepLines/>
              <w:widowControl/>
            </w:pPr>
            <w:r>
              <w:rPr>
                <w:sz w:val="16"/>
              </w:rPr>
              <w:t>Fulfillment overrun</w:t>
            </w:r>
          </w:p>
        </w:tc>
        <w:tc>
          <w:tcPr>
            <w:tcW w:type="dxa" w:w="1000"/>
            <w:tcMar>
              <w:top w:w="80" w:type="dxa"/>
              <w:start w:w="120" w:type="dxa"/>
              <w:bottom w:w="80" w:type="dxa"/>
              <w:end w:w="120" w:type="dxa"/>
            </w:tcMar>
            <w:vAlign w:val="center"/>
          </w:tcPr>
          <w:p>
            <w:pPr>
              <w:spacing w:before="0" w:after="0" w:line="240" w:lineRule="auto"/>
              <w:jc w:val="left"/>
              <w:keepLines/>
              <w:widowControl/>
            </w:pPr>
            <w:r>
              <w:rPr>
                <w:sz w:val="16"/>
              </w:rPr>
              <w:t>Medium</w:t>
            </w:r>
          </w:p>
        </w:tc>
        <w:tc>
          <w:tcPr>
            <w:tcW w:type="dxa" w:w="1100"/>
            <w:tcMar>
              <w:top w:w="80" w:type="dxa"/>
              <w:start w:w="120" w:type="dxa"/>
              <w:bottom w:w="80" w:type="dxa"/>
              <w:end w:w="120" w:type="dxa"/>
            </w:tcMar>
            <w:vAlign w:val="center"/>
          </w:tcPr>
          <w:p>
            <w:pPr>
              <w:spacing w:before="0" w:after="0" w:line="240" w:lineRule="auto"/>
              <w:jc w:val="left"/>
              <w:keepLines/>
              <w:widowControl/>
            </w:pPr>
            <w:r>
              <w:rPr>
                <w:sz w:val="16"/>
              </w:rPr>
              <w:t>High</w:t>
            </w:r>
          </w:p>
        </w:tc>
        <w:tc>
          <w:tcPr>
            <w:tcW w:type="dxa" w:w="1500"/>
            <w:tcMar>
              <w:top w:w="80" w:type="dxa"/>
              <w:start w:w="120" w:type="dxa"/>
              <w:bottom w:w="80" w:type="dxa"/>
              <w:end w:w="120" w:type="dxa"/>
            </w:tcMar>
            <w:vAlign w:val="center"/>
          </w:tcPr>
          <w:p>
            <w:pPr>
              <w:spacing w:before="0" w:after="0" w:line="240" w:lineRule="auto"/>
              <w:jc w:val="left"/>
              <w:keepLines/>
              <w:widowControl/>
            </w:pPr>
            <w:r>
              <w:rPr>
                <w:sz w:val="16"/>
              </w:rPr>
              <w:t>Unpriced zones, dimensional-weight changes</w:t>
            </w:r>
          </w:p>
        </w:tc>
        <w:tc>
          <w:tcPr>
            <w:tcW w:type="dxa" w:w="3320"/>
            <w:tcMar>
              <w:top w:w="80" w:type="dxa"/>
              <w:start w:w="120" w:type="dxa"/>
              <w:bottom w:w="80" w:type="dxa"/>
              <w:end w:w="120" w:type="dxa"/>
            </w:tcMar>
            <w:vAlign w:val="center"/>
          </w:tcPr>
          <w:p>
            <w:pPr>
              <w:spacing w:before="0" w:after="0" w:line="240" w:lineRule="auto"/>
              <w:jc w:val="left"/>
              <w:keepLines/>
              <w:widowControl/>
            </w:pPr>
            <w:r>
              <w:rPr>
                <w:sz w:val="16"/>
              </w:rPr>
              <w:t>Charge shipping transparently; lane-level quotes</w:t>
            </w:r>
          </w:p>
        </w:tc>
      </w:tr>
      <w:tr>
        <w:trPr>
          <w:cantSplit/>
        </w:trPr>
        <w:tc>
          <w:tcPr>
            <w:tcW w:type="dxa" w:w="2440"/>
            <w:tcMar>
              <w:top w:w="80" w:type="dxa"/>
              <w:start w:w="120" w:type="dxa"/>
              <w:bottom w:w="80" w:type="dxa"/>
              <w:end w:w="120" w:type="dxa"/>
            </w:tcMar>
            <w:vAlign w:val="center"/>
          </w:tcPr>
          <w:p>
            <w:pPr>
              <w:spacing w:before="0" w:after="0" w:line="240" w:lineRule="auto"/>
              <w:jc w:val="left"/>
              <w:keepLines/>
              <w:widowControl/>
            </w:pPr>
            <w:r>
              <w:rPr>
                <w:sz w:val="16"/>
              </w:rPr>
              <w:t>Founder deadlock/capacity</w:t>
            </w:r>
          </w:p>
        </w:tc>
        <w:tc>
          <w:tcPr>
            <w:tcW w:type="dxa" w:w="1000"/>
            <w:tcMar>
              <w:top w:w="80" w:type="dxa"/>
              <w:start w:w="120" w:type="dxa"/>
              <w:bottom w:w="80" w:type="dxa"/>
              <w:end w:w="120" w:type="dxa"/>
            </w:tcMar>
            <w:vAlign w:val="center"/>
          </w:tcPr>
          <w:p>
            <w:pPr>
              <w:spacing w:before="0" w:after="0" w:line="240" w:lineRule="auto"/>
              <w:jc w:val="left"/>
              <w:keepLines/>
              <w:widowControl/>
            </w:pPr>
            <w:r>
              <w:rPr>
                <w:sz w:val="16"/>
              </w:rPr>
              <w:t>Medium</w:t>
            </w:r>
          </w:p>
        </w:tc>
        <w:tc>
          <w:tcPr>
            <w:tcW w:type="dxa" w:w="1100"/>
            <w:tcMar>
              <w:top w:w="80" w:type="dxa"/>
              <w:start w:w="120" w:type="dxa"/>
              <w:bottom w:w="80" w:type="dxa"/>
              <w:end w:w="120" w:type="dxa"/>
            </w:tcMar>
            <w:vAlign w:val="center"/>
          </w:tcPr>
          <w:p>
            <w:pPr>
              <w:spacing w:before="0" w:after="0" w:line="240" w:lineRule="auto"/>
              <w:jc w:val="left"/>
              <w:keepLines/>
              <w:widowControl/>
            </w:pPr>
            <w:r>
              <w:rPr>
                <w:sz w:val="16"/>
              </w:rPr>
              <w:t>High</w:t>
            </w:r>
          </w:p>
        </w:tc>
        <w:tc>
          <w:tcPr>
            <w:tcW w:type="dxa" w:w="1500"/>
            <w:tcMar>
              <w:top w:w="80" w:type="dxa"/>
              <w:start w:w="120" w:type="dxa"/>
              <w:bottom w:w="80" w:type="dxa"/>
              <w:end w:w="120" w:type="dxa"/>
            </w:tcMar>
            <w:vAlign w:val="center"/>
          </w:tcPr>
          <w:p>
            <w:pPr>
              <w:spacing w:before="0" w:after="0" w:line="240" w:lineRule="auto"/>
              <w:jc w:val="left"/>
              <w:keepLines/>
              <w:widowControl/>
            </w:pPr>
            <w:r>
              <w:rPr>
                <w:sz w:val="16"/>
              </w:rPr>
              <w:t>Missed milestones, unclear approvals</w:t>
            </w:r>
          </w:p>
        </w:tc>
        <w:tc>
          <w:tcPr>
            <w:tcW w:type="dxa" w:w="3320"/>
            <w:tcMar>
              <w:top w:w="80" w:type="dxa"/>
              <w:start w:w="120" w:type="dxa"/>
              <w:bottom w:w="80" w:type="dxa"/>
              <w:end w:w="120" w:type="dxa"/>
            </w:tcMar>
            <w:vAlign w:val="center"/>
          </w:tcPr>
          <w:p>
            <w:pPr>
              <w:spacing w:before="0" w:after="0" w:line="240" w:lineRule="auto"/>
              <w:jc w:val="left"/>
              <w:keepLines/>
              <w:widowControl/>
            </w:pPr>
            <w:r>
              <w:rPr>
                <w:sz w:val="16"/>
              </w:rPr>
              <w:t>Written roles, time commitments, deadlock mechanism</w:t>
            </w:r>
          </w:p>
        </w:tc>
      </w:tr>
      <w:tr>
        <w:trPr>
          <w:cantSplit/>
        </w:trPr>
        <w:tc>
          <w:tcPr>
            <w:tcW w:type="dxa" w:w="2440"/>
            <w:tcMar>
              <w:top w:w="80" w:type="dxa"/>
              <w:start w:w="120" w:type="dxa"/>
              <w:bottom w:w="80" w:type="dxa"/>
              <w:end w:w="120" w:type="dxa"/>
            </w:tcMar>
            <w:vAlign w:val="center"/>
          </w:tcPr>
          <w:p>
            <w:pPr>
              <w:spacing w:before="0" w:after="0" w:line="240" w:lineRule="auto"/>
              <w:jc w:val="left"/>
              <w:keepLines/>
              <w:widowControl/>
            </w:pPr>
            <w:r>
              <w:rPr>
                <w:sz w:val="16"/>
              </w:rPr>
              <w:t>Inventory overhang</w:t>
            </w:r>
          </w:p>
        </w:tc>
        <w:tc>
          <w:tcPr>
            <w:tcW w:type="dxa" w:w="1000"/>
            <w:tcMar>
              <w:top w:w="80" w:type="dxa"/>
              <w:start w:w="120" w:type="dxa"/>
              <w:bottom w:w="80" w:type="dxa"/>
              <w:end w:w="120" w:type="dxa"/>
            </w:tcMar>
            <w:vAlign w:val="center"/>
          </w:tcPr>
          <w:p>
            <w:pPr>
              <w:spacing w:before="0" w:after="0" w:line="240" w:lineRule="auto"/>
              <w:jc w:val="left"/>
              <w:keepLines/>
              <w:widowControl/>
            </w:pPr>
            <w:r>
              <w:rPr>
                <w:sz w:val="16"/>
              </w:rPr>
              <w:t>Medium</w:t>
            </w:r>
          </w:p>
        </w:tc>
        <w:tc>
          <w:tcPr>
            <w:tcW w:type="dxa" w:w="1100"/>
            <w:tcMar>
              <w:top w:w="80" w:type="dxa"/>
              <w:start w:w="120" w:type="dxa"/>
              <w:bottom w:w="80" w:type="dxa"/>
              <w:end w:w="120" w:type="dxa"/>
            </w:tcMar>
            <w:vAlign w:val="center"/>
          </w:tcPr>
          <w:p>
            <w:pPr>
              <w:spacing w:before="0" w:after="0" w:line="240" w:lineRule="auto"/>
              <w:jc w:val="left"/>
              <w:keepLines/>
              <w:widowControl/>
            </w:pPr>
            <w:r>
              <w:rPr>
                <w:sz w:val="16"/>
              </w:rPr>
              <w:t>High</w:t>
            </w:r>
          </w:p>
        </w:tc>
        <w:tc>
          <w:tcPr>
            <w:tcW w:type="dxa" w:w="1500"/>
            <w:tcMar>
              <w:top w:w="80" w:type="dxa"/>
              <w:start w:w="120" w:type="dxa"/>
              <w:bottom w:w="80" w:type="dxa"/>
              <w:end w:w="120" w:type="dxa"/>
            </w:tcMar>
            <w:vAlign w:val="center"/>
          </w:tcPr>
          <w:p>
            <w:pPr>
              <w:spacing w:before="0" w:after="0" w:line="240" w:lineRule="auto"/>
              <w:jc w:val="left"/>
              <w:keepLines/>
              <w:widowControl/>
            </w:pPr>
            <w:r>
              <w:rPr>
                <w:sz w:val="16"/>
              </w:rPr>
              <w:t>Weak post-campaign reorders</w:t>
            </w:r>
          </w:p>
        </w:tc>
        <w:tc>
          <w:tcPr>
            <w:tcW w:type="dxa" w:w="3320"/>
            <w:tcMar>
              <w:top w:w="80" w:type="dxa"/>
              <w:start w:w="120" w:type="dxa"/>
              <w:bottom w:w="80" w:type="dxa"/>
              <w:end w:w="120" w:type="dxa"/>
            </w:tcMar>
            <w:vAlign w:val="center"/>
          </w:tcPr>
          <w:p>
            <w:pPr>
              <w:spacing w:before="0" w:after="0" w:line="240" w:lineRule="auto"/>
              <w:jc w:val="left"/>
              <w:keepLines/>
              <w:widowControl/>
            </w:pPr>
            <w:r>
              <w:rPr>
                <w:sz w:val="16"/>
              </w:rPr>
              <w:t>First run tied to paid demand; no speculative deluxe inventory</w:t>
            </w:r>
          </w:p>
        </w:tc>
      </w:tr>
      <w:tr>
        <w:trPr>
          <w:cantSplit/>
        </w:trPr>
        <w:tc>
          <w:tcPr>
            <w:tcW w:type="dxa" w:w="2440"/>
            <w:tcMar>
              <w:top w:w="80" w:type="dxa"/>
              <w:start w:w="120" w:type="dxa"/>
              <w:bottom w:w="80" w:type="dxa"/>
              <w:end w:w="120" w:type="dxa"/>
            </w:tcMar>
            <w:vAlign w:val="center"/>
          </w:tcPr>
          <w:p>
            <w:pPr>
              <w:spacing w:before="0" w:after="0" w:line="240" w:lineRule="auto"/>
              <w:jc w:val="left"/>
              <w:keepLines/>
              <w:widowControl/>
            </w:pPr>
            <w:r>
              <w:rPr>
                <w:sz w:val="16"/>
              </w:rPr>
              <w:t>Historical-content backlash</w:t>
            </w:r>
          </w:p>
        </w:tc>
        <w:tc>
          <w:tcPr>
            <w:tcW w:type="dxa" w:w="1000"/>
            <w:tcMar>
              <w:top w:w="80" w:type="dxa"/>
              <w:start w:w="120" w:type="dxa"/>
              <w:bottom w:w="80" w:type="dxa"/>
              <w:end w:w="120" w:type="dxa"/>
            </w:tcMar>
            <w:vAlign w:val="center"/>
          </w:tcPr>
          <w:p>
            <w:pPr>
              <w:spacing w:before="0" w:after="0" w:line="240" w:lineRule="auto"/>
              <w:jc w:val="left"/>
              <w:keepLines/>
              <w:widowControl/>
            </w:pPr>
            <w:r>
              <w:rPr>
                <w:sz w:val="16"/>
              </w:rPr>
              <w:t>Medium</w:t>
            </w:r>
          </w:p>
        </w:tc>
        <w:tc>
          <w:tcPr>
            <w:tcW w:type="dxa" w:w="1100"/>
            <w:tcMar>
              <w:top w:w="80" w:type="dxa"/>
              <w:start w:w="120" w:type="dxa"/>
              <w:bottom w:w="80" w:type="dxa"/>
              <w:end w:w="120" w:type="dxa"/>
            </w:tcMar>
            <w:vAlign w:val="center"/>
          </w:tcPr>
          <w:p>
            <w:pPr>
              <w:spacing w:before="0" w:after="0" w:line="240" w:lineRule="auto"/>
              <w:jc w:val="left"/>
              <w:keepLines/>
              <w:widowControl/>
            </w:pPr>
            <w:r>
              <w:rPr>
                <w:sz w:val="16"/>
              </w:rPr>
              <w:t xml:space="preserve">High for </w:t>
            </w:r>
            <w:r>
              <w:rPr>
                <w:i/>
                <w:sz w:val="16"/>
              </w:rPr>
              <w:t>The Republic</w:t>
            </w:r>
          </w:p>
        </w:tc>
        <w:tc>
          <w:tcPr>
            <w:tcW w:type="dxa" w:w="1500"/>
            <w:tcMar>
              <w:top w:w="80" w:type="dxa"/>
              <w:start w:w="120" w:type="dxa"/>
              <w:bottom w:w="80" w:type="dxa"/>
              <w:end w:w="120" w:type="dxa"/>
            </w:tcMar>
            <w:vAlign w:val="center"/>
          </w:tcPr>
          <w:p>
            <w:pPr>
              <w:spacing w:before="0" w:after="0" w:line="240" w:lineRule="auto"/>
              <w:jc w:val="left"/>
              <w:keepLines/>
              <w:widowControl/>
            </w:pPr>
            <w:r>
              <w:rPr>
                <w:sz w:val="16"/>
              </w:rPr>
              <w:t>Reviewer discomfort; platform/retailer restrictions</w:t>
            </w:r>
          </w:p>
        </w:tc>
        <w:tc>
          <w:tcPr>
            <w:tcW w:type="dxa" w:w="3320"/>
            <w:tcMar>
              <w:top w:w="80" w:type="dxa"/>
              <w:start w:w="120" w:type="dxa"/>
              <w:bottom w:w="80" w:type="dxa"/>
              <w:end w:w="120" w:type="dxa"/>
            </w:tcMar>
            <w:vAlign w:val="center"/>
          </w:tcPr>
          <w:p>
            <w:pPr>
              <w:spacing w:before="0" w:after="0" w:line="240" w:lineRule="auto"/>
              <w:jc w:val="left"/>
              <w:keepLines/>
              <w:widowControl/>
            </w:pPr>
            <w:r>
              <w:rPr>
                <w:sz w:val="16"/>
              </w:rPr>
              <w:t>Expert review, content policy, adult positioning, separate launch decision</w:t>
            </w:r>
          </w:p>
        </w:tc>
      </w:tr>
      <w:tr>
        <w:trPr>
          <w:cantSplit/>
        </w:trPr>
        <w:tc>
          <w:tcPr>
            <w:tcW w:type="dxa" w:w="2440"/>
            <w:tcMar>
              <w:top w:w="80" w:type="dxa"/>
              <w:start w:w="120" w:type="dxa"/>
              <w:bottom w:w="80" w:type="dxa"/>
              <w:end w:w="120" w:type="dxa"/>
            </w:tcMar>
            <w:vAlign w:val="center"/>
          </w:tcPr>
          <w:p>
            <w:pPr>
              <w:spacing w:before="0" w:after="0" w:line="240" w:lineRule="auto"/>
              <w:jc w:val="left"/>
              <w:keepLines/>
              <w:widowControl/>
            </w:pPr>
            <w:r>
              <w:rPr>
                <w:sz w:val="16"/>
              </w:rPr>
              <w:t>Compliance failure</w:t>
            </w:r>
          </w:p>
        </w:tc>
        <w:tc>
          <w:tcPr>
            <w:tcW w:type="dxa" w:w="1000"/>
            <w:tcMar>
              <w:top w:w="80" w:type="dxa"/>
              <w:start w:w="120" w:type="dxa"/>
              <w:bottom w:w="80" w:type="dxa"/>
              <w:end w:w="120" w:type="dxa"/>
            </w:tcMar>
            <w:vAlign w:val="center"/>
          </w:tcPr>
          <w:p>
            <w:pPr>
              <w:spacing w:before="0" w:after="0" w:line="240" w:lineRule="auto"/>
              <w:jc w:val="left"/>
              <w:keepLines/>
              <w:widowControl/>
            </w:pPr>
            <w:r>
              <w:rPr>
                <w:sz w:val="16"/>
              </w:rPr>
              <w:t>Low–Medium</w:t>
            </w:r>
          </w:p>
        </w:tc>
        <w:tc>
          <w:tcPr>
            <w:tcW w:type="dxa" w:w="1100"/>
            <w:tcMar>
              <w:top w:w="80" w:type="dxa"/>
              <w:start w:w="120" w:type="dxa"/>
              <w:bottom w:w="80" w:type="dxa"/>
              <w:end w:w="120" w:type="dxa"/>
            </w:tcMar>
            <w:vAlign w:val="center"/>
          </w:tcPr>
          <w:p>
            <w:pPr>
              <w:spacing w:before="0" w:after="0" w:line="240" w:lineRule="auto"/>
              <w:jc w:val="left"/>
              <w:keepLines/>
              <w:widowControl/>
            </w:pPr>
            <w:r>
              <w:rPr>
                <w:sz w:val="16"/>
              </w:rPr>
              <w:t>Critical</w:t>
            </w:r>
          </w:p>
        </w:tc>
        <w:tc>
          <w:tcPr>
            <w:tcW w:type="dxa" w:w="1500"/>
            <w:tcMar>
              <w:top w:w="80" w:type="dxa"/>
              <w:start w:w="120" w:type="dxa"/>
              <w:bottom w:w="80" w:type="dxa"/>
              <w:end w:w="120" w:type="dxa"/>
            </w:tcMar>
            <w:vAlign w:val="center"/>
          </w:tcPr>
          <w:p>
            <w:pPr>
              <w:spacing w:before="0" w:after="0" w:line="240" w:lineRule="auto"/>
              <w:jc w:val="left"/>
              <w:keepLines/>
              <w:widowControl/>
            </w:pPr>
            <w:r>
              <w:rPr>
                <w:sz w:val="16"/>
              </w:rPr>
              <w:t>Unresolved age grading or lab plan</w:t>
            </w:r>
          </w:p>
        </w:tc>
        <w:tc>
          <w:tcPr>
            <w:tcW w:type="dxa" w:w="3320"/>
            <w:tcMar>
              <w:top w:w="80" w:type="dxa"/>
              <w:start w:w="120" w:type="dxa"/>
              <w:bottom w:w="80" w:type="dxa"/>
              <w:end w:w="120" w:type="dxa"/>
            </w:tcMar>
            <w:vAlign w:val="center"/>
          </w:tcPr>
          <w:p>
            <w:pPr>
              <w:spacing w:before="0" w:after="0" w:line="240" w:lineRule="auto"/>
              <w:jc w:val="left"/>
              <w:keepLines/>
              <w:widowControl/>
            </w:pPr>
            <w:r>
              <w:rPr>
                <w:sz w:val="16"/>
              </w:rPr>
              <w:t>Written classification and test plan before production</w:t>
            </w:r>
          </w:p>
        </w:tc>
      </w:tr>
      <w:tr>
        <w:trPr>
          <w:cantSplit/>
        </w:trPr>
        <w:tc>
          <w:tcPr>
            <w:tcW w:type="dxa" w:w="2440"/>
            <w:tcMar>
              <w:top w:w="80" w:type="dxa"/>
              <w:start w:w="120" w:type="dxa"/>
              <w:bottom w:w="80" w:type="dxa"/>
              <w:end w:w="120" w:type="dxa"/>
            </w:tcMar>
            <w:vAlign w:val="center"/>
          </w:tcPr>
          <w:p>
            <w:pPr>
              <w:spacing w:before="0" w:after="0" w:line="240" w:lineRule="auto"/>
              <w:jc w:val="left"/>
              <w:keepLines/>
              <w:widowControl/>
            </w:pPr>
            <w:r>
              <w:rPr>
                <w:sz w:val="16"/>
              </w:rPr>
              <w:t>One-title concentration</w:t>
            </w:r>
          </w:p>
        </w:tc>
        <w:tc>
          <w:tcPr>
            <w:tcW w:type="dxa" w:w="1000"/>
            <w:tcMar>
              <w:top w:w="80" w:type="dxa"/>
              <w:start w:w="120" w:type="dxa"/>
              <w:bottom w:w="80" w:type="dxa"/>
              <w:end w:w="120" w:type="dxa"/>
            </w:tcMar>
            <w:vAlign w:val="center"/>
          </w:tcPr>
          <w:p>
            <w:pPr>
              <w:spacing w:before="0" w:after="0" w:line="240" w:lineRule="auto"/>
              <w:jc w:val="left"/>
              <w:keepLines/>
              <w:widowControl/>
            </w:pPr>
            <w:r>
              <w:rPr>
                <w:sz w:val="16"/>
              </w:rPr>
              <w:t>High initially</w:t>
            </w:r>
          </w:p>
        </w:tc>
        <w:tc>
          <w:tcPr>
            <w:tcW w:type="dxa" w:w="1100"/>
            <w:tcMar>
              <w:top w:w="80" w:type="dxa"/>
              <w:start w:w="120" w:type="dxa"/>
              <w:bottom w:w="80" w:type="dxa"/>
              <w:end w:w="120" w:type="dxa"/>
            </w:tcMar>
            <w:vAlign w:val="center"/>
          </w:tcPr>
          <w:p>
            <w:pPr>
              <w:spacing w:before="0" w:after="0" w:line="240" w:lineRule="auto"/>
              <w:jc w:val="left"/>
              <w:keepLines/>
              <w:widowControl/>
            </w:pPr>
            <w:r>
              <w:rPr>
                <w:sz w:val="16"/>
              </w:rPr>
              <w:t>Medium</w:t>
            </w:r>
          </w:p>
        </w:tc>
        <w:tc>
          <w:tcPr>
            <w:tcW w:type="dxa" w:w="1500"/>
            <w:tcMar>
              <w:top w:w="80" w:type="dxa"/>
              <w:start w:w="120" w:type="dxa"/>
              <w:bottom w:w="80" w:type="dxa"/>
              <w:end w:w="120" w:type="dxa"/>
            </w:tcMar>
            <w:vAlign w:val="center"/>
          </w:tcPr>
          <w:p>
            <w:pPr>
              <w:spacing w:before="0" w:after="0" w:line="240" w:lineRule="auto"/>
              <w:jc w:val="left"/>
              <w:keepLines/>
              <w:widowControl/>
            </w:pPr>
            <w:r>
              <w:rPr>
                <w:sz w:val="16"/>
              </w:rPr>
              <w:t>Revenue collapses after campaign</w:t>
            </w:r>
          </w:p>
        </w:tc>
        <w:tc>
          <w:tcPr>
            <w:tcW w:type="dxa" w:w="3320"/>
            <w:tcMar>
              <w:top w:w="80" w:type="dxa"/>
              <w:start w:w="120" w:type="dxa"/>
              <w:bottom w:w="80" w:type="dxa"/>
              <w:end w:w="120" w:type="dxa"/>
            </w:tcMar>
            <w:vAlign w:val="center"/>
          </w:tcPr>
          <w:p>
            <w:pPr>
              <w:spacing w:before="0" w:after="0" w:line="240" w:lineRule="auto"/>
              <w:jc w:val="left"/>
              <w:keepLines/>
              <w:widowControl/>
            </w:pPr>
            <w:r>
              <w:rPr>
                <w:sz w:val="16"/>
              </w:rPr>
              <w:t>Develop second title only after flagship gate; preserve cash</w:t>
            </w:r>
          </w:p>
        </w:tc>
      </w:tr>
    </w:tbl>
    <w:p>
      <w:pPr>
        <w:spacing w:after="0"/>
      </w:pPr>
    </w:p>
    <w:p>
      <w:pPr>
        <w:pStyle w:val="Heading1"/>
        <w:keepNext/>
        <w:keepLines/>
        <w:widowControl/>
      </w:pPr>
      <w:r>
        <w:t>13. 24-Month Execution Roadmap</w:t>
      </w:r>
    </w:p>
    <w:p>
      <w:pPr>
        <w:pStyle w:val="Heading2"/>
        <w:keepNext/>
        <w:keepLines/>
        <w:widowControl/>
      </w:pPr>
      <w:r>
        <w:t>Phase 0 — Formation and clearance (0–30 days)</w:t>
      </w:r>
    </w:p>
    <w:p>
      <w:pPr>
        <w:numPr>
          <w:ilvl w:val="0"/>
          <w:numId w:val="10"/>
        </w:numPr>
        <w:spacing w:after="60" w:line="259" w:lineRule="auto"/>
        <w:keepLines/>
        <w:widowControl/>
      </w:pPr>
      <w:r>
        <w:t>Execute founder/operating and IP-assignment agreements.</w:t>
      </w:r>
    </w:p>
    <w:p>
      <w:pPr>
        <w:numPr>
          <w:ilvl w:val="0"/>
          <w:numId w:val="10"/>
        </w:numPr>
        <w:spacing w:after="60" w:line="259" w:lineRule="auto"/>
        <w:keepLines/>
        <w:widowControl/>
      </w:pPr>
      <w:r>
        <w:t>Run professional trademark clearance and reserve viable domains/social handles.</w:t>
      </w:r>
    </w:p>
    <w:p>
      <w:pPr>
        <w:numPr>
          <w:ilvl w:val="0"/>
          <w:numId w:val="10"/>
        </w:numPr>
        <w:spacing w:after="60" w:line="259" w:lineRule="auto"/>
        <w:keepLines/>
        <w:widowControl/>
      </w:pPr>
      <w:r>
        <w:t>Select the flagship from a scored shortlist; define target customer, promise, and component ceiling.</w:t>
      </w:r>
    </w:p>
    <w:p>
      <w:pPr>
        <w:numPr>
          <w:ilvl w:val="0"/>
          <w:numId w:val="10"/>
        </w:numPr>
        <w:spacing w:after="60" w:line="259" w:lineRule="auto"/>
        <w:keepLines/>
        <w:widowControl/>
      </w:pPr>
      <w:r>
        <w:t>Set repository governance, decision log, and monthly budget.</w:t>
      </w:r>
    </w:p>
    <w:p>
      <w:pPr>
        <w:widowControl/>
      </w:pPr>
      <w:r>
        <w:rPr>
          <w:b/>
        </w:rPr>
        <w:t>Exit gate:</w:t>
      </w:r>
      <w:r>
        <w:t xml:space="preserve"> company/IP ownership is unambiguous and the working brand is commercially clear enough to test.</w:t>
      </w:r>
    </w:p>
    <w:p>
      <w:pPr>
        <w:pStyle w:val="Heading2"/>
        <w:keepNext/>
        <w:keepLines/>
        <w:widowControl/>
      </w:pPr>
      <w:r>
        <w:t>Phase 1 — Prototype and problem/solution proof (months 1–4)</w:t>
      </w:r>
    </w:p>
    <w:p>
      <w:pPr>
        <w:numPr>
          <w:ilvl w:val="0"/>
          <w:numId w:val="10"/>
        </w:numPr>
        <w:spacing w:after="60" w:line="259" w:lineRule="auto"/>
        <w:keepLines/>
        <w:widowControl/>
      </w:pPr>
      <w:r>
        <w:t>Build a low-cost physical and print-and-play prototype.</w:t>
      </w:r>
    </w:p>
    <w:p>
      <w:pPr>
        <w:numPr>
          <w:ilvl w:val="0"/>
          <w:numId w:val="10"/>
        </w:numPr>
        <w:spacing w:after="60" w:line="259" w:lineRule="auto"/>
        <w:keepLines/>
        <w:widowControl/>
      </w:pPr>
      <w:r>
        <w:t>Log at least ten internal and 30 external sessions.</w:t>
      </w:r>
    </w:p>
    <w:p>
      <w:pPr>
        <w:numPr>
          <w:ilvl w:val="0"/>
          <w:numId w:val="10"/>
        </w:numPr>
        <w:spacing w:after="60" w:line="259" w:lineRule="auto"/>
        <w:keepLines/>
        <w:widowControl/>
      </w:pPr>
      <w:r>
        <w:t>Publish development notes and begin email capture.</w:t>
      </w:r>
    </w:p>
    <w:p>
      <w:pPr>
        <w:numPr>
          <w:ilvl w:val="0"/>
          <w:numId w:val="10"/>
        </w:numPr>
        <w:spacing w:after="60" w:line="259" w:lineRule="auto"/>
        <w:keepLines/>
        <w:widowControl/>
      </w:pPr>
      <w:r>
        <w:t>Test the one-sentence pitch, teach time, game duration, and desire to replay.</w:t>
      </w:r>
    </w:p>
    <w:p>
      <w:pPr>
        <w:widowControl/>
      </w:pPr>
      <w:r>
        <w:rPr>
          <w:b/>
        </w:rPr>
        <w:t>Exit gate:</w:t>
      </w:r>
      <w:r>
        <w:t xml:space="preserve"> external players request another play and the design meets the target experience.</w:t>
      </w:r>
    </w:p>
    <w:p>
      <w:pPr>
        <w:pStyle w:val="Heading2"/>
        <w:keepNext/>
        <w:keepLines/>
        <w:widowControl/>
      </w:pPr>
      <w:r>
        <w:t>Phase 2 — Blind testing and commercial design (months 4–8)</w:t>
      </w:r>
    </w:p>
    <w:p>
      <w:pPr>
        <w:numPr>
          <w:ilvl w:val="0"/>
          <w:numId w:val="10"/>
        </w:numPr>
        <w:spacing w:after="60" w:line="259" w:lineRule="auto"/>
        <w:keepLines/>
        <w:widowControl/>
      </w:pPr>
      <w:r>
        <w:t>Run at least ten blind-test groups.</w:t>
      </w:r>
    </w:p>
    <w:p>
      <w:pPr>
        <w:numPr>
          <w:ilvl w:val="0"/>
          <w:numId w:val="10"/>
        </w:numPr>
        <w:spacing w:after="60" w:line="259" w:lineRule="auto"/>
        <w:keepLines/>
        <w:widowControl/>
      </w:pPr>
      <w:r>
        <w:t>Lock rules architecture and preliminary bill of materials.</w:t>
      </w:r>
    </w:p>
    <w:p>
      <w:pPr>
        <w:numPr>
          <w:ilvl w:val="0"/>
          <w:numId w:val="10"/>
        </w:numPr>
        <w:spacing w:after="60" w:line="259" w:lineRule="auto"/>
        <w:keepLines/>
        <w:widowControl/>
      </w:pPr>
      <w:r>
        <w:t>Obtain two manufacturer estimates and one domestic/small-run comparison.</w:t>
      </w:r>
    </w:p>
    <w:p>
      <w:pPr>
        <w:numPr>
          <w:ilvl w:val="0"/>
          <w:numId w:val="10"/>
        </w:numPr>
        <w:spacing w:after="60" w:line="259" w:lineRule="auto"/>
        <w:keepLines/>
        <w:widowControl/>
      </w:pPr>
      <w:r>
        <w:t>Obtain fulfillment, product-safety, and insurance guidance.</w:t>
      </w:r>
    </w:p>
    <w:p>
      <w:pPr>
        <w:widowControl/>
      </w:pPr>
      <w:r>
        <w:rPr>
          <w:b/>
        </w:rPr>
        <w:t>Exit gate:</w:t>
      </w:r>
      <w:r>
        <w:t xml:space="preserve"> rulebook works without founders; target MSRP supports all three channels.</w:t>
      </w:r>
    </w:p>
    <w:p>
      <w:pPr>
        <w:pStyle w:val="Heading2"/>
        <w:keepNext/>
        <w:keepLines/>
        <w:widowControl/>
      </w:pPr>
      <w:r>
        <w:t>Phase 3 — Audience and campaign proof (months 7–12)</w:t>
      </w:r>
    </w:p>
    <w:p>
      <w:pPr>
        <w:numPr>
          <w:ilvl w:val="0"/>
          <w:numId w:val="10"/>
        </w:numPr>
        <w:spacing w:after="60" w:line="259" w:lineRule="auto"/>
        <w:keepLines/>
        <w:widowControl/>
      </w:pPr>
      <w:r>
        <w:t>Commission final art/graphic work in stages.</w:t>
      </w:r>
    </w:p>
    <w:p>
      <w:pPr>
        <w:numPr>
          <w:ilvl w:val="0"/>
          <w:numId w:val="10"/>
        </w:numPr>
        <w:spacing w:after="60" w:line="259" w:lineRule="auto"/>
        <w:keepLines/>
        <w:widowControl/>
      </w:pPr>
      <w:r>
        <w:t>Build prelaunch page, email sequence, preview prototypes, and campaign budget.</w:t>
      </w:r>
    </w:p>
    <w:p>
      <w:pPr>
        <w:numPr>
          <w:ilvl w:val="0"/>
          <w:numId w:val="10"/>
        </w:numPr>
        <w:spacing w:after="60" w:line="259" w:lineRule="auto"/>
        <w:keepLines/>
        <w:widowControl/>
      </w:pPr>
      <w:r>
        <w:t>Reach audience thresholds and document day-one commitments.</w:t>
      </w:r>
    </w:p>
    <w:p>
      <w:pPr>
        <w:numPr>
          <w:ilvl w:val="0"/>
          <w:numId w:val="10"/>
        </w:numPr>
        <w:spacing w:after="60" w:line="259" w:lineRule="auto"/>
        <w:keepLines/>
        <w:widowControl/>
      </w:pPr>
      <w:r>
        <w:t>Requote manufacturing, duty, freight, and fulfillment immediately before launch.</w:t>
      </w:r>
    </w:p>
    <w:p>
      <w:pPr>
        <w:widowControl/>
      </w:pPr>
      <w:r>
        <w:rPr>
          <w:b/>
        </w:rPr>
        <w:t>Exit gate:</w:t>
      </w:r>
      <w:r>
        <w:t xml:space="preserve"> $60,000 product-pledge goal is supported by evidence, not hope.</w:t>
      </w:r>
    </w:p>
    <w:p>
      <w:pPr>
        <w:pStyle w:val="Heading2"/>
        <w:keepNext/>
        <w:keepLines/>
        <w:widowControl/>
      </w:pPr>
      <w:r>
        <w:t>Phase 4 — Campaign and production (months 12–18)</w:t>
      </w:r>
    </w:p>
    <w:p>
      <w:pPr>
        <w:numPr>
          <w:ilvl w:val="0"/>
          <w:numId w:val="10"/>
        </w:numPr>
        <w:spacing w:after="60" w:line="259" w:lineRule="auto"/>
        <w:keepLines/>
        <w:widowControl/>
      </w:pPr>
      <w:r>
        <w:t>Run a focused campaign with limited SKUs.</w:t>
      </w:r>
    </w:p>
    <w:p>
      <w:pPr>
        <w:numPr>
          <w:ilvl w:val="0"/>
          <w:numId w:val="10"/>
        </w:numPr>
        <w:spacing w:after="60" w:line="259" w:lineRule="auto"/>
        <w:keepLines/>
        <w:widowControl/>
      </w:pPr>
      <w:r>
        <w:t>Finalize quantity only after collected funds and late-pledge assumptions are reconciled.</w:t>
      </w:r>
    </w:p>
    <w:p>
      <w:pPr>
        <w:numPr>
          <w:ilvl w:val="0"/>
          <w:numId w:val="10"/>
        </w:numPr>
        <w:spacing w:after="60" w:line="259" w:lineRule="auto"/>
        <w:keepLines/>
        <w:widowControl/>
      </w:pPr>
      <w:r>
        <w:t>Approve samples, testing, packaging, and quality controls.</w:t>
      </w:r>
    </w:p>
    <w:p>
      <w:pPr>
        <w:numPr>
          <w:ilvl w:val="0"/>
          <w:numId w:val="10"/>
        </w:numPr>
        <w:spacing w:after="60" w:line="259" w:lineRule="auto"/>
        <w:keepLines/>
        <w:widowControl/>
      </w:pPr>
      <w:r>
        <w:t>Communicate monthly through fulfillment.</w:t>
      </w:r>
    </w:p>
    <w:p>
      <w:pPr>
        <w:pStyle w:val="Heading2"/>
        <w:keepNext/>
        <w:keepLines/>
        <w:widowControl/>
      </w:pPr>
      <w:r>
        <w:t>Phase 5 — Delivery, retail proof, and catalog decision (months 18–24)</w:t>
      </w:r>
    </w:p>
    <w:p>
      <w:pPr>
        <w:numPr>
          <w:ilvl w:val="0"/>
          <w:numId w:val="10"/>
        </w:numPr>
        <w:spacing w:after="60" w:line="259" w:lineRule="auto"/>
        <w:keepLines/>
        <w:widowControl/>
      </w:pPr>
      <w:r>
        <w:t>Deliver, resolve replacements, and publish a fulfillment postmortem.</w:t>
      </w:r>
    </w:p>
    <w:p>
      <w:pPr>
        <w:numPr>
          <w:ilvl w:val="0"/>
          <w:numId w:val="10"/>
        </w:numPr>
        <w:spacing w:after="60" w:line="259" w:lineRule="auto"/>
        <w:keepLines/>
        <w:widowControl/>
      </w:pPr>
      <w:r>
        <w:t>Pilot retail-direct accounts and track sell-through/reorders.</w:t>
      </w:r>
    </w:p>
    <w:p>
      <w:pPr>
        <w:numPr>
          <w:ilvl w:val="0"/>
          <w:numId w:val="10"/>
        </w:numPr>
        <w:spacing w:after="60" w:line="259" w:lineRule="auto"/>
        <w:keepLines/>
        <w:widowControl/>
      </w:pPr>
      <w:r>
        <w:t>Measure review sentiment, repeat demand, list retention, and contribution margin.</w:t>
      </w:r>
    </w:p>
    <w:p>
      <w:pPr>
        <w:numPr>
          <w:ilvl w:val="0"/>
          <w:numId w:val="10"/>
        </w:numPr>
        <w:spacing w:after="60" w:line="259" w:lineRule="auto"/>
        <w:keepLines/>
        <w:widowControl/>
      </w:pPr>
      <w:r>
        <w:t>Greenlight title two, license the design, or pause based on evidence.</w:t>
      </w:r>
    </w:p>
    <w:p>
      <w:pPr>
        <w:pStyle w:val="Heading1"/>
        <w:keepNext/>
        <w:keepLines/>
        <w:widowControl/>
      </w:pPr>
      <w:r>
        <w:t>14. Decision Framework</w:t>
      </w:r>
    </w:p>
    <w:p>
      <w:pPr>
        <w:pStyle w:val="Heading2"/>
        <w:keepNext/>
        <w:keepLines/>
        <w:widowControl/>
      </w:pPr>
      <w:r>
        <w:t>Approve the next phase only if</w:t>
      </w:r>
    </w:p>
    <w:p>
      <w:pPr>
        <w:numPr>
          <w:ilvl w:val="0"/>
          <w:numId w:val="10"/>
        </w:numPr>
        <w:spacing w:after="60" w:line="259" w:lineRule="auto"/>
        <w:keepLines/>
        <w:widowControl/>
      </w:pPr>
      <w:r>
        <w:t>the preceding gate is documented;</w:t>
      </w:r>
    </w:p>
    <w:p>
      <w:pPr>
        <w:numPr>
          <w:ilvl w:val="0"/>
          <w:numId w:val="10"/>
        </w:numPr>
        <w:spacing w:after="60" w:line="259" w:lineRule="auto"/>
        <w:keepLines/>
        <w:widowControl/>
      </w:pPr>
      <w:r>
        <w:t>committed spend fits within the remaining reserve;</w:t>
      </w:r>
    </w:p>
    <w:p>
      <w:pPr>
        <w:numPr>
          <w:ilvl w:val="0"/>
          <w:numId w:val="10"/>
        </w:numPr>
        <w:spacing w:after="60" w:line="259" w:lineRule="auto"/>
        <w:keepLines/>
        <w:widowControl/>
      </w:pPr>
      <w:r>
        <w:t>current quotes preserve target contribution margin;</w:t>
      </w:r>
    </w:p>
    <w:p>
      <w:pPr>
        <w:numPr>
          <w:ilvl w:val="0"/>
          <w:numId w:val="10"/>
        </w:numPr>
        <w:spacing w:after="60" w:line="259" w:lineRule="auto"/>
        <w:keepLines/>
        <w:widowControl/>
      </w:pPr>
      <w:r>
        <w:t>both founders approve reserved matters; and</w:t>
      </w:r>
    </w:p>
    <w:p>
      <w:pPr>
        <w:numPr>
          <w:ilvl w:val="0"/>
          <w:numId w:val="10"/>
        </w:numPr>
        <w:spacing w:after="60" w:line="259" w:lineRule="auto"/>
        <w:keepLines/>
        <w:widowControl/>
      </w:pPr>
      <w:r>
        <w:t>no unresolved critical legal, compliance, or fulfillment issue remains.</w:t>
      </w:r>
    </w:p>
    <w:p>
      <w:pPr>
        <w:pStyle w:val="Heading2"/>
        <w:keepNext/>
        <w:keepLines/>
        <w:widowControl/>
      </w:pPr>
      <w:r>
        <w:t>Stop, license, or redesign if</w:t>
      </w:r>
    </w:p>
    <w:p>
      <w:pPr>
        <w:numPr>
          <w:ilvl w:val="0"/>
          <w:numId w:val="10"/>
        </w:numPr>
        <w:spacing w:after="60" w:line="259" w:lineRule="auto"/>
        <w:keepLines/>
        <w:widowControl/>
      </w:pPr>
      <w:r>
        <w:t>blind testers cannot learn the game reliably;</w:t>
      </w:r>
    </w:p>
    <w:p>
      <w:pPr>
        <w:numPr>
          <w:ilvl w:val="0"/>
          <w:numId w:val="10"/>
        </w:numPr>
        <w:spacing w:after="60" w:line="259" w:lineRule="auto"/>
        <w:keepLines/>
        <w:widowControl/>
      </w:pPr>
      <w:r>
        <w:t>prelaunch demand cannot support the true funding goal;</w:t>
      </w:r>
    </w:p>
    <w:p>
      <w:pPr>
        <w:numPr>
          <w:ilvl w:val="0"/>
          <w:numId w:val="10"/>
        </w:numPr>
        <w:spacing w:after="60" w:line="259" w:lineRule="auto"/>
        <w:keepLines/>
        <w:widowControl/>
      </w:pPr>
      <w:r>
        <w:t>landed cost exceeds retail-compatible economics;</w:t>
      </w:r>
    </w:p>
    <w:p>
      <w:pPr>
        <w:numPr>
          <w:ilvl w:val="0"/>
          <w:numId w:val="10"/>
        </w:numPr>
        <w:spacing w:after="60" w:line="259" w:lineRule="auto"/>
        <w:keepLines/>
        <w:widowControl/>
      </w:pPr>
      <w:r>
        <w:t>the brand cannot be cleared at reasonable cost; or</w:t>
      </w:r>
    </w:p>
    <w:p>
      <w:pPr>
        <w:numPr>
          <w:ilvl w:val="0"/>
          <w:numId w:val="10"/>
        </w:numPr>
        <w:spacing w:after="60" w:line="259" w:lineRule="auto"/>
        <w:keepLines/>
        <w:widowControl/>
      </w:pPr>
      <w:r>
        <w:t>founder time commitments cannot sustain delivery.</w:t>
      </w:r>
    </w:p>
    <w:p>
      <w:pPr>
        <w:pStyle w:val="Heading1"/>
        <w:keepNext/>
        <w:keepLines/>
        <w:widowControl/>
      </w:pPr>
      <w:r>
        <w:t>15. Final Recommendation</w:t>
      </w:r>
    </w:p>
    <w:p>
      <w:pPr>
        <w:widowControl/>
      </w:pPr>
      <w:r>
        <w:t xml:space="preserve">Authorize a six-month, capped validation program—not a full company launch. The objective is to convert Mr Wallaboo from a broad creative intention into one commercially testable promise. Spend first on prototype quality, testing, ownership, clearance, and audience evidence. Defer deluxe components, speculative inventory, payroll expansion, and </w:t>
      </w:r>
      <w:r>
        <w:rPr>
          <w:i/>
        </w:rPr>
        <w:t>The Republic</w:t>
      </w:r>
      <w:r>
        <w:t xml:space="preserve"> production until the flagship proves that the company can create, sell, and deliver one game well.</w:t>
      </w:r>
    </w:p>
    <w:p>
      <w:pPr>
        <w:widowControl/>
      </w:pPr>
      <w:r>
        <w:t>If the commercial gate is reached, proceed with a focused crowdfunding/DTC launch and preserve retail compatibility. If it is not reached, the company will have learned at low cost and can redesign, license, or stop without an inventory crisis.</w:t>
      </w:r>
    </w:p>
    <w:p>
      <w:pPr>
        <w:pStyle w:val="Heading1"/>
        <w:keepNext/>
        <w:keepLines/>
        <w:widowControl/>
      </w:pPr>
      <w:r>
        <w:t>16. Sources</w:t>
      </w:r>
    </w:p>
    <w:p>
      <w:pPr>
        <w:widowControl/>
      </w:pPr>
      <w:r>
        <w:t xml:space="preserve">See </w:t>
      </w:r>
      <w:r>
        <w:rPr>
          <w:rFonts w:ascii="Consolas" w:hAnsi="Consolas"/>
          <w:color w:val="44515C"/>
          <w:sz w:val="18"/>
        </w:rPr>
        <w:t>research/SOURCE_REGISTER.md</w:t>
      </w:r>
      <w:r>
        <w:t xml:space="preserve"> for full URLs, access context, and caveats. The principal sources are the Toy Association/Circana, ICv2, Kickstarter, CPSC, USPTO, PrintNinja, Panda Game Manufacturing, and public publisher wholesale terms. Research is current through July 17, 2026.</w:t>
      </w:r>
    </w:p>
    <w:p>
      <w:pPr>
        <w:pStyle w:val="Heading1"/>
        <w:keepNext/>
        <w:keepLines/>
        <w:widowControl/>
      </w:pPr>
      <w:r>
        <w:t>Disclaimer</w:t>
      </w:r>
    </w:p>
    <w:p>
      <w:pPr>
        <w:widowControl/>
      </w:pPr>
      <w:r>
        <w:t>This document is an internal planning prospectus and feasibility study. It is not an offer to sell securities, a valuation opinion, or legal, tax, customs, accounting, product-safety, or investment advice. Financial projections are illustrative, unaudited, and dependent on assumptions that have not been validated by operating history. Professional legal, tax, customs, safety, insurance, and accounting advice is required before launch.</w:t>
      </w:r>
    </w:p>
    <w:p>
      <w:pPr>
        <w:pStyle w:val="Heading1"/>
        <w:pageBreakBefore/>
        <w:keepNext/>
        <w:keepLines/>
        <w:widowControl/>
      </w:pPr>
      <w:r>
        <w:t>Appendix A — Research Source Register</w:t>
      </w:r>
    </w:p>
    <w:p>
      <w:r>
        <w:t>Research was current through July 17, 2026. Market totals are contextual, manufacturing figures are budgetary examples rather than quotes, and the name search is not a legal clearance opinion.</w:t>
      </w:r>
    </w:p>
    <w:tbl>
      <w:tblPr>
        <w:tblStyle w:val="TableGrid"/>
        <w:jc w:val="center"/>
        <w:tblLook w:firstColumn="1" w:firstRow="1" w:lastColumn="0" w:lastRow="0" w:noHBand="0" w:noVBand="1" w:val="04A0"/>
        <w:tblW w:w="9360" w:type="dxa"/>
        <w:tblInd w:w="0" w:type="dxa"/>
        <w:tblLayout w:type="fixed"/>
        <w:tblBorders>
          <w:top w:val="single" w:sz="4" w:space="0" w:color="D4DCE3"/>
          <w:left w:val="single" w:sz="4" w:space="0" w:color="D4DCE3"/>
          <w:bottom w:val="single" w:sz="4" w:space="0" w:color="D4DCE3"/>
          <w:right w:val="single" w:sz="4" w:space="0" w:color="D4DCE3"/>
          <w:insideH w:val="single" w:sz="4" w:space="0" w:color="D4DCE3"/>
          <w:insideV w:val="single" w:sz="4" w:space="0" w:color="D4DCE3"/>
        </w:tblBorders>
      </w:tblPr>
      <w:tblGrid>
        <w:gridCol w:w="650"/>
        <w:gridCol w:w="1600"/>
        <w:gridCol w:w="5010"/>
        <w:gridCol w:w="2100"/>
      </w:tblGrid>
      <w:tr>
        <w:trPr>
          <w:tblHeader w:val="true"/>
          <w:cantSplit/>
        </w:trPr>
        <w:tc>
          <w:tcPr>
            <w:tcW w:type="dxa" w:w="650"/>
            <w:tcMar>
              <w:top w:w="80" w:type="dxa"/>
              <w:start w:w="120" w:type="dxa"/>
              <w:bottom w:w="80" w:type="dxa"/>
              <w:end w:w="120" w:type="dxa"/>
            </w:tcMar>
            <w:vAlign w:val="center"/>
            <w:shd w:fill="15324B"/>
          </w:tcPr>
          <w:p>
            <w:pPr>
              <w:spacing w:before="0" w:after="0" w:line="240" w:lineRule="auto"/>
              <w:jc w:val="center"/>
              <w:keepLines/>
              <w:widowControl/>
            </w:pPr>
            <w:r>
              <w:rPr>
                <w:b/>
                <w:color w:val="FFFFFF"/>
                <w:sz w:val="17"/>
              </w:rPr>
              <w:t>ID</w:t>
            </w:r>
          </w:p>
        </w:tc>
        <w:tc>
          <w:tcPr>
            <w:tcW w:type="dxa" w:w="1600"/>
            <w:tcMar>
              <w:top w:w="80" w:type="dxa"/>
              <w:start w:w="120" w:type="dxa"/>
              <w:bottom w:w="80" w:type="dxa"/>
              <w:end w:w="120" w:type="dxa"/>
            </w:tcMar>
            <w:vAlign w:val="center"/>
            <w:shd w:fill="15324B"/>
          </w:tcPr>
          <w:p>
            <w:pPr>
              <w:spacing w:before="0" w:after="0" w:line="240" w:lineRule="auto"/>
              <w:jc w:val="center"/>
              <w:keepLines/>
              <w:widowControl/>
            </w:pPr>
            <w:r>
              <w:rPr>
                <w:b/>
                <w:color w:val="FFFFFF"/>
                <w:sz w:val="17"/>
              </w:rPr>
              <w:t>Topic</w:t>
            </w:r>
          </w:p>
        </w:tc>
        <w:tc>
          <w:tcPr>
            <w:tcW w:type="dxa" w:w="5010"/>
            <w:tcMar>
              <w:top w:w="80" w:type="dxa"/>
              <w:start w:w="120" w:type="dxa"/>
              <w:bottom w:w="80" w:type="dxa"/>
              <w:end w:w="120" w:type="dxa"/>
            </w:tcMar>
            <w:vAlign w:val="center"/>
            <w:shd w:fill="15324B"/>
          </w:tcPr>
          <w:p>
            <w:pPr>
              <w:spacing w:before="0" w:after="0" w:line="240" w:lineRule="auto"/>
              <w:jc w:val="center"/>
              <w:keepLines/>
              <w:widowControl/>
            </w:pPr>
            <w:r>
              <w:rPr>
                <w:b/>
                <w:color w:val="FFFFFF"/>
                <w:sz w:val="17"/>
              </w:rPr>
              <w:t>Key evidence used</w:t>
            </w:r>
          </w:p>
        </w:tc>
        <w:tc>
          <w:tcPr>
            <w:tcW w:type="dxa" w:w="2100"/>
            <w:tcMar>
              <w:top w:w="80" w:type="dxa"/>
              <w:start w:w="120" w:type="dxa"/>
              <w:bottom w:w="80" w:type="dxa"/>
              <w:end w:w="120" w:type="dxa"/>
            </w:tcMar>
            <w:vAlign w:val="center"/>
            <w:shd w:fill="15324B"/>
          </w:tcPr>
          <w:p>
            <w:pPr>
              <w:spacing w:before="0" w:after="0" w:line="240" w:lineRule="auto"/>
              <w:jc w:val="center"/>
              <w:keepLines/>
              <w:widowControl/>
            </w:pPr>
            <w:r>
              <w:rPr>
                <w:b/>
                <w:color w:val="FFFFFF"/>
                <w:sz w:val="17"/>
              </w:rPr>
              <w:t>Source</w:t>
            </w:r>
          </w:p>
        </w:tc>
      </w:tr>
      <w:tr>
        <w:trPr>
          <w:cantSplit/>
        </w:trPr>
        <w:tc>
          <w:tcPr>
            <w:tcW w:type="dxa" w:w="650"/>
            <w:tcMar>
              <w:top w:w="80" w:type="dxa"/>
              <w:start w:w="120" w:type="dxa"/>
              <w:bottom w:w="80" w:type="dxa"/>
              <w:end w:w="120" w:type="dxa"/>
            </w:tcMar>
            <w:vAlign w:val="center"/>
          </w:tcPr>
          <w:p>
            <w:pPr>
              <w:spacing w:before="0" w:after="0" w:line="240" w:lineRule="auto"/>
              <w:jc w:val="left"/>
              <w:keepLines/>
              <w:widowControl/>
            </w:pPr>
            <w:r>
              <w:rPr>
                <w:sz w:val="17"/>
              </w:rPr>
              <w:t>S01</w:t>
            </w:r>
          </w:p>
        </w:tc>
        <w:tc>
          <w:tcPr>
            <w:tcW w:type="dxa" w:w="1600"/>
            <w:tcMar>
              <w:top w:w="80" w:type="dxa"/>
              <w:start w:w="120" w:type="dxa"/>
              <w:bottom w:w="80" w:type="dxa"/>
              <w:end w:w="120" w:type="dxa"/>
            </w:tcMar>
            <w:vAlign w:val="center"/>
          </w:tcPr>
          <w:p>
            <w:pPr>
              <w:spacing w:before="0" w:after="0" w:line="240" w:lineRule="auto"/>
              <w:jc w:val="left"/>
              <w:keepLines/>
              <w:widowControl/>
            </w:pPr>
            <w:r>
              <w:rPr>
                <w:sz w:val="17"/>
              </w:rPr>
              <w:t>U.S. toy and games market</w:t>
            </w:r>
          </w:p>
        </w:tc>
        <w:tc>
          <w:tcPr>
            <w:tcW w:type="dxa" w:w="5010"/>
            <w:tcMar>
              <w:top w:w="80" w:type="dxa"/>
              <w:start w:w="120" w:type="dxa"/>
              <w:bottom w:w="80" w:type="dxa"/>
              <w:end w:w="120" w:type="dxa"/>
            </w:tcMar>
            <w:vAlign w:val="center"/>
          </w:tcPr>
          <w:p>
            <w:pPr>
              <w:spacing w:before="0" w:after="0" w:line="240" w:lineRule="auto"/>
              <w:jc w:val="left"/>
              <w:keepLines/>
              <w:widowControl/>
            </w:pPr>
            <w:r>
              <w:rPr>
                <w:sz w:val="17"/>
              </w:rPr>
              <w:t>U.S. retail toy sales were $30.3B in 2025; Games/Puzzles was the largest supercategory at $4.9B.</w:t>
            </w:r>
          </w:p>
        </w:tc>
        <w:tc>
          <w:tcPr>
            <w:tcW w:type="dxa" w:w="2100"/>
            <w:tcMar>
              <w:top w:w="80" w:type="dxa"/>
              <w:start w:w="120" w:type="dxa"/>
              <w:bottom w:w="80" w:type="dxa"/>
              <w:end w:w="120" w:type="dxa"/>
            </w:tcMar>
            <w:vAlign w:val="center"/>
          </w:tcPr>
          <w:p>
            <w:pPr>
              <w:spacing w:before="0" w:after="0" w:line="240" w:lineRule="auto"/>
              <w:jc w:val="left"/>
              <w:keepLines/>
              <w:widowControl/>
            </w:pPr>
            <w:hyperlink r:id="rId14">
              <w:r>
                <w:rPr>
                  <w:color w:val="285B7E"/>
                  <w:u w:val="single"/>
                </w:rPr>
                <w:t>Open source</w:t>
              </w:r>
            </w:hyperlink>
          </w:p>
        </w:tc>
      </w:tr>
      <w:tr>
        <w:trPr>
          <w:cantSplit/>
        </w:trPr>
        <w:tc>
          <w:tcPr>
            <w:tcW w:type="dxa" w:w="650"/>
            <w:tcMar>
              <w:top w:w="80" w:type="dxa"/>
              <w:start w:w="120" w:type="dxa"/>
              <w:bottom w:w="80" w:type="dxa"/>
              <w:end w:w="120" w:type="dxa"/>
            </w:tcMar>
            <w:vAlign w:val="center"/>
          </w:tcPr>
          <w:p>
            <w:pPr>
              <w:spacing w:before="0" w:after="0" w:line="240" w:lineRule="auto"/>
              <w:jc w:val="left"/>
              <w:keepLines/>
              <w:widowControl/>
            </w:pPr>
            <w:r>
              <w:rPr>
                <w:sz w:val="17"/>
              </w:rPr>
              <w:t>S02</w:t>
            </w:r>
          </w:p>
        </w:tc>
        <w:tc>
          <w:tcPr>
            <w:tcW w:type="dxa" w:w="1600"/>
            <w:tcMar>
              <w:top w:w="80" w:type="dxa"/>
              <w:start w:w="120" w:type="dxa"/>
              <w:bottom w:w="80" w:type="dxa"/>
              <w:end w:w="120" w:type="dxa"/>
            </w:tcMar>
            <w:vAlign w:val="center"/>
          </w:tcPr>
          <w:p>
            <w:pPr>
              <w:spacing w:before="0" w:after="0" w:line="240" w:lineRule="auto"/>
              <w:jc w:val="left"/>
              <w:keepLines/>
              <w:widowControl/>
            </w:pPr>
            <w:r>
              <w:rPr>
                <w:sz w:val="17"/>
              </w:rPr>
              <w:t>2025 category composition</w:t>
            </w:r>
          </w:p>
        </w:tc>
        <w:tc>
          <w:tcPr>
            <w:tcW w:type="dxa" w:w="5010"/>
            <w:tcMar>
              <w:top w:w="80" w:type="dxa"/>
              <w:start w:w="120" w:type="dxa"/>
              <w:bottom w:w="80" w:type="dxa"/>
              <w:end w:w="120" w:type="dxa"/>
            </w:tcMar>
            <w:vAlign w:val="center"/>
          </w:tcPr>
          <w:p>
            <w:pPr>
              <w:spacing w:before="0" w:after="0" w:line="240" w:lineRule="auto"/>
              <w:jc w:val="left"/>
              <w:keepLines/>
              <w:widowControl/>
            </w:pPr>
            <w:r>
              <w:rPr>
                <w:sz w:val="17"/>
              </w:rPr>
              <w:t>Games &amp; Puzzles grew 37% in 2025, driven primarily by Pokémon; category growth is not a direct proxy for indie board-game demand.</w:t>
            </w:r>
          </w:p>
        </w:tc>
        <w:tc>
          <w:tcPr>
            <w:tcW w:type="dxa" w:w="2100"/>
            <w:tcMar>
              <w:top w:w="80" w:type="dxa"/>
              <w:start w:w="120" w:type="dxa"/>
              <w:bottom w:w="80" w:type="dxa"/>
              <w:end w:w="120" w:type="dxa"/>
            </w:tcMar>
            <w:vAlign w:val="center"/>
          </w:tcPr>
          <w:p>
            <w:pPr>
              <w:spacing w:before="0" w:after="0" w:line="240" w:lineRule="auto"/>
              <w:jc w:val="left"/>
              <w:keepLines/>
              <w:widowControl/>
            </w:pPr>
            <w:hyperlink r:id="rId15">
              <w:r>
                <w:rPr>
                  <w:color w:val="285B7E"/>
                  <w:u w:val="single"/>
                </w:rPr>
                <w:t>Open source</w:t>
              </w:r>
            </w:hyperlink>
          </w:p>
        </w:tc>
      </w:tr>
      <w:tr>
        <w:trPr>
          <w:cantSplit/>
        </w:trPr>
        <w:tc>
          <w:tcPr>
            <w:tcW w:type="dxa" w:w="650"/>
            <w:tcMar>
              <w:top w:w="80" w:type="dxa"/>
              <w:start w:w="120" w:type="dxa"/>
              <w:bottom w:w="80" w:type="dxa"/>
              <w:end w:w="120" w:type="dxa"/>
            </w:tcMar>
            <w:vAlign w:val="center"/>
          </w:tcPr>
          <w:p>
            <w:pPr>
              <w:spacing w:before="0" w:after="0" w:line="240" w:lineRule="auto"/>
              <w:jc w:val="left"/>
              <w:keepLines/>
              <w:widowControl/>
            </w:pPr>
            <w:r>
              <w:rPr>
                <w:sz w:val="17"/>
              </w:rPr>
              <w:t>S03</w:t>
            </w:r>
          </w:p>
        </w:tc>
        <w:tc>
          <w:tcPr>
            <w:tcW w:type="dxa" w:w="1600"/>
            <w:tcMar>
              <w:top w:w="80" w:type="dxa"/>
              <w:start w:w="120" w:type="dxa"/>
              <w:bottom w:w="80" w:type="dxa"/>
              <w:end w:w="120" w:type="dxa"/>
            </w:tcMar>
            <w:vAlign w:val="center"/>
          </w:tcPr>
          <w:p>
            <w:pPr>
              <w:spacing w:before="0" w:after="0" w:line="240" w:lineRule="auto"/>
              <w:jc w:val="left"/>
              <w:keepLines/>
              <w:widowControl/>
            </w:pPr>
            <w:r>
              <w:rPr>
                <w:sz w:val="17"/>
              </w:rPr>
              <w:t>Hobby market</w:t>
            </w:r>
          </w:p>
        </w:tc>
        <w:tc>
          <w:tcPr>
            <w:tcW w:type="dxa" w:w="5010"/>
            <w:tcMar>
              <w:top w:w="80" w:type="dxa"/>
              <w:start w:w="120" w:type="dxa"/>
              <w:bottom w:w="80" w:type="dxa"/>
              <w:end w:w="120" w:type="dxa"/>
            </w:tcMar>
            <w:vAlign w:val="center"/>
          </w:tcPr>
          <w:p>
            <w:pPr>
              <w:spacing w:before="0" w:after="0" w:line="240" w:lineRule="auto"/>
              <w:jc w:val="left"/>
              <w:keepLines/>
              <w:widowControl/>
            </w:pPr>
            <w:r>
              <w:rPr>
                <w:sz w:val="17"/>
              </w:rPr>
              <w:t>ICv2 estimated the U.S./Canada hobby-games market at $3.66B in 2025, but TCGs were roughly two-thirds of dollars and other categories were flat to modestly growing.</w:t>
            </w:r>
          </w:p>
        </w:tc>
        <w:tc>
          <w:tcPr>
            <w:tcW w:type="dxa" w:w="2100"/>
            <w:tcMar>
              <w:top w:w="80" w:type="dxa"/>
              <w:start w:w="120" w:type="dxa"/>
              <w:bottom w:w="80" w:type="dxa"/>
              <w:end w:w="120" w:type="dxa"/>
            </w:tcMar>
            <w:vAlign w:val="center"/>
          </w:tcPr>
          <w:p>
            <w:pPr>
              <w:spacing w:before="0" w:after="0" w:line="240" w:lineRule="auto"/>
              <w:jc w:val="left"/>
              <w:keepLines/>
              <w:widowControl/>
            </w:pPr>
            <w:hyperlink r:id="rId16">
              <w:r>
                <w:rPr>
                  <w:color w:val="285B7E"/>
                  <w:u w:val="single"/>
                </w:rPr>
                <w:t>Open source</w:t>
              </w:r>
            </w:hyperlink>
          </w:p>
        </w:tc>
      </w:tr>
      <w:tr>
        <w:trPr>
          <w:cantSplit/>
        </w:trPr>
        <w:tc>
          <w:tcPr>
            <w:tcW w:type="dxa" w:w="650"/>
            <w:tcMar>
              <w:top w:w="80" w:type="dxa"/>
              <w:start w:w="120" w:type="dxa"/>
              <w:bottom w:w="80" w:type="dxa"/>
              <w:end w:w="120" w:type="dxa"/>
            </w:tcMar>
            <w:vAlign w:val="center"/>
          </w:tcPr>
          <w:p>
            <w:pPr>
              <w:spacing w:before="0" w:after="0" w:line="240" w:lineRule="auto"/>
              <w:jc w:val="left"/>
              <w:keepLines/>
              <w:widowControl/>
            </w:pPr>
            <w:r>
              <w:rPr>
                <w:sz w:val="17"/>
              </w:rPr>
              <w:t>S04</w:t>
            </w:r>
          </w:p>
        </w:tc>
        <w:tc>
          <w:tcPr>
            <w:tcW w:type="dxa" w:w="1600"/>
            <w:tcMar>
              <w:top w:w="80" w:type="dxa"/>
              <w:start w:w="120" w:type="dxa"/>
              <w:bottom w:w="80" w:type="dxa"/>
              <w:end w:w="120" w:type="dxa"/>
            </w:tcMar>
            <w:vAlign w:val="center"/>
          </w:tcPr>
          <w:p>
            <w:pPr>
              <w:spacing w:before="0" w:after="0" w:line="240" w:lineRule="auto"/>
              <w:jc w:val="left"/>
              <w:keepLines/>
              <w:widowControl/>
            </w:pPr>
            <w:r>
              <w:rPr>
                <w:sz w:val="17"/>
              </w:rPr>
              <w:t>Market stability and crowding</w:t>
            </w:r>
          </w:p>
        </w:tc>
        <w:tc>
          <w:tcPr>
            <w:tcW w:type="dxa" w:w="5010"/>
            <w:tcMar>
              <w:top w:w="80" w:type="dxa"/>
              <w:start w:w="120" w:type="dxa"/>
              <w:bottom w:w="80" w:type="dxa"/>
              <w:end w:w="120" w:type="dxa"/>
            </w:tcMar>
            <w:vAlign w:val="center"/>
          </w:tcPr>
          <w:p>
            <w:pPr>
              <w:spacing w:before="0" w:after="0" w:line="240" w:lineRule="auto"/>
              <w:jc w:val="left"/>
              <w:keepLines/>
              <w:widowControl/>
            </w:pPr>
            <w:r>
              <w:rPr>
                <w:sz w:val="17"/>
              </w:rPr>
              <w:t>ICv2 estimated a $2.84B 2024 hobby-games market and described heavy product flow and difficulty getting noticed.</w:t>
            </w:r>
          </w:p>
        </w:tc>
        <w:tc>
          <w:tcPr>
            <w:tcW w:type="dxa" w:w="2100"/>
            <w:tcMar>
              <w:top w:w="80" w:type="dxa"/>
              <w:start w:w="120" w:type="dxa"/>
              <w:bottom w:w="80" w:type="dxa"/>
              <w:end w:w="120" w:type="dxa"/>
            </w:tcMar>
            <w:vAlign w:val="center"/>
          </w:tcPr>
          <w:p>
            <w:pPr>
              <w:spacing w:before="0" w:after="0" w:line="240" w:lineRule="auto"/>
              <w:jc w:val="left"/>
              <w:keepLines/>
              <w:widowControl/>
            </w:pPr>
            <w:hyperlink r:id="rId17">
              <w:r>
                <w:rPr>
                  <w:color w:val="285B7E"/>
                  <w:u w:val="single"/>
                </w:rPr>
                <w:t>Open source</w:t>
              </w:r>
            </w:hyperlink>
          </w:p>
        </w:tc>
      </w:tr>
      <w:tr>
        <w:trPr>
          <w:cantSplit/>
        </w:trPr>
        <w:tc>
          <w:tcPr>
            <w:tcW w:type="dxa" w:w="650"/>
            <w:tcMar>
              <w:top w:w="80" w:type="dxa"/>
              <w:start w:w="120" w:type="dxa"/>
              <w:bottom w:w="80" w:type="dxa"/>
              <w:end w:w="120" w:type="dxa"/>
            </w:tcMar>
            <w:vAlign w:val="center"/>
          </w:tcPr>
          <w:p>
            <w:pPr>
              <w:spacing w:before="0" w:after="0" w:line="240" w:lineRule="auto"/>
              <w:jc w:val="left"/>
              <w:keepLines/>
              <w:widowControl/>
            </w:pPr>
            <w:r>
              <w:rPr>
                <w:sz w:val="17"/>
              </w:rPr>
              <w:t>S05</w:t>
            </w:r>
          </w:p>
        </w:tc>
        <w:tc>
          <w:tcPr>
            <w:tcW w:type="dxa" w:w="1600"/>
            <w:tcMar>
              <w:top w:w="80" w:type="dxa"/>
              <w:start w:w="120" w:type="dxa"/>
              <w:bottom w:w="80" w:type="dxa"/>
              <w:end w:w="120" w:type="dxa"/>
            </w:tcMar>
            <w:vAlign w:val="center"/>
          </w:tcPr>
          <w:p>
            <w:pPr>
              <w:spacing w:before="0" w:after="0" w:line="240" w:lineRule="auto"/>
              <w:jc w:val="left"/>
              <w:keepLines/>
              <w:widowControl/>
            </w:pPr>
            <w:r>
              <w:rPr>
                <w:sz w:val="17"/>
              </w:rPr>
              <w:t>Crowdfunding scale</w:t>
            </w:r>
          </w:p>
        </w:tc>
        <w:tc>
          <w:tcPr>
            <w:tcW w:type="dxa" w:w="5010"/>
            <w:tcMar>
              <w:top w:w="80" w:type="dxa"/>
              <w:start w:w="120" w:type="dxa"/>
              <w:bottom w:w="80" w:type="dxa"/>
              <w:end w:w="120" w:type="dxa"/>
            </w:tcMar>
            <w:vAlign w:val="center"/>
          </w:tcPr>
          <w:p>
            <w:pPr>
              <w:spacing w:before="0" w:after="0" w:line="240" w:lineRule="auto"/>
              <w:jc w:val="left"/>
              <w:keepLines/>
              <w:widowControl/>
            </w:pPr>
            <w:r>
              <w:rPr>
                <w:sz w:val="17"/>
              </w:rPr>
              <w:t>Kickstarter reported 6,646 tabletop launches, 5,314 successful campaigns, an 80% success rate, and $220M pledged to successful tabletop campaigns in 2024.</w:t>
            </w:r>
          </w:p>
        </w:tc>
        <w:tc>
          <w:tcPr>
            <w:tcW w:type="dxa" w:w="2100"/>
            <w:tcMar>
              <w:top w:w="80" w:type="dxa"/>
              <w:start w:w="120" w:type="dxa"/>
              <w:bottom w:w="80" w:type="dxa"/>
              <w:end w:w="120" w:type="dxa"/>
            </w:tcMar>
            <w:vAlign w:val="center"/>
          </w:tcPr>
          <w:p>
            <w:pPr>
              <w:spacing w:before="0" w:after="0" w:line="240" w:lineRule="auto"/>
              <w:jc w:val="left"/>
              <w:keepLines/>
              <w:widowControl/>
            </w:pPr>
            <w:hyperlink r:id="rId18">
              <w:r>
                <w:rPr>
                  <w:color w:val="285B7E"/>
                  <w:u w:val="single"/>
                </w:rPr>
                <w:t>Open source</w:t>
              </w:r>
            </w:hyperlink>
          </w:p>
        </w:tc>
      </w:tr>
      <w:tr>
        <w:trPr>
          <w:cantSplit/>
        </w:trPr>
        <w:tc>
          <w:tcPr>
            <w:tcW w:type="dxa" w:w="650"/>
            <w:tcMar>
              <w:top w:w="80" w:type="dxa"/>
              <w:start w:w="120" w:type="dxa"/>
              <w:bottom w:w="80" w:type="dxa"/>
              <w:end w:w="120" w:type="dxa"/>
            </w:tcMar>
            <w:vAlign w:val="center"/>
          </w:tcPr>
          <w:p>
            <w:pPr>
              <w:spacing w:before="0" w:after="0" w:line="240" w:lineRule="auto"/>
              <w:jc w:val="left"/>
              <w:keepLines/>
              <w:widowControl/>
            </w:pPr>
            <w:r>
              <w:rPr>
                <w:sz w:val="17"/>
              </w:rPr>
              <w:t>S06</w:t>
            </w:r>
          </w:p>
        </w:tc>
        <w:tc>
          <w:tcPr>
            <w:tcW w:type="dxa" w:w="1600"/>
            <w:tcMar>
              <w:top w:w="80" w:type="dxa"/>
              <w:start w:w="120" w:type="dxa"/>
              <w:bottom w:w="80" w:type="dxa"/>
              <w:end w:w="120" w:type="dxa"/>
            </w:tcMar>
            <w:vAlign w:val="center"/>
          </w:tcPr>
          <w:p>
            <w:pPr>
              <w:spacing w:before="0" w:after="0" w:line="240" w:lineRule="auto"/>
              <w:jc w:val="left"/>
              <w:keepLines/>
              <w:widowControl/>
            </w:pPr>
            <w:r>
              <w:rPr>
                <w:sz w:val="17"/>
              </w:rPr>
              <w:t>Crowdfunding direction</w:t>
            </w:r>
          </w:p>
        </w:tc>
        <w:tc>
          <w:tcPr>
            <w:tcW w:type="dxa" w:w="5010"/>
            <w:tcMar>
              <w:top w:w="80" w:type="dxa"/>
              <w:start w:w="120" w:type="dxa"/>
              <w:bottom w:w="80" w:type="dxa"/>
              <w:end w:w="120" w:type="dxa"/>
            </w:tcMar>
            <w:vAlign w:val="center"/>
          </w:tcPr>
          <w:p>
            <w:pPr>
              <w:spacing w:before="0" w:after="0" w:line="240" w:lineRule="auto"/>
              <w:jc w:val="left"/>
              <w:keepLines/>
              <w:widowControl/>
            </w:pPr>
            <w:r>
              <w:rPr>
                <w:sz w:val="17"/>
              </w:rPr>
              <w:t>ICv2 reported that Kickstarter tabletop project count rose but overall dollars declined in 2025; creators used crowdfunding partly to offset tariff risk through full-retail sales.</w:t>
            </w:r>
          </w:p>
        </w:tc>
        <w:tc>
          <w:tcPr>
            <w:tcW w:type="dxa" w:w="2100"/>
            <w:tcMar>
              <w:top w:w="80" w:type="dxa"/>
              <w:start w:w="120" w:type="dxa"/>
              <w:bottom w:w="80" w:type="dxa"/>
              <w:end w:w="120" w:type="dxa"/>
            </w:tcMar>
            <w:vAlign w:val="center"/>
          </w:tcPr>
          <w:p>
            <w:pPr>
              <w:spacing w:before="0" w:after="0" w:line="240" w:lineRule="auto"/>
              <w:jc w:val="left"/>
              <w:keepLines/>
              <w:widowControl/>
            </w:pPr>
            <w:hyperlink r:id="rId16">
              <w:r>
                <w:rPr>
                  <w:color w:val="285B7E"/>
                  <w:u w:val="single"/>
                </w:rPr>
                <w:t>Open source</w:t>
              </w:r>
            </w:hyperlink>
          </w:p>
        </w:tc>
      </w:tr>
      <w:tr>
        <w:trPr>
          <w:cantSplit/>
        </w:trPr>
        <w:tc>
          <w:tcPr>
            <w:tcW w:type="dxa" w:w="650"/>
            <w:tcMar>
              <w:top w:w="80" w:type="dxa"/>
              <w:start w:w="120" w:type="dxa"/>
              <w:bottom w:w="80" w:type="dxa"/>
              <w:end w:w="120" w:type="dxa"/>
            </w:tcMar>
            <w:vAlign w:val="center"/>
          </w:tcPr>
          <w:p>
            <w:pPr>
              <w:spacing w:before="0" w:after="0" w:line="240" w:lineRule="auto"/>
              <w:jc w:val="left"/>
              <w:keepLines/>
              <w:widowControl/>
            </w:pPr>
            <w:r>
              <w:rPr>
                <w:sz w:val="17"/>
              </w:rPr>
              <w:t>S07</w:t>
            </w:r>
          </w:p>
        </w:tc>
        <w:tc>
          <w:tcPr>
            <w:tcW w:type="dxa" w:w="1600"/>
            <w:tcMar>
              <w:top w:w="80" w:type="dxa"/>
              <w:start w:w="120" w:type="dxa"/>
              <w:bottom w:w="80" w:type="dxa"/>
              <w:end w:w="120" w:type="dxa"/>
            </w:tcMar>
            <w:vAlign w:val="center"/>
          </w:tcPr>
          <w:p>
            <w:pPr>
              <w:spacing w:before="0" w:after="0" w:line="240" w:lineRule="auto"/>
              <w:jc w:val="left"/>
              <w:keepLines/>
              <w:widowControl/>
            </w:pPr>
            <w:r>
              <w:rPr>
                <w:sz w:val="17"/>
              </w:rPr>
              <w:t>Kickstarter fees</w:t>
            </w:r>
          </w:p>
        </w:tc>
        <w:tc>
          <w:tcPr>
            <w:tcW w:type="dxa" w:w="5010"/>
            <w:tcMar>
              <w:top w:w="80" w:type="dxa"/>
              <w:start w:w="120" w:type="dxa"/>
              <w:bottom w:w="80" w:type="dxa"/>
              <w:end w:w="120" w:type="dxa"/>
            </w:tcMar>
            <w:vAlign w:val="center"/>
          </w:tcPr>
          <w:p>
            <w:pPr>
              <w:spacing w:before="0" w:after="0" w:line="240" w:lineRule="auto"/>
              <w:jc w:val="left"/>
              <w:keepLines/>
              <w:widowControl/>
            </w:pPr>
            <w:r>
              <w:rPr>
                <w:sz w:val="17"/>
              </w:rPr>
              <w:t>Kickstarter charges 5%; payment processing is approximately 3%–5%.</w:t>
            </w:r>
          </w:p>
        </w:tc>
        <w:tc>
          <w:tcPr>
            <w:tcW w:type="dxa" w:w="2100"/>
            <w:tcMar>
              <w:top w:w="80" w:type="dxa"/>
              <w:start w:w="120" w:type="dxa"/>
              <w:bottom w:w="80" w:type="dxa"/>
              <w:end w:w="120" w:type="dxa"/>
            </w:tcMar>
            <w:vAlign w:val="center"/>
          </w:tcPr>
          <w:p>
            <w:pPr>
              <w:spacing w:before="0" w:after="0" w:line="240" w:lineRule="auto"/>
              <w:jc w:val="left"/>
              <w:keepLines/>
              <w:widowControl/>
            </w:pPr>
            <w:hyperlink r:id="rId19">
              <w:r>
                <w:rPr>
                  <w:color w:val="285B7E"/>
                  <w:u w:val="single"/>
                </w:rPr>
                <w:t>Open source</w:t>
              </w:r>
            </w:hyperlink>
          </w:p>
        </w:tc>
      </w:tr>
      <w:tr>
        <w:trPr>
          <w:cantSplit/>
        </w:trPr>
        <w:tc>
          <w:tcPr>
            <w:tcW w:type="dxa" w:w="650"/>
            <w:tcMar>
              <w:top w:w="80" w:type="dxa"/>
              <w:start w:w="120" w:type="dxa"/>
              <w:bottom w:w="80" w:type="dxa"/>
              <w:end w:w="120" w:type="dxa"/>
            </w:tcMar>
            <w:vAlign w:val="center"/>
          </w:tcPr>
          <w:p>
            <w:pPr>
              <w:spacing w:before="0" w:after="0" w:line="240" w:lineRule="auto"/>
              <w:jc w:val="left"/>
              <w:keepLines/>
              <w:widowControl/>
            </w:pPr>
            <w:r>
              <w:rPr>
                <w:sz w:val="17"/>
              </w:rPr>
              <w:t>S08</w:t>
            </w:r>
          </w:p>
        </w:tc>
        <w:tc>
          <w:tcPr>
            <w:tcW w:type="dxa" w:w="1600"/>
            <w:tcMar>
              <w:top w:w="80" w:type="dxa"/>
              <w:start w:w="120" w:type="dxa"/>
              <w:bottom w:w="80" w:type="dxa"/>
              <w:end w:w="120" w:type="dxa"/>
            </w:tcMar>
            <w:vAlign w:val="center"/>
          </w:tcPr>
          <w:p>
            <w:pPr>
              <w:spacing w:before="0" w:after="0" w:line="240" w:lineRule="auto"/>
              <w:jc w:val="left"/>
              <w:keepLines/>
              <w:widowControl/>
            </w:pPr>
            <w:r>
              <w:rPr>
                <w:sz w:val="17"/>
              </w:rPr>
              <w:t>Funding-goal discipline</w:t>
            </w:r>
          </w:p>
        </w:tc>
        <w:tc>
          <w:tcPr>
            <w:tcW w:type="dxa" w:w="5010"/>
            <w:tcMar>
              <w:top w:w="80" w:type="dxa"/>
              <w:start w:w="120" w:type="dxa"/>
              <w:bottom w:w="80" w:type="dxa"/>
              <w:end w:w="120" w:type="dxa"/>
            </w:tcMar>
            <w:vAlign w:val="center"/>
          </w:tcPr>
          <w:p>
            <w:pPr>
              <w:spacing w:before="0" w:after="0" w:line="240" w:lineRule="auto"/>
              <w:jc w:val="left"/>
              <w:keepLines/>
              <w:widowControl/>
            </w:pPr>
            <w:r>
              <w:rPr>
                <w:sz w:val="17"/>
              </w:rPr>
              <w:t>Kickstarter recommends including production, shipping, fees, and contingencies and stresses that goals must work at exactly 100% funding.</w:t>
            </w:r>
          </w:p>
        </w:tc>
        <w:tc>
          <w:tcPr>
            <w:tcW w:type="dxa" w:w="2100"/>
            <w:tcMar>
              <w:top w:w="80" w:type="dxa"/>
              <w:start w:w="120" w:type="dxa"/>
              <w:bottom w:w="80" w:type="dxa"/>
              <w:end w:w="120" w:type="dxa"/>
            </w:tcMar>
            <w:vAlign w:val="center"/>
          </w:tcPr>
          <w:p>
            <w:pPr>
              <w:spacing w:before="0" w:after="0" w:line="240" w:lineRule="auto"/>
              <w:jc w:val="left"/>
              <w:keepLines/>
              <w:widowControl/>
            </w:pPr>
            <w:hyperlink r:id="rId20">
              <w:r>
                <w:rPr>
                  <w:color w:val="285B7E"/>
                  <w:u w:val="single"/>
                </w:rPr>
                <w:t>Open source</w:t>
              </w:r>
            </w:hyperlink>
          </w:p>
        </w:tc>
      </w:tr>
      <w:tr>
        <w:trPr>
          <w:cantSplit/>
        </w:trPr>
        <w:tc>
          <w:tcPr>
            <w:tcW w:type="dxa" w:w="650"/>
            <w:tcMar>
              <w:top w:w="80" w:type="dxa"/>
              <w:start w:w="120" w:type="dxa"/>
              <w:bottom w:w="80" w:type="dxa"/>
              <w:end w:w="120" w:type="dxa"/>
            </w:tcMar>
            <w:vAlign w:val="center"/>
          </w:tcPr>
          <w:p>
            <w:pPr>
              <w:spacing w:before="0" w:after="0" w:line="240" w:lineRule="auto"/>
              <w:jc w:val="left"/>
              <w:keepLines/>
              <w:widowControl/>
            </w:pPr>
            <w:r>
              <w:rPr>
                <w:sz w:val="17"/>
              </w:rPr>
              <w:t>S09</w:t>
            </w:r>
          </w:p>
        </w:tc>
        <w:tc>
          <w:tcPr>
            <w:tcW w:type="dxa" w:w="1600"/>
            <w:tcMar>
              <w:top w:w="80" w:type="dxa"/>
              <w:start w:w="120" w:type="dxa"/>
              <w:bottom w:w="80" w:type="dxa"/>
              <w:end w:w="120" w:type="dxa"/>
            </w:tcMar>
            <w:vAlign w:val="center"/>
          </w:tcPr>
          <w:p>
            <w:pPr>
              <w:spacing w:before="0" w:after="0" w:line="240" w:lineRule="auto"/>
              <w:jc w:val="left"/>
              <w:keepLines/>
              <w:widowControl/>
            </w:pPr>
            <w:r>
              <w:rPr>
                <w:sz w:val="17"/>
              </w:rPr>
              <w:t>Manufacturing economics</w:t>
            </w:r>
          </w:p>
        </w:tc>
        <w:tc>
          <w:tcPr>
            <w:tcW w:type="dxa" w:w="5010"/>
            <w:tcMar>
              <w:top w:w="80" w:type="dxa"/>
              <w:start w:w="120" w:type="dxa"/>
              <w:bottom w:w="80" w:type="dxa"/>
              <w:end w:w="120" w:type="dxa"/>
            </w:tcMar>
            <w:vAlign w:val="center"/>
          </w:tcPr>
          <w:p>
            <w:pPr>
              <w:spacing w:before="0" w:after="0" w:line="240" w:lineRule="auto"/>
              <w:jc w:val="left"/>
              <w:keepLines/>
              <w:widowControl/>
            </w:pPr>
            <w:r>
              <w:rPr>
                <w:sz w:val="17"/>
              </w:rPr>
              <w:t>PrintNinja states that a straightforward board game can cost about $8–$15 per unit at 1,500+ units, with total production and transit commonly 10–14 weeks.</w:t>
            </w:r>
          </w:p>
        </w:tc>
        <w:tc>
          <w:tcPr>
            <w:tcW w:type="dxa" w:w="2100"/>
            <w:tcMar>
              <w:top w:w="80" w:type="dxa"/>
              <w:start w:w="120" w:type="dxa"/>
              <w:bottom w:w="80" w:type="dxa"/>
              <w:end w:w="120" w:type="dxa"/>
            </w:tcMar>
            <w:vAlign w:val="center"/>
          </w:tcPr>
          <w:p>
            <w:pPr>
              <w:spacing w:before="0" w:after="0" w:line="240" w:lineRule="auto"/>
              <w:jc w:val="left"/>
              <w:keepLines/>
              <w:widowControl/>
            </w:pPr>
            <w:hyperlink r:id="rId21">
              <w:r>
                <w:rPr>
                  <w:color w:val="285B7E"/>
                  <w:u w:val="single"/>
                </w:rPr>
                <w:t>Open source</w:t>
              </w:r>
            </w:hyperlink>
          </w:p>
        </w:tc>
      </w:tr>
      <w:tr>
        <w:trPr>
          <w:cantSplit/>
        </w:trPr>
        <w:tc>
          <w:tcPr>
            <w:tcW w:type="dxa" w:w="650"/>
            <w:tcMar>
              <w:top w:w="80" w:type="dxa"/>
              <w:start w:w="120" w:type="dxa"/>
              <w:bottom w:w="80" w:type="dxa"/>
              <w:end w:w="120" w:type="dxa"/>
            </w:tcMar>
            <w:vAlign w:val="center"/>
          </w:tcPr>
          <w:p>
            <w:pPr>
              <w:spacing w:before="0" w:after="0" w:line="240" w:lineRule="auto"/>
              <w:jc w:val="left"/>
              <w:keepLines/>
              <w:widowControl/>
            </w:pPr>
            <w:r>
              <w:rPr>
                <w:sz w:val="17"/>
              </w:rPr>
              <w:t>S10</w:t>
            </w:r>
          </w:p>
        </w:tc>
        <w:tc>
          <w:tcPr>
            <w:tcW w:type="dxa" w:w="1600"/>
            <w:tcMar>
              <w:top w:w="80" w:type="dxa"/>
              <w:start w:w="120" w:type="dxa"/>
              <w:bottom w:w="80" w:type="dxa"/>
              <w:end w:w="120" w:type="dxa"/>
            </w:tcMar>
            <w:vAlign w:val="center"/>
          </w:tcPr>
          <w:p>
            <w:pPr>
              <w:spacing w:before="0" w:after="0" w:line="240" w:lineRule="auto"/>
              <w:jc w:val="left"/>
              <w:keepLines/>
              <w:widowControl/>
            </w:pPr>
            <w:r>
              <w:rPr>
                <w:sz w:val="17"/>
              </w:rPr>
              <w:t>Sample manufacturing price</w:t>
            </w:r>
          </w:p>
        </w:tc>
        <w:tc>
          <w:tcPr>
            <w:tcW w:type="dxa" w:w="5010"/>
            <w:tcMar>
              <w:top w:w="80" w:type="dxa"/>
              <w:start w:w="120" w:type="dxa"/>
              <w:bottom w:w="80" w:type="dxa"/>
              <w:end w:w="120" w:type="dxa"/>
            </w:tcMar>
            <w:vAlign w:val="center"/>
          </w:tcPr>
          <w:p>
            <w:pPr>
              <w:spacing w:before="0" w:after="0" w:line="240" w:lineRule="auto"/>
              <w:jc w:val="left"/>
              <w:keepLines/>
              <w:widowControl/>
            </w:pPr>
            <w:r>
              <w:rPr>
                <w:sz w:val="17"/>
              </w:rPr>
              <w:t>PrintNinja's April 2026 sample for a conventional board game was $14.28/unit at 500 copies and $10.60/unit at 1,000 copies.</w:t>
            </w:r>
          </w:p>
        </w:tc>
        <w:tc>
          <w:tcPr>
            <w:tcW w:type="dxa" w:w="2100"/>
            <w:tcMar>
              <w:top w:w="80" w:type="dxa"/>
              <w:start w:w="120" w:type="dxa"/>
              <w:bottom w:w="80" w:type="dxa"/>
              <w:end w:w="120" w:type="dxa"/>
            </w:tcMar>
            <w:vAlign w:val="center"/>
          </w:tcPr>
          <w:p>
            <w:pPr>
              <w:spacing w:before="0" w:after="0" w:line="240" w:lineRule="auto"/>
              <w:jc w:val="left"/>
              <w:keepLines/>
              <w:widowControl/>
            </w:pPr>
            <w:hyperlink r:id="rId22">
              <w:r>
                <w:rPr>
                  <w:color w:val="285B7E"/>
                  <w:u w:val="single"/>
                </w:rPr>
                <w:t>Open source</w:t>
              </w:r>
            </w:hyperlink>
          </w:p>
        </w:tc>
      </w:tr>
      <w:tr>
        <w:trPr>
          <w:cantSplit/>
        </w:trPr>
        <w:tc>
          <w:tcPr>
            <w:tcW w:type="dxa" w:w="650"/>
            <w:tcMar>
              <w:top w:w="80" w:type="dxa"/>
              <w:start w:w="120" w:type="dxa"/>
              <w:bottom w:w="80" w:type="dxa"/>
              <w:end w:w="120" w:type="dxa"/>
            </w:tcMar>
            <w:vAlign w:val="center"/>
          </w:tcPr>
          <w:p>
            <w:pPr>
              <w:spacing w:before="0" w:after="0" w:line="240" w:lineRule="auto"/>
              <w:jc w:val="left"/>
              <w:keepLines/>
              <w:widowControl/>
            </w:pPr>
            <w:r>
              <w:rPr>
                <w:sz w:val="17"/>
              </w:rPr>
              <w:t>S11</w:t>
            </w:r>
          </w:p>
        </w:tc>
        <w:tc>
          <w:tcPr>
            <w:tcW w:type="dxa" w:w="1600"/>
            <w:tcMar>
              <w:top w:w="80" w:type="dxa"/>
              <w:start w:w="120" w:type="dxa"/>
              <w:bottom w:w="80" w:type="dxa"/>
              <w:end w:w="120" w:type="dxa"/>
            </w:tcMar>
            <w:vAlign w:val="center"/>
          </w:tcPr>
          <w:p>
            <w:pPr>
              <w:spacing w:before="0" w:after="0" w:line="240" w:lineRule="auto"/>
              <w:jc w:val="left"/>
              <w:keepLines/>
              <w:widowControl/>
            </w:pPr>
            <w:r>
              <w:rPr>
                <w:sz w:val="17"/>
              </w:rPr>
              <w:t>Minimum runs</w:t>
            </w:r>
          </w:p>
        </w:tc>
        <w:tc>
          <w:tcPr>
            <w:tcW w:type="dxa" w:w="5010"/>
            <w:tcMar>
              <w:top w:w="80" w:type="dxa"/>
              <w:start w:w="120" w:type="dxa"/>
              <w:bottom w:w="80" w:type="dxa"/>
              <w:end w:w="120" w:type="dxa"/>
            </w:tcMar>
            <w:vAlign w:val="center"/>
          </w:tcPr>
          <w:p>
            <w:pPr>
              <w:spacing w:before="0" w:after="0" w:line="240" w:lineRule="auto"/>
              <w:jc w:val="left"/>
              <w:keepLines/>
              <w:widowControl/>
            </w:pPr>
            <w:r>
              <w:rPr>
                <w:sz w:val="17"/>
              </w:rPr>
              <w:t>PrintNinja requires 500 board-game units; Panda's stated minimum is 1,500 games.</w:t>
            </w:r>
          </w:p>
        </w:tc>
        <w:tc>
          <w:tcPr>
            <w:tcW w:type="dxa" w:w="2100"/>
            <w:tcMar>
              <w:top w:w="80" w:type="dxa"/>
              <w:start w:w="120" w:type="dxa"/>
              <w:bottom w:w="80" w:type="dxa"/>
              <w:end w:w="120" w:type="dxa"/>
            </w:tcMar>
            <w:vAlign w:val="center"/>
          </w:tcPr>
          <w:p>
            <w:pPr>
              <w:spacing w:before="0" w:after="0" w:line="240" w:lineRule="auto"/>
              <w:jc w:val="left"/>
              <w:keepLines/>
              <w:widowControl/>
            </w:pPr>
            <w:hyperlink r:id="rId23">
              <w:r>
                <w:rPr>
                  <w:color w:val="285B7E"/>
                  <w:u w:val="single"/>
                </w:rPr>
                <w:t>Source 1</w:t>
              </w:r>
            </w:hyperlink>
            <w:r>
              <w:rPr>
                <w:sz w:val="17"/>
              </w:rPr>
              <w:t xml:space="preserve">  </w:t>
            </w:r>
            <w:hyperlink r:id="rId24">
              <w:r>
                <w:rPr>
                  <w:color w:val="285B7E"/>
                  <w:u w:val="single"/>
                </w:rPr>
                <w:t>Source 2</w:t>
              </w:r>
            </w:hyperlink>
          </w:p>
        </w:tc>
      </w:tr>
      <w:tr>
        <w:trPr>
          <w:cantSplit/>
        </w:trPr>
        <w:tc>
          <w:tcPr>
            <w:tcW w:type="dxa" w:w="650"/>
            <w:tcMar>
              <w:top w:w="80" w:type="dxa"/>
              <w:start w:w="120" w:type="dxa"/>
              <w:bottom w:w="80" w:type="dxa"/>
              <w:end w:w="120" w:type="dxa"/>
            </w:tcMar>
            <w:vAlign w:val="center"/>
          </w:tcPr>
          <w:p>
            <w:pPr>
              <w:spacing w:before="0" w:after="0" w:line="240" w:lineRule="auto"/>
              <w:jc w:val="left"/>
              <w:keepLines/>
              <w:widowControl/>
            </w:pPr>
            <w:r>
              <w:rPr>
                <w:sz w:val="17"/>
              </w:rPr>
              <w:t>S12</w:t>
            </w:r>
          </w:p>
        </w:tc>
        <w:tc>
          <w:tcPr>
            <w:tcW w:type="dxa" w:w="1600"/>
            <w:tcMar>
              <w:top w:w="80" w:type="dxa"/>
              <w:start w:w="120" w:type="dxa"/>
              <w:bottom w:w="80" w:type="dxa"/>
              <w:end w:w="120" w:type="dxa"/>
            </w:tcMar>
            <w:vAlign w:val="center"/>
          </w:tcPr>
          <w:p>
            <w:pPr>
              <w:spacing w:before="0" w:after="0" w:line="240" w:lineRule="auto"/>
              <w:jc w:val="left"/>
              <w:keepLines/>
              <w:widowControl/>
            </w:pPr>
            <w:r>
              <w:rPr>
                <w:sz w:val="17"/>
              </w:rPr>
              <w:t>Component risk</w:t>
            </w:r>
          </w:p>
        </w:tc>
        <w:tc>
          <w:tcPr>
            <w:tcW w:type="dxa" w:w="5010"/>
            <w:tcMar>
              <w:top w:w="80" w:type="dxa"/>
              <w:start w:w="120" w:type="dxa"/>
              <w:bottom w:w="80" w:type="dxa"/>
              <w:end w:w="120" w:type="dxa"/>
            </w:tcMar>
            <w:vAlign w:val="center"/>
          </w:tcPr>
          <w:p>
            <w:pPr>
              <w:spacing w:before="0" w:after="0" w:line="240" w:lineRule="auto"/>
              <w:jc w:val="left"/>
              <w:keepLines/>
              <w:widowControl/>
            </w:pPr>
            <w:r>
              <w:rPr>
                <w:sz w:val="17"/>
              </w:rPr>
              <w:t>Paper components can work at lower minimums, while custom plastic, molds, inserts, and specialty components increase setup cost and MOQ.</w:t>
            </w:r>
          </w:p>
        </w:tc>
        <w:tc>
          <w:tcPr>
            <w:tcW w:type="dxa" w:w="2100"/>
            <w:tcMar>
              <w:top w:w="80" w:type="dxa"/>
              <w:start w:w="120" w:type="dxa"/>
              <w:bottom w:w="80" w:type="dxa"/>
              <w:end w:w="120" w:type="dxa"/>
            </w:tcMar>
            <w:vAlign w:val="center"/>
          </w:tcPr>
          <w:p>
            <w:pPr>
              <w:spacing w:before="0" w:after="0" w:line="240" w:lineRule="auto"/>
              <w:jc w:val="left"/>
              <w:keepLines/>
              <w:widowControl/>
            </w:pPr>
            <w:hyperlink r:id="rId25">
              <w:r>
                <w:rPr>
                  <w:color w:val="285B7E"/>
                  <w:u w:val="single"/>
                </w:rPr>
                <w:t>Open source</w:t>
              </w:r>
            </w:hyperlink>
          </w:p>
        </w:tc>
      </w:tr>
      <w:tr>
        <w:trPr>
          <w:cantSplit/>
        </w:trPr>
        <w:tc>
          <w:tcPr>
            <w:tcW w:type="dxa" w:w="650"/>
            <w:tcMar>
              <w:top w:w="80" w:type="dxa"/>
              <w:start w:w="120" w:type="dxa"/>
              <w:bottom w:w="80" w:type="dxa"/>
              <w:end w:w="120" w:type="dxa"/>
            </w:tcMar>
            <w:vAlign w:val="center"/>
          </w:tcPr>
          <w:p>
            <w:pPr>
              <w:spacing w:before="0" w:after="0" w:line="240" w:lineRule="auto"/>
              <w:jc w:val="left"/>
              <w:keepLines/>
              <w:widowControl/>
            </w:pPr>
            <w:r>
              <w:rPr>
                <w:sz w:val="17"/>
              </w:rPr>
              <w:t>S13</w:t>
            </w:r>
          </w:p>
        </w:tc>
        <w:tc>
          <w:tcPr>
            <w:tcW w:type="dxa" w:w="1600"/>
            <w:tcMar>
              <w:top w:w="80" w:type="dxa"/>
              <w:start w:w="120" w:type="dxa"/>
              <w:bottom w:w="80" w:type="dxa"/>
              <w:end w:w="120" w:type="dxa"/>
            </w:tcMar>
            <w:vAlign w:val="center"/>
          </w:tcPr>
          <w:p>
            <w:pPr>
              <w:spacing w:before="0" w:after="0" w:line="240" w:lineRule="auto"/>
              <w:jc w:val="left"/>
              <w:keepLines/>
              <w:widowControl/>
            </w:pPr>
            <w:r>
              <w:rPr>
                <w:sz w:val="17"/>
              </w:rPr>
              <w:t>Wholesale economics</w:t>
            </w:r>
          </w:p>
        </w:tc>
        <w:tc>
          <w:tcPr>
            <w:tcW w:type="dxa" w:w="5010"/>
            <w:tcMar>
              <w:top w:w="80" w:type="dxa"/>
              <w:start w:w="120" w:type="dxa"/>
              <w:bottom w:w="80" w:type="dxa"/>
              <w:end w:w="120" w:type="dxa"/>
            </w:tcMar>
            <w:vAlign w:val="center"/>
          </w:tcPr>
          <w:p>
            <w:pPr>
              <w:spacing w:before="0" w:after="0" w:line="240" w:lineRule="auto"/>
              <w:jc w:val="left"/>
              <w:keepLines/>
              <w:widowControl/>
            </w:pPr>
            <w:r>
              <w:rPr>
                <w:sz w:val="17"/>
              </w:rPr>
              <w:t>Public publisher terms show common distributor net pricing around 40%–45% of MSRP and retailer-direct pricing around 50% of MSRP.</w:t>
            </w:r>
          </w:p>
        </w:tc>
        <w:tc>
          <w:tcPr>
            <w:tcW w:type="dxa" w:w="2100"/>
            <w:tcMar>
              <w:top w:w="80" w:type="dxa"/>
              <w:start w:w="120" w:type="dxa"/>
              <w:bottom w:w="80" w:type="dxa"/>
              <w:end w:w="120" w:type="dxa"/>
            </w:tcMar>
            <w:vAlign w:val="center"/>
          </w:tcPr>
          <w:p>
            <w:pPr>
              <w:spacing w:before="0" w:after="0" w:line="240" w:lineRule="auto"/>
              <w:jc w:val="left"/>
              <w:keepLines/>
              <w:widowControl/>
            </w:pPr>
            <w:hyperlink r:id="rId26">
              <w:r>
                <w:rPr>
                  <w:color w:val="285B7E"/>
                  <w:u w:val="single"/>
                </w:rPr>
                <w:t>Source 1</w:t>
              </w:r>
            </w:hyperlink>
            <w:r>
              <w:rPr>
                <w:sz w:val="17"/>
              </w:rPr>
              <w:t xml:space="preserve">  </w:t>
            </w:r>
            <w:hyperlink r:id="rId27">
              <w:r>
                <w:rPr>
                  <w:color w:val="285B7E"/>
                  <w:u w:val="single"/>
                </w:rPr>
                <w:t>Source 2</w:t>
              </w:r>
            </w:hyperlink>
          </w:p>
        </w:tc>
      </w:tr>
      <w:tr>
        <w:trPr>
          <w:cantSplit/>
        </w:trPr>
        <w:tc>
          <w:tcPr>
            <w:tcW w:type="dxa" w:w="650"/>
            <w:tcMar>
              <w:top w:w="80" w:type="dxa"/>
              <w:start w:w="120" w:type="dxa"/>
              <w:bottom w:w="80" w:type="dxa"/>
              <w:end w:w="120" w:type="dxa"/>
            </w:tcMar>
            <w:vAlign w:val="center"/>
          </w:tcPr>
          <w:p>
            <w:pPr>
              <w:spacing w:before="0" w:after="0" w:line="240" w:lineRule="auto"/>
              <w:jc w:val="left"/>
              <w:keepLines/>
              <w:widowControl/>
            </w:pPr>
            <w:r>
              <w:rPr>
                <w:sz w:val="17"/>
              </w:rPr>
              <w:t>S14</w:t>
            </w:r>
          </w:p>
        </w:tc>
        <w:tc>
          <w:tcPr>
            <w:tcW w:type="dxa" w:w="1600"/>
            <w:tcMar>
              <w:top w:w="80" w:type="dxa"/>
              <w:start w:w="120" w:type="dxa"/>
              <w:bottom w:w="80" w:type="dxa"/>
              <w:end w:w="120" w:type="dxa"/>
            </w:tcMar>
            <w:vAlign w:val="center"/>
          </w:tcPr>
          <w:p>
            <w:pPr>
              <w:spacing w:before="0" w:after="0" w:line="240" w:lineRule="auto"/>
              <w:jc w:val="left"/>
              <w:keepLines/>
              <w:widowControl/>
            </w:pPr>
            <w:r>
              <w:rPr>
                <w:sz w:val="17"/>
              </w:rPr>
              <w:t>Children's-product rules</w:t>
            </w:r>
          </w:p>
        </w:tc>
        <w:tc>
          <w:tcPr>
            <w:tcW w:type="dxa" w:w="5010"/>
            <w:tcMar>
              <w:top w:w="80" w:type="dxa"/>
              <w:start w:w="120" w:type="dxa"/>
              <w:bottom w:w="80" w:type="dxa"/>
              <w:end w:w="120" w:type="dxa"/>
            </w:tcMar>
            <w:vAlign w:val="center"/>
          </w:tcPr>
          <w:p>
            <w:pPr>
              <w:spacing w:before="0" w:after="0" w:line="240" w:lineRule="auto"/>
              <w:jc w:val="left"/>
              <w:keepLines/>
              <w:widowControl/>
            </w:pPr>
            <w:r>
              <w:rPr>
                <w:sz w:val="17"/>
              </w:rPr>
              <w:t>CPSC says traditional all-ages games may be general-use products, but child-directed features and age positioning can make a game a children's product.</w:t>
            </w:r>
          </w:p>
        </w:tc>
        <w:tc>
          <w:tcPr>
            <w:tcW w:type="dxa" w:w="2100"/>
            <w:tcMar>
              <w:top w:w="80" w:type="dxa"/>
              <w:start w:w="120" w:type="dxa"/>
              <w:bottom w:w="80" w:type="dxa"/>
              <w:end w:w="120" w:type="dxa"/>
            </w:tcMar>
            <w:vAlign w:val="center"/>
          </w:tcPr>
          <w:p>
            <w:pPr>
              <w:spacing w:before="0" w:after="0" w:line="240" w:lineRule="auto"/>
              <w:jc w:val="left"/>
              <w:keepLines/>
              <w:widowControl/>
            </w:pPr>
            <w:hyperlink r:id="rId28">
              <w:r>
                <w:rPr>
                  <w:color w:val="285B7E"/>
                  <w:u w:val="single"/>
                </w:rPr>
                <w:t>Open source</w:t>
              </w:r>
            </w:hyperlink>
          </w:p>
        </w:tc>
      </w:tr>
      <w:tr>
        <w:trPr>
          <w:cantSplit/>
        </w:trPr>
        <w:tc>
          <w:tcPr>
            <w:tcW w:type="dxa" w:w="650"/>
            <w:tcMar>
              <w:top w:w="80" w:type="dxa"/>
              <w:start w:w="120" w:type="dxa"/>
              <w:bottom w:w="80" w:type="dxa"/>
              <w:end w:w="120" w:type="dxa"/>
            </w:tcMar>
            <w:vAlign w:val="center"/>
          </w:tcPr>
          <w:p>
            <w:pPr>
              <w:spacing w:before="0" w:after="0" w:line="240" w:lineRule="auto"/>
              <w:jc w:val="left"/>
              <w:keepLines/>
              <w:widowControl/>
            </w:pPr>
            <w:r>
              <w:rPr>
                <w:sz w:val="17"/>
              </w:rPr>
              <w:t>S15</w:t>
            </w:r>
          </w:p>
        </w:tc>
        <w:tc>
          <w:tcPr>
            <w:tcW w:type="dxa" w:w="1600"/>
            <w:tcMar>
              <w:top w:w="80" w:type="dxa"/>
              <w:start w:w="120" w:type="dxa"/>
              <w:bottom w:w="80" w:type="dxa"/>
              <w:end w:w="120" w:type="dxa"/>
            </w:tcMar>
            <w:vAlign w:val="center"/>
          </w:tcPr>
          <w:p>
            <w:pPr>
              <w:spacing w:before="0" w:after="0" w:line="240" w:lineRule="auto"/>
              <w:jc w:val="left"/>
              <w:keepLines/>
              <w:widowControl/>
            </w:pPr>
            <w:r>
              <w:rPr>
                <w:sz w:val="17"/>
              </w:rPr>
              <w:t>Toy testing</w:t>
            </w:r>
          </w:p>
        </w:tc>
        <w:tc>
          <w:tcPr>
            <w:tcW w:type="dxa" w:w="5010"/>
            <w:tcMar>
              <w:top w:w="80" w:type="dxa"/>
              <w:start w:w="120" w:type="dxa"/>
              <w:bottom w:w="80" w:type="dxa"/>
              <w:end w:w="120" w:type="dxa"/>
            </w:tcMar>
            <w:vAlign w:val="center"/>
          </w:tcPr>
          <w:p>
            <w:pPr>
              <w:spacing w:before="0" w:after="0" w:line="240" w:lineRule="auto"/>
              <w:jc w:val="left"/>
              <w:keepLines/>
              <w:widowControl/>
            </w:pPr>
            <w:r>
              <w:rPr>
                <w:sz w:val="17"/>
              </w:rPr>
              <w:t>Toys intended primarily for children 12 and under generally require third-party testing and a Children's Product Certificate; ASTM F963-23 applies to products manufactured after April 20, 2024.</w:t>
            </w:r>
          </w:p>
        </w:tc>
        <w:tc>
          <w:tcPr>
            <w:tcW w:type="dxa" w:w="2100"/>
            <w:tcMar>
              <w:top w:w="80" w:type="dxa"/>
              <w:start w:w="120" w:type="dxa"/>
              <w:bottom w:w="80" w:type="dxa"/>
              <w:end w:w="120" w:type="dxa"/>
            </w:tcMar>
            <w:vAlign w:val="center"/>
          </w:tcPr>
          <w:p>
            <w:pPr>
              <w:spacing w:before="0" w:after="0" w:line="240" w:lineRule="auto"/>
              <w:jc w:val="left"/>
              <w:keepLines/>
              <w:widowControl/>
            </w:pPr>
            <w:hyperlink r:id="rId29">
              <w:r>
                <w:rPr>
                  <w:color w:val="285B7E"/>
                  <w:u w:val="single"/>
                </w:rPr>
                <w:t>Open source</w:t>
              </w:r>
            </w:hyperlink>
          </w:p>
        </w:tc>
      </w:tr>
      <w:tr>
        <w:trPr>
          <w:cantSplit/>
        </w:trPr>
        <w:tc>
          <w:tcPr>
            <w:tcW w:type="dxa" w:w="650"/>
            <w:tcMar>
              <w:top w:w="80" w:type="dxa"/>
              <w:start w:w="120" w:type="dxa"/>
              <w:bottom w:w="80" w:type="dxa"/>
              <w:end w:w="120" w:type="dxa"/>
            </w:tcMar>
            <w:vAlign w:val="center"/>
          </w:tcPr>
          <w:p>
            <w:pPr>
              <w:spacing w:before="0" w:after="0" w:line="240" w:lineRule="auto"/>
              <w:jc w:val="left"/>
              <w:keepLines/>
              <w:widowControl/>
            </w:pPr>
            <w:r>
              <w:rPr>
                <w:sz w:val="17"/>
              </w:rPr>
              <w:t>S16</w:t>
            </w:r>
          </w:p>
        </w:tc>
        <w:tc>
          <w:tcPr>
            <w:tcW w:type="dxa" w:w="1600"/>
            <w:tcMar>
              <w:top w:w="80" w:type="dxa"/>
              <w:start w:w="120" w:type="dxa"/>
              <w:bottom w:w="80" w:type="dxa"/>
              <w:end w:w="120" w:type="dxa"/>
            </w:tcMar>
            <w:vAlign w:val="center"/>
          </w:tcPr>
          <w:p>
            <w:pPr>
              <w:spacing w:before="0" w:after="0" w:line="240" w:lineRule="auto"/>
              <w:jc w:val="left"/>
              <w:keepLines/>
              <w:widowControl/>
            </w:pPr>
            <w:r>
              <w:rPr>
                <w:sz w:val="17"/>
              </w:rPr>
              <w:t>Trademark clearance</w:t>
            </w:r>
          </w:p>
        </w:tc>
        <w:tc>
          <w:tcPr>
            <w:tcW w:type="dxa" w:w="5010"/>
            <w:tcMar>
              <w:top w:w="80" w:type="dxa"/>
              <w:start w:w="120" w:type="dxa"/>
              <w:bottom w:w="80" w:type="dxa"/>
              <w:end w:w="120" w:type="dxa"/>
            </w:tcMar>
            <w:vAlign w:val="center"/>
          </w:tcPr>
          <w:p>
            <w:pPr>
              <w:spacing w:before="0" w:after="0" w:line="240" w:lineRule="auto"/>
              <w:jc w:val="left"/>
              <w:keepLines/>
              <w:widowControl/>
            </w:pPr>
            <w:r>
              <w:rPr>
                <w:sz w:val="17"/>
              </w:rPr>
              <w:t>USPTO recommends a comprehensive clearance search before filing; confusing similarity is a common refusal basis.</w:t>
            </w:r>
          </w:p>
        </w:tc>
        <w:tc>
          <w:tcPr>
            <w:tcW w:type="dxa" w:w="2100"/>
            <w:tcMar>
              <w:top w:w="80" w:type="dxa"/>
              <w:start w:w="120" w:type="dxa"/>
              <w:bottom w:w="80" w:type="dxa"/>
              <w:end w:w="120" w:type="dxa"/>
            </w:tcMar>
            <w:vAlign w:val="center"/>
          </w:tcPr>
          <w:p>
            <w:pPr>
              <w:spacing w:before="0" w:after="0" w:line="240" w:lineRule="auto"/>
              <w:jc w:val="left"/>
              <w:keepLines/>
              <w:widowControl/>
            </w:pPr>
            <w:hyperlink r:id="rId30">
              <w:r>
                <w:rPr>
                  <w:color w:val="285B7E"/>
                  <w:u w:val="single"/>
                </w:rPr>
                <w:t>Open source</w:t>
              </w:r>
            </w:hyperlink>
          </w:p>
        </w:tc>
      </w:tr>
      <w:tr>
        <w:trPr>
          <w:cantSplit/>
        </w:trPr>
        <w:tc>
          <w:tcPr>
            <w:tcW w:type="dxa" w:w="650"/>
            <w:tcMar>
              <w:top w:w="80" w:type="dxa"/>
              <w:start w:w="120" w:type="dxa"/>
              <w:bottom w:w="80" w:type="dxa"/>
              <w:end w:w="120" w:type="dxa"/>
            </w:tcMar>
            <w:vAlign w:val="center"/>
          </w:tcPr>
          <w:p>
            <w:pPr>
              <w:spacing w:before="0" w:after="0" w:line="240" w:lineRule="auto"/>
              <w:jc w:val="left"/>
              <w:keepLines/>
              <w:widowControl/>
            </w:pPr>
            <w:r>
              <w:rPr>
                <w:sz w:val="17"/>
              </w:rPr>
              <w:t>S17</w:t>
            </w:r>
          </w:p>
        </w:tc>
        <w:tc>
          <w:tcPr>
            <w:tcW w:type="dxa" w:w="1600"/>
            <w:tcMar>
              <w:top w:w="80" w:type="dxa"/>
              <w:start w:w="120" w:type="dxa"/>
              <w:bottom w:w="80" w:type="dxa"/>
              <w:end w:w="120" w:type="dxa"/>
            </w:tcMar>
            <w:vAlign w:val="center"/>
          </w:tcPr>
          <w:p>
            <w:pPr>
              <w:spacing w:before="0" w:after="0" w:line="240" w:lineRule="auto"/>
              <w:jc w:val="left"/>
              <w:keepLines/>
              <w:widowControl/>
            </w:pPr>
            <w:r>
              <w:rPr>
                <w:sz w:val="17"/>
              </w:rPr>
              <w:t>Trademark filing cost</w:t>
            </w:r>
          </w:p>
        </w:tc>
        <w:tc>
          <w:tcPr>
            <w:tcW w:type="dxa" w:w="5010"/>
            <w:tcMar>
              <w:top w:w="80" w:type="dxa"/>
              <w:start w:w="120" w:type="dxa"/>
              <w:bottom w:w="80" w:type="dxa"/>
              <w:end w:w="120" w:type="dxa"/>
            </w:tcMar>
            <w:vAlign w:val="center"/>
          </w:tcPr>
          <w:p>
            <w:pPr>
              <w:spacing w:before="0" w:after="0" w:line="240" w:lineRule="auto"/>
              <w:jc w:val="left"/>
              <w:keepLines/>
              <w:widowControl/>
            </w:pPr>
            <w:r>
              <w:rPr>
                <w:sz w:val="17"/>
              </w:rPr>
              <w:t>USPTO's base electronic application fee is $350 per class, with possible additional fees.</w:t>
            </w:r>
          </w:p>
        </w:tc>
        <w:tc>
          <w:tcPr>
            <w:tcW w:type="dxa" w:w="2100"/>
            <w:tcMar>
              <w:top w:w="80" w:type="dxa"/>
              <w:start w:w="120" w:type="dxa"/>
              <w:bottom w:w="80" w:type="dxa"/>
              <w:end w:w="120" w:type="dxa"/>
            </w:tcMar>
            <w:vAlign w:val="center"/>
          </w:tcPr>
          <w:p>
            <w:pPr>
              <w:spacing w:before="0" w:after="0" w:line="240" w:lineRule="auto"/>
              <w:jc w:val="left"/>
              <w:keepLines/>
              <w:widowControl/>
            </w:pPr>
            <w:hyperlink r:id="rId31">
              <w:r>
                <w:rPr>
                  <w:color w:val="285B7E"/>
                  <w:u w:val="single"/>
                </w:rPr>
                <w:t>Open source</w:t>
              </w:r>
            </w:hyperlink>
          </w:p>
        </w:tc>
      </w:tr>
      <w:tr>
        <w:trPr>
          <w:cantSplit/>
        </w:trPr>
        <w:tc>
          <w:tcPr>
            <w:tcW w:type="dxa" w:w="650"/>
            <w:tcMar>
              <w:top w:w="80" w:type="dxa"/>
              <w:start w:w="120" w:type="dxa"/>
              <w:bottom w:w="80" w:type="dxa"/>
              <w:end w:w="120" w:type="dxa"/>
            </w:tcMar>
            <w:vAlign w:val="center"/>
          </w:tcPr>
          <w:p>
            <w:pPr>
              <w:spacing w:before="0" w:after="0" w:line="240" w:lineRule="auto"/>
              <w:jc w:val="left"/>
              <w:keepLines/>
              <w:widowControl/>
            </w:pPr>
            <w:r>
              <w:rPr>
                <w:sz w:val="17"/>
              </w:rPr>
              <w:t>S18</w:t>
            </w:r>
          </w:p>
        </w:tc>
        <w:tc>
          <w:tcPr>
            <w:tcW w:type="dxa" w:w="1600"/>
            <w:tcMar>
              <w:top w:w="80" w:type="dxa"/>
              <w:start w:w="120" w:type="dxa"/>
              <w:bottom w:w="80" w:type="dxa"/>
              <w:end w:w="120" w:type="dxa"/>
            </w:tcMar>
            <w:vAlign w:val="center"/>
          </w:tcPr>
          <w:p>
            <w:pPr>
              <w:spacing w:before="0" w:after="0" w:line="240" w:lineRule="auto"/>
              <w:jc w:val="left"/>
              <w:keepLines/>
              <w:widowControl/>
            </w:pPr>
            <w:r>
              <w:rPr>
                <w:sz w:val="17"/>
              </w:rPr>
              <w:t>Preliminary name conflict</w:t>
            </w:r>
          </w:p>
        </w:tc>
        <w:tc>
          <w:tcPr>
            <w:tcW w:type="dxa" w:w="5010"/>
            <w:tcMar>
              <w:top w:w="80" w:type="dxa"/>
              <w:start w:w="120" w:type="dxa"/>
              <w:bottom w:w="80" w:type="dxa"/>
              <w:end w:w="120" w:type="dxa"/>
            </w:tcMar>
            <w:vAlign w:val="center"/>
          </w:tcPr>
          <w:p>
            <w:pPr>
              <w:spacing w:before="0" w:after="0" w:line="240" w:lineRule="auto"/>
              <w:jc w:val="left"/>
              <w:keepLines/>
              <w:widowControl/>
            </w:pPr>
            <w:r>
              <w:rPr>
                <w:sz w:val="17"/>
              </w:rPr>
              <w:t>A Dutch company has used WALLABOO for baby products since 2006 and claims proprietary rights in the name. This does not establish U.S. game-class conflict, but it makes professional clearance important.</w:t>
            </w:r>
          </w:p>
        </w:tc>
        <w:tc>
          <w:tcPr>
            <w:tcW w:type="dxa" w:w="2100"/>
            <w:tcMar>
              <w:top w:w="80" w:type="dxa"/>
              <w:start w:w="120" w:type="dxa"/>
              <w:bottom w:w="80" w:type="dxa"/>
              <w:end w:w="120" w:type="dxa"/>
            </w:tcMar>
            <w:vAlign w:val="center"/>
          </w:tcPr>
          <w:p>
            <w:pPr>
              <w:spacing w:before="0" w:after="0" w:line="240" w:lineRule="auto"/>
              <w:jc w:val="left"/>
              <w:keepLines/>
              <w:widowControl/>
            </w:pPr>
            <w:hyperlink r:id="rId32">
              <w:r>
                <w:rPr>
                  <w:color w:val="285B7E"/>
                  <w:u w:val="single"/>
                </w:rPr>
                <w:t>Source 1</w:t>
              </w:r>
            </w:hyperlink>
            <w:r>
              <w:rPr>
                <w:sz w:val="17"/>
              </w:rPr>
              <w:t xml:space="preserve">  </w:t>
            </w:r>
            <w:hyperlink r:id="rId33">
              <w:r>
                <w:rPr>
                  <w:color w:val="285B7E"/>
                  <w:u w:val="single"/>
                </w:rPr>
                <w:t>Source 2</w:t>
              </w:r>
            </w:hyperlink>
          </w:p>
        </w:tc>
      </w:tr>
      <w:tr>
        <w:trPr>
          <w:cantSplit/>
        </w:trPr>
        <w:tc>
          <w:tcPr>
            <w:tcW w:type="dxa" w:w="650"/>
            <w:tcMar>
              <w:top w:w="80" w:type="dxa"/>
              <w:start w:w="120" w:type="dxa"/>
              <w:bottom w:w="80" w:type="dxa"/>
              <w:end w:w="120" w:type="dxa"/>
            </w:tcMar>
            <w:vAlign w:val="center"/>
          </w:tcPr>
          <w:p>
            <w:pPr>
              <w:spacing w:before="0" w:after="0" w:line="240" w:lineRule="auto"/>
              <w:jc w:val="left"/>
              <w:keepLines/>
              <w:widowControl/>
            </w:pPr>
            <w:r>
              <w:rPr>
                <w:sz w:val="17"/>
              </w:rPr>
              <w:t>S19</w:t>
            </w:r>
          </w:p>
        </w:tc>
        <w:tc>
          <w:tcPr>
            <w:tcW w:type="dxa" w:w="1600"/>
            <w:tcMar>
              <w:top w:w="80" w:type="dxa"/>
              <w:start w:w="120" w:type="dxa"/>
              <w:bottom w:w="80" w:type="dxa"/>
              <w:end w:w="120" w:type="dxa"/>
            </w:tcMar>
            <w:vAlign w:val="center"/>
          </w:tcPr>
          <w:p>
            <w:pPr>
              <w:spacing w:before="0" w:after="0" w:line="240" w:lineRule="auto"/>
              <w:jc w:val="left"/>
              <w:keepLines/>
              <w:widowControl/>
            </w:pPr>
            <w:r>
              <w:rPr>
                <w:sz w:val="17"/>
              </w:rPr>
              <w:t>Current import-policy risk</w:t>
            </w:r>
          </w:p>
        </w:tc>
        <w:tc>
          <w:tcPr>
            <w:tcW w:type="dxa" w:w="5010"/>
            <w:tcMar>
              <w:top w:w="80" w:type="dxa"/>
              <w:start w:w="120" w:type="dxa"/>
              <w:bottom w:w="80" w:type="dxa"/>
              <w:end w:w="120" w:type="dxa"/>
            </w:tcMar>
            <w:vAlign w:val="center"/>
          </w:tcPr>
          <w:p>
            <w:pPr>
              <w:spacing w:before="0" w:after="0" w:line="240" w:lineRule="auto"/>
              <w:jc w:val="left"/>
              <w:keepLines/>
              <w:widowControl/>
            </w:pPr>
            <w:r>
              <w:rPr>
                <w:sz w:val="17"/>
              </w:rPr>
              <w:t>A temporary 10% U.S. import surcharge applies through July 24, 2026 unless changed or extended; China-specific arrangements remain fluid.</w:t>
            </w:r>
          </w:p>
        </w:tc>
        <w:tc>
          <w:tcPr>
            <w:tcW w:type="dxa" w:w="2100"/>
            <w:tcMar>
              <w:top w:w="80" w:type="dxa"/>
              <w:start w:w="120" w:type="dxa"/>
              <w:bottom w:w="80" w:type="dxa"/>
              <w:end w:w="120" w:type="dxa"/>
            </w:tcMar>
            <w:vAlign w:val="center"/>
          </w:tcPr>
          <w:p>
            <w:pPr>
              <w:spacing w:before="0" w:after="0" w:line="240" w:lineRule="auto"/>
              <w:jc w:val="left"/>
              <w:keepLines/>
              <w:widowControl/>
            </w:pPr>
            <w:hyperlink r:id="rId34">
              <w:r>
                <w:rPr>
                  <w:color w:val="285B7E"/>
                  <w:u w:val="single"/>
                </w:rPr>
                <w:t>Open source</w:t>
              </w:r>
            </w:hyperlink>
          </w:p>
        </w:tc>
      </w:tr>
      <w:tr>
        <w:trPr>
          <w:cantSplit/>
        </w:trPr>
        <w:tc>
          <w:tcPr>
            <w:tcW w:type="dxa" w:w="650"/>
            <w:tcMar>
              <w:top w:w="80" w:type="dxa"/>
              <w:start w:w="120" w:type="dxa"/>
              <w:bottom w:w="80" w:type="dxa"/>
              <w:end w:w="120" w:type="dxa"/>
            </w:tcMar>
            <w:vAlign w:val="center"/>
          </w:tcPr>
          <w:p>
            <w:pPr>
              <w:spacing w:before="0" w:after="0" w:line="240" w:lineRule="auto"/>
              <w:jc w:val="left"/>
              <w:keepLines/>
              <w:widowControl/>
            </w:pPr>
            <w:r>
              <w:rPr>
                <w:sz w:val="17"/>
              </w:rPr>
              <w:t>S20</w:t>
            </w:r>
          </w:p>
        </w:tc>
        <w:tc>
          <w:tcPr>
            <w:tcW w:type="dxa" w:w="1600"/>
            <w:tcMar>
              <w:top w:w="80" w:type="dxa"/>
              <w:start w:w="120" w:type="dxa"/>
              <w:bottom w:w="80" w:type="dxa"/>
              <w:end w:w="120" w:type="dxa"/>
            </w:tcMar>
            <w:vAlign w:val="center"/>
          </w:tcPr>
          <w:p>
            <w:pPr>
              <w:spacing w:before="0" w:after="0" w:line="240" w:lineRule="auto"/>
              <w:jc w:val="left"/>
              <w:keepLines/>
              <w:widowControl/>
            </w:pPr>
            <w:r>
              <w:rPr>
                <w:sz w:val="17"/>
              </w:rPr>
              <w:t>China trade arrangement</w:t>
            </w:r>
          </w:p>
        </w:tc>
        <w:tc>
          <w:tcPr>
            <w:tcW w:type="dxa" w:w="5010"/>
            <w:tcMar>
              <w:top w:w="80" w:type="dxa"/>
              <w:start w:w="120" w:type="dxa"/>
              <w:bottom w:w="80" w:type="dxa"/>
              <w:end w:w="120" w:type="dxa"/>
            </w:tcMar>
            <w:vAlign w:val="center"/>
          </w:tcPr>
          <w:p>
            <w:pPr>
              <w:spacing w:before="0" w:after="0" w:line="240" w:lineRule="auto"/>
              <w:jc w:val="left"/>
              <w:keepLines/>
              <w:widowControl/>
            </w:pPr>
            <w:r>
              <w:rPr>
                <w:sz w:val="17"/>
              </w:rPr>
              <w:t>The White House described a continuing 10% reciprocal rate during a suspension period through November 10, 2026, subject to the changing legal/trade framework.</w:t>
            </w:r>
          </w:p>
        </w:tc>
        <w:tc>
          <w:tcPr>
            <w:tcW w:type="dxa" w:w="2100"/>
            <w:tcMar>
              <w:top w:w="80" w:type="dxa"/>
              <w:start w:w="120" w:type="dxa"/>
              <w:bottom w:w="80" w:type="dxa"/>
              <w:end w:w="120" w:type="dxa"/>
            </w:tcMar>
            <w:vAlign w:val="center"/>
          </w:tcPr>
          <w:p>
            <w:pPr>
              <w:spacing w:before="0" w:after="0" w:line="240" w:lineRule="auto"/>
              <w:jc w:val="left"/>
              <w:keepLines/>
              <w:widowControl/>
            </w:pPr>
            <w:hyperlink r:id="rId35">
              <w:r>
                <w:rPr>
                  <w:color w:val="285B7E"/>
                  <w:u w:val="single"/>
                </w:rPr>
                <w:t>Open source</w:t>
              </w:r>
            </w:hyperlink>
          </w:p>
        </w:tc>
      </w:tr>
      <w:tr>
        <w:trPr>
          <w:cantSplit/>
        </w:trPr>
        <w:tc>
          <w:tcPr>
            <w:tcW w:type="dxa" w:w="650"/>
            <w:tcMar>
              <w:top w:w="80" w:type="dxa"/>
              <w:start w:w="120" w:type="dxa"/>
              <w:bottom w:w="80" w:type="dxa"/>
              <w:end w:w="120" w:type="dxa"/>
            </w:tcMar>
            <w:vAlign w:val="center"/>
          </w:tcPr>
          <w:p>
            <w:pPr>
              <w:spacing w:before="0" w:after="0" w:line="240" w:lineRule="auto"/>
              <w:jc w:val="left"/>
              <w:keepLines/>
              <w:widowControl/>
            </w:pPr>
            <w:r>
              <w:rPr>
                <w:sz w:val="17"/>
              </w:rPr>
              <w:t>S21</w:t>
            </w:r>
          </w:p>
        </w:tc>
        <w:tc>
          <w:tcPr>
            <w:tcW w:type="dxa" w:w="1600"/>
            <w:tcMar>
              <w:top w:w="80" w:type="dxa"/>
              <w:start w:w="120" w:type="dxa"/>
              <w:bottom w:w="80" w:type="dxa"/>
              <w:end w:w="120" w:type="dxa"/>
            </w:tcMar>
            <w:vAlign w:val="center"/>
          </w:tcPr>
          <w:p>
            <w:pPr>
              <w:spacing w:before="0" w:after="0" w:line="240" w:lineRule="auto"/>
              <w:jc w:val="left"/>
              <w:keepLines/>
              <w:widowControl/>
            </w:pPr>
            <w:r>
              <w:rPr>
                <w:sz w:val="17"/>
              </w:rPr>
              <w:t>Small-publisher archetype</w:t>
            </w:r>
          </w:p>
        </w:tc>
        <w:tc>
          <w:tcPr>
            <w:tcW w:type="dxa" w:w="5010"/>
            <w:tcMar>
              <w:top w:w="80" w:type="dxa"/>
              <w:start w:w="120" w:type="dxa"/>
              <w:bottom w:w="80" w:type="dxa"/>
              <w:end w:w="120" w:type="dxa"/>
            </w:tcMar>
            <w:vAlign w:val="center"/>
          </w:tcPr>
          <w:p>
            <w:pPr>
              <w:spacing w:before="0" w:after="0" w:line="240" w:lineRule="auto"/>
              <w:jc w:val="left"/>
              <w:keepLines/>
              <w:widowControl/>
            </w:pPr>
            <w:r>
              <w:rPr>
                <w:sz w:val="17"/>
              </w:rPr>
              <w:t>Button Shy documents a focused 18-card wallet-game model and a high-frequency small-game release cadence.</w:t>
            </w:r>
          </w:p>
        </w:tc>
        <w:tc>
          <w:tcPr>
            <w:tcW w:type="dxa" w:w="2100"/>
            <w:tcMar>
              <w:top w:w="80" w:type="dxa"/>
              <w:start w:w="120" w:type="dxa"/>
              <w:bottom w:w="80" w:type="dxa"/>
              <w:end w:w="120" w:type="dxa"/>
            </w:tcMar>
            <w:vAlign w:val="center"/>
          </w:tcPr>
          <w:p>
            <w:pPr>
              <w:spacing w:before="0" w:after="0" w:line="240" w:lineRule="auto"/>
              <w:jc w:val="left"/>
              <w:keepLines/>
              <w:widowControl/>
            </w:pPr>
            <w:hyperlink r:id="rId36">
              <w:r>
                <w:rPr>
                  <w:color w:val="285B7E"/>
                  <w:u w:val="single"/>
                </w:rPr>
                <w:t>Open source</w:t>
              </w:r>
            </w:hyperlink>
          </w:p>
        </w:tc>
      </w:tr>
      <w:tr>
        <w:trPr>
          <w:cantSplit/>
        </w:trPr>
        <w:tc>
          <w:tcPr>
            <w:tcW w:type="dxa" w:w="650"/>
            <w:tcMar>
              <w:top w:w="80" w:type="dxa"/>
              <w:start w:w="120" w:type="dxa"/>
              <w:bottom w:w="80" w:type="dxa"/>
              <w:end w:w="120" w:type="dxa"/>
            </w:tcMar>
            <w:vAlign w:val="center"/>
          </w:tcPr>
          <w:p>
            <w:pPr>
              <w:spacing w:before="0" w:after="0" w:line="240" w:lineRule="auto"/>
              <w:jc w:val="left"/>
              <w:keepLines/>
              <w:widowControl/>
            </w:pPr>
            <w:r>
              <w:rPr>
                <w:sz w:val="17"/>
              </w:rPr>
              <w:t>S22</w:t>
            </w:r>
          </w:p>
        </w:tc>
        <w:tc>
          <w:tcPr>
            <w:tcW w:type="dxa" w:w="1600"/>
            <w:tcMar>
              <w:top w:w="80" w:type="dxa"/>
              <w:start w:w="120" w:type="dxa"/>
              <w:bottom w:w="80" w:type="dxa"/>
              <w:end w:w="120" w:type="dxa"/>
            </w:tcMar>
            <w:vAlign w:val="center"/>
          </w:tcPr>
          <w:p>
            <w:pPr>
              <w:spacing w:before="0" w:after="0" w:line="240" w:lineRule="auto"/>
              <w:jc w:val="left"/>
              <w:keepLines/>
              <w:widowControl/>
            </w:pPr>
            <w:r>
              <w:rPr>
                <w:sz w:val="17"/>
              </w:rPr>
              <w:t>Strategy-publisher archetype</w:t>
            </w:r>
          </w:p>
        </w:tc>
        <w:tc>
          <w:tcPr>
            <w:tcW w:type="dxa" w:w="5010"/>
            <w:tcMar>
              <w:top w:w="80" w:type="dxa"/>
              <w:start w:w="120" w:type="dxa"/>
              <w:bottom w:w="80" w:type="dxa"/>
              <w:end w:w="120" w:type="dxa"/>
            </w:tcMar>
            <w:vAlign w:val="center"/>
          </w:tcPr>
          <w:p>
            <w:pPr>
              <w:spacing w:before="0" w:after="0" w:line="240" w:lineRule="auto"/>
              <w:jc w:val="left"/>
              <w:keepLines/>
              <w:widowControl/>
            </w:pPr>
            <w:r>
              <w:rPr>
                <w:sz w:val="17"/>
              </w:rPr>
              <w:t>Leder Games emphasizes repeat play, holistic art/product development, and asymmetric strategy.</w:t>
            </w:r>
          </w:p>
        </w:tc>
        <w:tc>
          <w:tcPr>
            <w:tcW w:type="dxa" w:w="2100"/>
            <w:tcMar>
              <w:top w:w="80" w:type="dxa"/>
              <w:start w:w="120" w:type="dxa"/>
              <w:bottom w:w="80" w:type="dxa"/>
              <w:end w:w="120" w:type="dxa"/>
            </w:tcMar>
            <w:vAlign w:val="center"/>
          </w:tcPr>
          <w:p>
            <w:pPr>
              <w:spacing w:before="0" w:after="0" w:line="240" w:lineRule="auto"/>
              <w:jc w:val="left"/>
              <w:keepLines/>
              <w:widowControl/>
            </w:pPr>
            <w:hyperlink r:id="rId37">
              <w:r>
                <w:rPr>
                  <w:color w:val="285B7E"/>
                  <w:u w:val="single"/>
                </w:rPr>
                <w:t>Open source</w:t>
              </w:r>
            </w:hyperlink>
          </w:p>
        </w:tc>
      </w:tr>
      <w:tr>
        <w:trPr>
          <w:cantSplit/>
        </w:trPr>
        <w:tc>
          <w:tcPr>
            <w:tcW w:type="dxa" w:w="650"/>
            <w:tcMar>
              <w:top w:w="80" w:type="dxa"/>
              <w:start w:w="120" w:type="dxa"/>
              <w:bottom w:w="80" w:type="dxa"/>
              <w:end w:w="120" w:type="dxa"/>
            </w:tcMar>
            <w:vAlign w:val="center"/>
          </w:tcPr>
          <w:p>
            <w:pPr>
              <w:spacing w:before="0" w:after="0" w:line="240" w:lineRule="auto"/>
              <w:jc w:val="left"/>
              <w:keepLines/>
              <w:widowControl/>
            </w:pPr>
            <w:r>
              <w:rPr>
                <w:sz w:val="17"/>
              </w:rPr>
              <w:t>S23</w:t>
            </w:r>
          </w:p>
        </w:tc>
        <w:tc>
          <w:tcPr>
            <w:tcW w:type="dxa" w:w="1600"/>
            <w:tcMar>
              <w:top w:w="80" w:type="dxa"/>
              <w:start w:w="120" w:type="dxa"/>
              <w:bottom w:w="80" w:type="dxa"/>
              <w:end w:w="120" w:type="dxa"/>
            </w:tcMar>
            <w:vAlign w:val="center"/>
          </w:tcPr>
          <w:p>
            <w:pPr>
              <w:spacing w:before="0" w:after="0" w:line="240" w:lineRule="auto"/>
              <w:jc w:val="left"/>
              <w:keepLines/>
              <w:widowControl/>
            </w:pPr>
            <w:r>
              <w:rPr>
                <w:sz w:val="17"/>
              </w:rPr>
              <w:t>Premium catalog archetype</w:t>
            </w:r>
          </w:p>
        </w:tc>
        <w:tc>
          <w:tcPr>
            <w:tcW w:type="dxa" w:w="5010"/>
            <w:tcMar>
              <w:top w:w="80" w:type="dxa"/>
              <w:start w:w="120" w:type="dxa"/>
              <w:bottom w:w="80" w:type="dxa"/>
              <w:end w:w="120" w:type="dxa"/>
            </w:tcMar>
            <w:vAlign w:val="center"/>
          </w:tcPr>
          <w:p>
            <w:pPr>
              <w:spacing w:before="0" w:after="0" w:line="240" w:lineRule="auto"/>
              <w:jc w:val="left"/>
              <w:keepLines/>
              <w:widowControl/>
            </w:pPr>
            <w:r>
              <w:rPr>
                <w:sz w:val="17"/>
              </w:rPr>
              <w:t>Stonemaier's catalog illustrates a broad direct-to-consumer price ladder from microgames through premium strategy titles and expansions.</w:t>
            </w:r>
          </w:p>
        </w:tc>
        <w:tc>
          <w:tcPr>
            <w:tcW w:type="dxa" w:w="2100"/>
            <w:tcMar>
              <w:top w:w="80" w:type="dxa"/>
              <w:start w:w="120" w:type="dxa"/>
              <w:bottom w:w="80" w:type="dxa"/>
              <w:end w:w="120" w:type="dxa"/>
            </w:tcMar>
            <w:vAlign w:val="center"/>
          </w:tcPr>
          <w:p>
            <w:pPr>
              <w:spacing w:before="0" w:after="0" w:line="240" w:lineRule="auto"/>
              <w:jc w:val="left"/>
              <w:keepLines/>
              <w:widowControl/>
            </w:pPr>
            <w:hyperlink r:id="rId38">
              <w:r>
                <w:rPr>
                  <w:color w:val="285B7E"/>
                  <w:u w:val="single"/>
                </w:rPr>
                <w:t>Open source</w:t>
              </w:r>
            </w:hyperlink>
          </w:p>
        </w:tc>
      </w:tr>
    </w:tbl>
    <w:p>
      <w:pPr>
        <w:spacing w:after="0"/>
      </w:pPr>
    </w:p>
    <w:sectPr w:rsidR="00FC693F" w:rsidRPr="0006063C" w:rsidSect="00034616">
      <w:headerReference w:type="default" r:id="rId9"/>
      <w:footerReference w:type="default" r:id="rId10"/>
      <w:pgSz w:w="12240" w:h="15840"/>
      <w:pgMar w:top="1152" w:right="1440" w:bottom="1080" w:left="1440" w:header="605" w:footer="60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4515C"/>
        <w:sz w:val="16"/>
      </w:rPr>
      <w:t xml:space="preserve">INTERNAL PLANNING DOCUMENT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Look w:firstColumn="1" w:firstRow="1" w:lastColumn="0" w:lastRow="0" w:noHBand="0" w:noVBand="1" w:val="04A0"/>
      <w:tblW w:w="9360" w:type="dxa"/>
      <w:jc w:val="center"/>
      <w:tblInd w:w="0" w:type="dxa"/>
      <w:tblLayout w:type="fixed"/>
      <w:tblBorders>
        <w:bottom w:val="single" w:sz="8" w:color="D6A84B"/>
      </w:tblBorders>
    </w:tblPr>
    <w:tblGrid>
      <w:gridCol w:w="4680"/>
      <w:gridCol w:w="4680"/>
    </w:tblGrid>
    <w:tr>
      <w:tc>
        <w:tcPr>
          <w:tcW w:type="dxa" w:w="4680"/>
          <w:tcMar>
            <w:top w:w="0" w:type="dxa"/>
            <w:start w:w="0" w:type="dxa"/>
            <w:bottom w:w="50" w:type="dxa"/>
            <w:end w:w="0" w:type="dxa"/>
          </w:tcMar>
        </w:tcPr>
        <w:p>
          <w:pPr>
            <w:jc w:val="left"/>
          </w:pPr>
          <w:r>
            <w:rPr>
              <w:rFonts w:ascii="Calibri" w:hAnsi="Calibri"/>
              <w:b/>
              <w:color w:val="15324B"/>
              <w:sz w:val="16"/>
            </w:rPr>
            <w:t>MR WALLABOO GAMES</w:t>
          </w:r>
        </w:p>
      </w:tc>
      <w:tc>
        <w:tcPr>
          <w:tcW w:type="dxa" w:w="4680"/>
          <w:tcMar>
            <w:top w:w="0" w:type="dxa"/>
            <w:start w:w="0" w:type="dxa"/>
            <w:bottom w:w="50" w:type="dxa"/>
            <w:end w:w="0" w:type="dxa"/>
          </w:tcMar>
        </w:tcPr>
        <w:p>
          <w:pPr>
            <w:jc w:val="right"/>
          </w:pPr>
          <w:r>
            <w:rPr>
              <w:rFonts w:ascii="Calibri" w:hAnsi="Calibri"/>
              <w:b/>
              <w:color w:val="15324B"/>
              <w:sz w:val="16"/>
            </w:rPr>
            <w:t>PROSPECTUS · WORKING v0.1</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60"/>
      </w:pPr>
    </w:lvl>
  </w:abstractNum>
  <w:abstractNum w:abstractNumId="10">
    <w:multiLevelType w:val="singleLevel"/>
    <w:lvl w:ilvl="0">
      <w:start w:val="1"/>
      <w:numFmt w:val="decimal"/>
      <w:lvlText w:val="%1."/>
      <w:suff w:val="tab"/>
      <w:pPr>
        <w:tabs>
          <w:tab w:val="num" w:pos="540"/>
        </w:tabs>
        <w:ind w:left="540" w:hanging="260"/>
      </w:pPr>
    </w:lvl>
  </w:abstractNum>
  <w:num w:numId="10">
    <w:abstractNumId w:val="9"/>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jc w:val="both"/>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Calibri" w:hAnsi="Calibri"/>
      <w:b/>
      <w:bCs/>
      <w:color w:val="15324B"/>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85B7E"/>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A7F7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ind w:left="540" w:hanging="279"/>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9" w:lineRule="auto"/>
      <w:ind w:left="540" w:hanging="279"/>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44515C"/>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www.toyassociation.org/ta/toys/research-and-data/data/us-sales-data.aspx" TargetMode="External"/><Relationship Id="rId15" Type="http://schemas.openxmlformats.org/officeDocument/2006/relationships/hyperlink" Target="https://www.circana.com/post/u-s-toy-industry-returns-to-growth-in-2025-circana-reports" TargetMode="External"/><Relationship Id="rId16" Type="http://schemas.openxmlformats.org/officeDocument/2006/relationships/hyperlink" Target="https://icv2.com/articles/markets/view/62035/big-growth-hobby-games-2025" TargetMode="External"/><Relationship Id="rId17" Type="http://schemas.openxmlformats.org/officeDocument/2006/relationships/hyperlink" Target="https://icv2.com/print/article/59119" TargetMode="External"/><Relationship Id="rId18" Type="http://schemas.openxmlformats.org/officeDocument/2006/relationships/hyperlink" Target="https://updates.kickstarter.com/kickstarter-biggest-platform-for-games/" TargetMode="External"/><Relationship Id="rId19" Type="http://schemas.openxmlformats.org/officeDocument/2006/relationships/hyperlink" Target="https://help.kickstarter.com/hc/en-us/articles/115005028634-What-are-the-fees" TargetMode="External"/><Relationship Id="rId20" Type="http://schemas.openxmlformats.org/officeDocument/2006/relationships/hyperlink" Target="https://help.kickstarter.com/hc/en-us/articles/115005134293-How-to-set-the-right-funding-goal-for-your-Kickstarter-campaign" TargetMode="External"/><Relationship Id="rId21" Type="http://schemas.openxmlformats.org/officeDocument/2006/relationships/hyperlink" Target="https://printninja.com/printing-products/board-game-printing/" TargetMode="External"/><Relationship Id="rId22" Type="http://schemas.openxmlformats.org/officeDocument/2006/relationships/hyperlink" Target="https://printninja.com/sample-pricing/" TargetMode="External"/><Relationship Id="rId23" Type="http://schemas.openxmlformats.org/officeDocument/2006/relationships/hyperlink" Target="https://printninja.com/game-quote-guide/" TargetMode="External"/><Relationship Id="rId24" Type="http://schemas.openxmlformats.org/officeDocument/2006/relationships/hyperlink" Target="https://pandagm.com/our-process/" TargetMode="External"/><Relationship Id="rId25" Type="http://schemas.openxmlformats.org/officeDocument/2006/relationships/hyperlink" Target="https://printninja.com/board-game-minimum-order-quantities/" TargetMode="External"/><Relationship Id="rId26" Type="http://schemas.openxmlformats.org/officeDocument/2006/relationships/hyperlink" Target="https://greenfairystudios.com/about/terms-and-conditions/distributor-terms/" TargetMode="External"/><Relationship Id="rId27" Type="http://schemas.openxmlformats.org/officeDocument/2006/relationships/hyperlink" Target="https://www.level99games.com/pages/retail" TargetMode="External"/><Relationship Id="rId28" Type="http://schemas.openxmlformats.org/officeDocument/2006/relationships/hyperlink" Target="https://www.cpsc.gov/Business--Manufacturing/Business-Education/Childrens-Products" TargetMode="External"/><Relationship Id="rId29" Type="http://schemas.openxmlformats.org/officeDocument/2006/relationships/hyperlink" Target="https://www.cpsc.gov/FAQ/Toy-Safety" TargetMode="External"/><Relationship Id="rId30" Type="http://schemas.openxmlformats.org/officeDocument/2006/relationships/hyperlink" Target="https://www.uspto.gov/trademarks/basics/why-search-similar-trademarks" TargetMode="External"/><Relationship Id="rId31" Type="http://schemas.openxmlformats.org/officeDocument/2006/relationships/hyperlink" Target="https://www.uspto.gov/trademarks/basics/how-much-does-it-cost" TargetMode="External"/><Relationship Id="rId32" Type="http://schemas.openxmlformats.org/officeDocument/2006/relationships/hyperlink" Target="https://www.wallaboo.com/pages/about-us" TargetMode="External"/><Relationship Id="rId33" Type="http://schemas.openxmlformats.org/officeDocument/2006/relationships/hyperlink" Target="https://www.wallaboo.com/pages/terms-and-conditions" TargetMode="External"/><Relationship Id="rId34" Type="http://schemas.openxmlformats.org/officeDocument/2006/relationships/hyperlink" Target="https://www.whitehouse.gov/presidential-actions/2026/02/imposing-a-temporary-import-surcharge-to-address-fundamental-international-payments-problems/" TargetMode="External"/><Relationship Id="rId35" Type="http://schemas.openxmlformats.org/officeDocument/2006/relationships/hyperlink" Target="https://www.whitehouse.gov/fact-sheets/2025/11/fact-sheet-president-donald-trump-strikes-deal-on-economic-and-trade-relations-with-china/" TargetMode="External"/><Relationship Id="rId36" Type="http://schemas.openxmlformats.org/officeDocument/2006/relationships/hyperlink" Target="https://buttonshygames.com/pages/welcome" TargetMode="External"/><Relationship Id="rId37" Type="http://schemas.openxmlformats.org/officeDocument/2006/relationships/hyperlink" Target="https://ledergames.com/pages/about" TargetMode="External"/><Relationship Id="rId38" Type="http://schemas.openxmlformats.org/officeDocument/2006/relationships/hyperlink" Target="https://store.stonemaiergames.com/collections/our-gam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Mr Wallaboo Games — Business Prospectus, Feasibility Study &amp; Five-Year Plan</dc:title>
  <dc:subject>Internal planning prospectus</dc:subject>
  <dc:creator>Mr Wallaboo Games</dc:creator>
  <cp:keywords>tabletop games, feasibility, market research, financial plan</cp:keywords>
  <dc:description>WORKING v0.1 — illustrative, unaudited planning document</dc:description>
  <cp:lastModifiedBy/>
  <cp:revision>1</cp:revision>
  <dcterms:created xsi:type="dcterms:W3CDTF">2013-12-23T23:15:00Z</dcterms:created>
  <dcterms:modified xsi:type="dcterms:W3CDTF">2013-12-23T23:15:00Z</dcterms:modified>
  <cp:category/>
</cp:coreProperties>
</file>