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B7" w:rsidRDefault="00F223B7" w:rsidP="004B242C">
      <w:pPr>
        <w:rPr>
          <w:rFonts w:ascii="Times New Roman" w:hAnsi="Times New Roman" w:cs="Times New Roman"/>
        </w:rPr>
      </w:pPr>
      <w:r>
        <w:rPr>
          <w:rFonts w:ascii="Times New Roman" w:hAnsi="Times New Roman" w:cs="Times New Roman"/>
        </w:rPr>
        <w:t>Intro</w:t>
      </w:r>
    </w:p>
    <w:p w:rsidR="004B242C" w:rsidRPr="00F223B7" w:rsidRDefault="004B242C" w:rsidP="004B242C">
      <w:pPr>
        <w:rPr>
          <w:rFonts w:ascii="Times New Roman" w:hAnsi="Times New Roman" w:cs="Times New Roman"/>
        </w:rPr>
      </w:pPr>
      <w:r w:rsidRPr="00F223B7">
        <w:rPr>
          <w:rFonts w:ascii="Times New Roman" w:hAnsi="Times New Roman" w:cs="Times New Roman"/>
        </w:rPr>
        <w:t xml:space="preserve">The </w:t>
      </w:r>
      <w:r w:rsidR="00F223B7" w:rsidRPr="00F223B7">
        <w:rPr>
          <w:rFonts w:ascii="Times New Roman" w:hAnsi="Times New Roman" w:cs="Times New Roman"/>
          <w:i/>
        </w:rPr>
        <w:t xml:space="preserve">Eidolon </w:t>
      </w:r>
      <w:proofErr w:type="spellStart"/>
      <w:r w:rsidR="00F223B7" w:rsidRPr="00F223B7">
        <w:rPr>
          <w:rFonts w:ascii="Times New Roman" w:hAnsi="Times New Roman" w:cs="Times New Roman"/>
          <w:i/>
        </w:rPr>
        <w:t>helvum</w:t>
      </w:r>
      <w:proofErr w:type="spellEnd"/>
      <w:r w:rsidR="00F223B7" w:rsidRPr="00F223B7">
        <w:rPr>
          <w:rFonts w:ascii="Times New Roman" w:hAnsi="Times New Roman" w:cs="Times New Roman"/>
        </w:rPr>
        <w:t xml:space="preserve"> colony</w:t>
      </w:r>
      <w:r w:rsidRPr="00F223B7">
        <w:rPr>
          <w:rFonts w:ascii="Times New Roman" w:hAnsi="Times New Roman" w:cs="Times New Roman"/>
        </w:rPr>
        <w:t xml:space="preserve"> in Ghana has </w:t>
      </w:r>
      <w:r w:rsidR="00D10760" w:rsidRPr="00F223B7">
        <w:rPr>
          <w:rFonts w:ascii="Times New Roman" w:hAnsi="Times New Roman" w:cs="Times New Roman"/>
        </w:rPr>
        <w:t>been well studied, both in terms of bat demography and in terms of hunting pressure. Previous studies have shown that mortality risk is constant across age categories (Hayman) and that hunting pressure could be deemed high across the country (</w:t>
      </w:r>
      <w:proofErr w:type="spellStart"/>
      <w:r w:rsidR="00D10760" w:rsidRPr="00F223B7">
        <w:rPr>
          <w:rFonts w:ascii="Times New Roman" w:hAnsi="Times New Roman" w:cs="Times New Roman"/>
        </w:rPr>
        <w:t>Kamins</w:t>
      </w:r>
      <w:proofErr w:type="spellEnd"/>
      <w:r w:rsidR="00D10760" w:rsidRPr="00F223B7">
        <w:rPr>
          <w:rFonts w:ascii="Times New Roman" w:hAnsi="Times New Roman" w:cs="Times New Roman"/>
        </w:rPr>
        <w:t>), though specific hunting pressure at the colony that data were collected from was low</w:t>
      </w:r>
      <w:r w:rsidR="004932AE" w:rsidRPr="00F223B7">
        <w:rPr>
          <w:rFonts w:ascii="Times New Roman" w:hAnsi="Times New Roman" w:cs="Times New Roman"/>
        </w:rPr>
        <w:t xml:space="preserve"> (Hayman </w:t>
      </w:r>
      <w:proofErr w:type="spellStart"/>
      <w:r w:rsidR="004932AE" w:rsidRPr="00F223B7">
        <w:rPr>
          <w:rFonts w:ascii="Times New Roman" w:hAnsi="Times New Roman" w:cs="Times New Roman"/>
        </w:rPr>
        <w:t>pers</w:t>
      </w:r>
      <w:proofErr w:type="spellEnd"/>
      <w:r w:rsidR="004932AE" w:rsidRPr="00F223B7">
        <w:rPr>
          <w:rFonts w:ascii="Times New Roman" w:hAnsi="Times New Roman" w:cs="Times New Roman"/>
        </w:rPr>
        <w:t xml:space="preserve"> </w:t>
      </w:r>
      <w:proofErr w:type="spellStart"/>
      <w:r w:rsidR="004932AE" w:rsidRPr="00F223B7">
        <w:rPr>
          <w:rFonts w:ascii="Times New Roman" w:hAnsi="Times New Roman" w:cs="Times New Roman"/>
        </w:rPr>
        <w:t>obs</w:t>
      </w:r>
      <w:proofErr w:type="spellEnd"/>
      <w:r w:rsidR="004932AE" w:rsidRPr="00F223B7">
        <w:rPr>
          <w:rFonts w:ascii="Times New Roman" w:hAnsi="Times New Roman" w:cs="Times New Roman"/>
        </w:rPr>
        <w:t xml:space="preserve">, </w:t>
      </w:r>
      <w:proofErr w:type="spellStart"/>
      <w:r w:rsidR="004932AE" w:rsidRPr="00F223B7">
        <w:rPr>
          <w:rFonts w:ascii="Times New Roman" w:hAnsi="Times New Roman" w:cs="Times New Roman"/>
        </w:rPr>
        <w:t>Kamins</w:t>
      </w:r>
      <w:proofErr w:type="spellEnd"/>
      <w:r w:rsidR="004932AE" w:rsidRPr="00F223B7">
        <w:rPr>
          <w:rFonts w:ascii="Times New Roman" w:hAnsi="Times New Roman" w:cs="Times New Roman"/>
        </w:rPr>
        <w:t>)</w:t>
      </w:r>
      <w:r w:rsidR="00D10760" w:rsidRPr="00F223B7">
        <w:rPr>
          <w:rFonts w:ascii="Times New Roman" w:hAnsi="Times New Roman" w:cs="Times New Roman"/>
        </w:rPr>
        <w:t xml:space="preserve">. However, the high degree of connectivity shown through telemetry (Hayman) and inferred through population genetics demonstrating sub-Saharan continental populations are </w:t>
      </w:r>
      <w:proofErr w:type="spellStart"/>
      <w:r w:rsidR="00D10760" w:rsidRPr="00F223B7">
        <w:rPr>
          <w:rFonts w:ascii="Times New Roman" w:hAnsi="Times New Roman" w:cs="Times New Roman"/>
        </w:rPr>
        <w:t>panmictic</w:t>
      </w:r>
      <w:proofErr w:type="spellEnd"/>
      <w:r w:rsidR="00D10760" w:rsidRPr="00F223B7">
        <w:rPr>
          <w:rFonts w:ascii="Times New Roman" w:hAnsi="Times New Roman" w:cs="Times New Roman"/>
        </w:rPr>
        <w:t xml:space="preserve"> </w:t>
      </w:r>
      <w:r w:rsidR="004932AE" w:rsidRPr="00F223B7">
        <w:rPr>
          <w:rFonts w:ascii="Times New Roman" w:hAnsi="Times New Roman" w:cs="Times New Roman"/>
        </w:rPr>
        <w:t xml:space="preserve">(Peel) </w:t>
      </w:r>
      <w:r w:rsidR="00D10760" w:rsidRPr="00F223B7">
        <w:rPr>
          <w:rFonts w:ascii="Times New Roman" w:hAnsi="Times New Roman" w:cs="Times New Roman"/>
        </w:rPr>
        <w:t>suggest that risk may be constant across the continent</w:t>
      </w:r>
      <w:r w:rsidR="004932AE" w:rsidRPr="00F223B7">
        <w:rPr>
          <w:rFonts w:ascii="Times New Roman" w:hAnsi="Times New Roman" w:cs="Times New Roman"/>
        </w:rPr>
        <w:t xml:space="preserve"> due to connectivity</w:t>
      </w:r>
      <w:r w:rsidR="00D10760" w:rsidRPr="00F223B7">
        <w:rPr>
          <w:rFonts w:ascii="Times New Roman" w:hAnsi="Times New Roman" w:cs="Times New Roman"/>
        </w:rPr>
        <w:t>.</w:t>
      </w:r>
      <w:r w:rsidR="004932AE" w:rsidRPr="00F223B7">
        <w:rPr>
          <w:rFonts w:ascii="Times New Roman" w:hAnsi="Times New Roman" w:cs="Times New Roman"/>
        </w:rPr>
        <w:t xml:space="preserve"> </w:t>
      </w:r>
      <w:r w:rsidR="00D10760" w:rsidRPr="00F223B7">
        <w:rPr>
          <w:rFonts w:ascii="Times New Roman" w:hAnsi="Times New Roman" w:cs="Times New Roman"/>
        </w:rPr>
        <w:t xml:space="preserve">If hunting pressures differed and localized movement were lower than </w:t>
      </w:r>
      <w:r w:rsidR="004932AE" w:rsidRPr="00F223B7">
        <w:rPr>
          <w:rFonts w:ascii="Times New Roman" w:hAnsi="Times New Roman" w:cs="Times New Roman"/>
        </w:rPr>
        <w:t>predicted by genetic data,</w:t>
      </w:r>
      <w:r w:rsidR="00D10760" w:rsidRPr="00F223B7">
        <w:rPr>
          <w:rFonts w:ascii="Times New Roman" w:hAnsi="Times New Roman" w:cs="Times New Roman"/>
        </w:rPr>
        <w:t xml:space="preserve"> in some parts of the continent we may </w:t>
      </w:r>
      <w:r w:rsidR="004932AE" w:rsidRPr="00F223B7">
        <w:rPr>
          <w:rFonts w:ascii="Times New Roman" w:hAnsi="Times New Roman" w:cs="Times New Roman"/>
        </w:rPr>
        <w:t xml:space="preserve">expect to </w:t>
      </w:r>
      <w:r w:rsidR="00D10760" w:rsidRPr="00F223B7">
        <w:rPr>
          <w:rFonts w:ascii="Times New Roman" w:hAnsi="Times New Roman" w:cs="Times New Roman"/>
        </w:rPr>
        <w:t xml:space="preserve">see differing demographic structures.  </w:t>
      </w:r>
      <w:r w:rsidR="004932AE" w:rsidRPr="00F223B7">
        <w:rPr>
          <w:rFonts w:ascii="Times New Roman" w:hAnsi="Times New Roman" w:cs="Times New Roman"/>
        </w:rPr>
        <w:t>Therefore, w</w:t>
      </w:r>
      <w:r w:rsidR="00D10760" w:rsidRPr="00F223B7">
        <w:rPr>
          <w:rFonts w:ascii="Times New Roman" w:hAnsi="Times New Roman" w:cs="Times New Roman"/>
        </w:rPr>
        <w:t>e wished to test</w:t>
      </w:r>
      <w:r w:rsidR="004932AE" w:rsidRPr="00F223B7">
        <w:rPr>
          <w:rFonts w:ascii="Times New Roman" w:hAnsi="Times New Roman" w:cs="Times New Roman"/>
        </w:rPr>
        <w:t xml:space="preserve"> two</w:t>
      </w:r>
      <w:r w:rsidR="00D10760" w:rsidRPr="00F223B7">
        <w:rPr>
          <w:rFonts w:ascii="Times New Roman" w:hAnsi="Times New Roman" w:cs="Times New Roman"/>
        </w:rPr>
        <w:t xml:space="preserve"> alternative hypotheses relating to hunt</w:t>
      </w:r>
      <w:r w:rsidR="00F223B7">
        <w:rPr>
          <w:rFonts w:ascii="Times New Roman" w:hAnsi="Times New Roman" w:cs="Times New Roman"/>
        </w:rPr>
        <w:t>ing pressure and demography. Firstly</w:t>
      </w:r>
      <w:r w:rsidR="00D10760" w:rsidRPr="00F223B7">
        <w:rPr>
          <w:rFonts w:ascii="Times New Roman" w:hAnsi="Times New Roman" w:cs="Times New Roman"/>
        </w:rPr>
        <w:t xml:space="preserve"> that different levels of hunting pressure might lead to different host demographic structure due to local effects, or alternatively</w:t>
      </w:r>
      <w:r w:rsidR="004932AE" w:rsidRPr="00F223B7">
        <w:rPr>
          <w:rFonts w:ascii="Times New Roman" w:hAnsi="Times New Roman" w:cs="Times New Roman"/>
        </w:rPr>
        <w:t xml:space="preserve"> </w:t>
      </w:r>
      <w:r w:rsidR="00D10760" w:rsidRPr="00F223B7">
        <w:rPr>
          <w:rFonts w:ascii="Times New Roman" w:hAnsi="Times New Roman" w:cs="Times New Roman"/>
        </w:rPr>
        <w:t>that population connectivity might lead to constant risk across age classes, despite locally differing age classes. To do this we</w:t>
      </w:r>
      <w:r w:rsidR="004932AE" w:rsidRPr="00F223B7">
        <w:rPr>
          <w:rFonts w:ascii="Times New Roman" w:hAnsi="Times New Roman" w:cs="Times New Roman"/>
        </w:rPr>
        <w:t xml:space="preserve"> analyze</w:t>
      </w:r>
      <w:r w:rsidR="00D10760" w:rsidRPr="00F223B7">
        <w:rPr>
          <w:rFonts w:ascii="Times New Roman" w:hAnsi="Times New Roman" w:cs="Times New Roman"/>
        </w:rPr>
        <w:t xml:space="preserve"> age</w:t>
      </w:r>
      <w:r w:rsidR="004932AE" w:rsidRPr="00F223B7">
        <w:rPr>
          <w:rFonts w:ascii="Times New Roman" w:hAnsi="Times New Roman" w:cs="Times New Roman"/>
        </w:rPr>
        <w:t xml:space="preserve"> class data obtained from </w:t>
      </w:r>
      <w:r w:rsidR="00D10760" w:rsidRPr="00F223B7">
        <w:rPr>
          <w:rFonts w:ascii="Times New Roman" w:hAnsi="Times New Roman" w:cs="Times New Roman"/>
        </w:rPr>
        <w:t>tooth</w:t>
      </w:r>
      <w:r w:rsidR="004932AE" w:rsidRPr="00F223B7">
        <w:rPr>
          <w:rFonts w:ascii="Times New Roman" w:hAnsi="Times New Roman" w:cs="Times New Roman"/>
        </w:rPr>
        <w:t xml:space="preserve"> </w:t>
      </w:r>
      <w:proofErr w:type="spellStart"/>
      <w:r w:rsidR="004932AE" w:rsidRPr="00F223B7">
        <w:rPr>
          <w:rFonts w:ascii="Times New Roman" w:hAnsi="Times New Roman" w:cs="Times New Roman"/>
        </w:rPr>
        <w:t>cementum</w:t>
      </w:r>
      <w:proofErr w:type="spellEnd"/>
      <w:r w:rsidR="004932AE" w:rsidRPr="00F223B7">
        <w:rPr>
          <w:rFonts w:ascii="Times New Roman" w:hAnsi="Times New Roman" w:cs="Times New Roman"/>
        </w:rPr>
        <w:t xml:space="preserve"> annuli…b</w:t>
      </w:r>
      <w:r w:rsidR="00D10760" w:rsidRPr="00F223B7">
        <w:rPr>
          <w:rFonts w:ascii="Times New Roman" w:hAnsi="Times New Roman" w:cs="Times New Roman"/>
        </w:rPr>
        <w:t xml:space="preserve">lah </w:t>
      </w:r>
      <w:proofErr w:type="spellStart"/>
      <w:r w:rsidR="00D10760" w:rsidRPr="00F223B7">
        <w:rPr>
          <w:rFonts w:ascii="Times New Roman" w:hAnsi="Times New Roman" w:cs="Times New Roman"/>
        </w:rPr>
        <w:t>blah</w:t>
      </w:r>
      <w:proofErr w:type="spellEnd"/>
      <w:r w:rsidR="00D10760" w:rsidRPr="00F223B7">
        <w:rPr>
          <w:rFonts w:ascii="Times New Roman" w:hAnsi="Times New Roman" w:cs="Times New Roman"/>
        </w:rPr>
        <w:t xml:space="preserve">… from different locations (…). </w:t>
      </w:r>
    </w:p>
    <w:p w:rsidR="00D10760" w:rsidRPr="00F223B7" w:rsidRDefault="004932AE" w:rsidP="004B242C">
      <w:pPr>
        <w:rPr>
          <w:rFonts w:ascii="Times New Roman" w:hAnsi="Times New Roman" w:cs="Times New Roman"/>
        </w:rPr>
      </w:pPr>
      <w:r w:rsidRPr="00F223B7">
        <w:rPr>
          <w:rFonts w:ascii="Times New Roman" w:hAnsi="Times New Roman" w:cs="Times New Roman"/>
        </w:rPr>
        <w:t>Methods</w:t>
      </w:r>
    </w:p>
    <w:p w:rsidR="004932AE" w:rsidRPr="00F223B7" w:rsidRDefault="004932AE" w:rsidP="004932AE">
      <w:pPr>
        <w:rPr>
          <w:rFonts w:ascii="Times New Roman" w:hAnsi="Times New Roman" w:cs="Times New Roman"/>
          <w:sz w:val="24"/>
          <w:szCs w:val="24"/>
        </w:rPr>
      </w:pPr>
      <w:r w:rsidRPr="00F223B7">
        <w:rPr>
          <w:rFonts w:ascii="Times New Roman" w:hAnsi="Times New Roman" w:cs="Times New Roman"/>
        </w:rPr>
        <w:t xml:space="preserve">Hayman et al. for a full description. Briefly, </w:t>
      </w:r>
      <w:r w:rsidRPr="00F223B7">
        <w:rPr>
          <w:rFonts w:ascii="Times New Roman" w:hAnsi="Times New Roman" w:cs="Times New Roman"/>
          <w:sz w:val="24"/>
          <w:szCs w:val="24"/>
        </w:rPr>
        <w:t>to estimate annual survival probability from age frequencies, and to test whether there was evidence for variation in</w:t>
      </w:r>
      <w:r w:rsidR="00F223B7">
        <w:rPr>
          <w:rFonts w:ascii="Times New Roman" w:hAnsi="Times New Roman" w:cs="Times New Roman"/>
          <w:sz w:val="24"/>
          <w:szCs w:val="24"/>
        </w:rPr>
        <w:t xml:space="preserve"> survival probability with age </w:t>
      </w:r>
      <w:r w:rsidRPr="00F223B7">
        <w:rPr>
          <w:rFonts w:ascii="Times New Roman" w:hAnsi="Times New Roman" w:cs="Times New Roman"/>
          <w:sz w:val="24"/>
          <w:szCs w:val="24"/>
        </w:rPr>
        <w:t xml:space="preserve">we fitted life table models to age frequency data derived from tooth </w:t>
      </w:r>
      <w:proofErr w:type="spellStart"/>
      <w:r w:rsidRPr="00F223B7">
        <w:rPr>
          <w:rFonts w:ascii="Times New Roman" w:hAnsi="Times New Roman" w:cs="Times New Roman"/>
          <w:sz w:val="24"/>
          <w:szCs w:val="24"/>
        </w:rPr>
        <w:t>cementum</w:t>
      </w:r>
      <w:proofErr w:type="spellEnd"/>
      <w:r w:rsidRPr="00F223B7">
        <w:rPr>
          <w:rFonts w:ascii="Times New Roman" w:hAnsi="Times New Roman" w:cs="Times New Roman"/>
          <w:sz w:val="24"/>
          <w:szCs w:val="24"/>
        </w:rPr>
        <w:t xml:space="preserve"> annuli data, assuming a stationary age structure. </w:t>
      </w:r>
      <w:r w:rsidR="00F223B7">
        <w:rPr>
          <w:rFonts w:ascii="Times New Roman" w:hAnsi="Times New Roman" w:cs="Times New Roman"/>
          <w:sz w:val="24"/>
          <w:szCs w:val="24"/>
        </w:rPr>
        <w:t>As we did with the data from the Ghanaian colony, w</w:t>
      </w:r>
      <w:r w:rsidRPr="00F223B7">
        <w:rPr>
          <w:rFonts w:ascii="Times New Roman" w:hAnsi="Times New Roman" w:cs="Times New Roman"/>
          <w:sz w:val="24"/>
          <w:szCs w:val="24"/>
        </w:rPr>
        <w:t>e tested four candidate models based on competing risks models proposed by Siler (1979). This approach assumes a constant baseline mortality risk operating throughout life and considers two additional factors</w:t>
      </w:r>
      <w:r w:rsidR="00F223B7">
        <w:rPr>
          <w:rFonts w:ascii="Times New Roman" w:hAnsi="Times New Roman" w:cs="Times New Roman"/>
          <w:sz w:val="24"/>
          <w:szCs w:val="24"/>
        </w:rPr>
        <w:t>, maturation (</w:t>
      </w:r>
      <w:r w:rsidRPr="00F223B7">
        <w:rPr>
          <w:rFonts w:ascii="Times New Roman" w:hAnsi="Times New Roman" w:cs="Times New Roman"/>
          <w:sz w:val="24"/>
          <w:szCs w:val="24"/>
        </w:rPr>
        <w:t>decreasing risk in early life</w:t>
      </w:r>
      <w:r w:rsidR="00F223B7">
        <w:rPr>
          <w:rFonts w:ascii="Times New Roman" w:hAnsi="Times New Roman" w:cs="Times New Roman"/>
          <w:sz w:val="24"/>
          <w:szCs w:val="24"/>
        </w:rPr>
        <w:t>) and senescence (</w:t>
      </w:r>
      <w:r w:rsidRPr="00F223B7">
        <w:rPr>
          <w:rFonts w:ascii="Times New Roman" w:hAnsi="Times New Roman" w:cs="Times New Roman"/>
          <w:sz w:val="24"/>
          <w:szCs w:val="24"/>
        </w:rPr>
        <w:t xml:space="preserve">increasing risk in later life). Annual probability of survival at age </w:t>
      </w:r>
      <w:r w:rsidRPr="00F223B7">
        <w:rPr>
          <w:rFonts w:ascii="Times New Roman" w:hAnsi="Times New Roman" w:cs="Times New Roman"/>
          <w:i/>
          <w:sz w:val="24"/>
          <w:szCs w:val="24"/>
        </w:rPr>
        <w:t>x</w:t>
      </w:r>
      <w:r w:rsidRPr="00F223B7">
        <w:rPr>
          <w:rFonts w:ascii="Times New Roman" w:hAnsi="Times New Roman" w:cs="Times New Roman"/>
          <w:sz w:val="24"/>
          <w:szCs w:val="24"/>
        </w:rPr>
        <w:t xml:space="preserve"> under constant baseline risk is given by:</w:t>
      </w:r>
    </w:p>
    <w:p w:rsidR="004932AE" w:rsidRPr="00F223B7" w:rsidRDefault="004932AE" w:rsidP="004932AE">
      <w:pPr>
        <w:spacing w:after="0"/>
        <w:ind w:firstLine="720"/>
        <w:jc w:val="center"/>
        <w:rPr>
          <w:rFonts w:ascii="Times New Roman" w:hAnsi="Times New Roman" w:cs="Times New Roman"/>
          <w:sz w:val="24"/>
          <w:szCs w:val="24"/>
        </w:rPr>
      </w:pPr>
      <w:r w:rsidRPr="00F223B7">
        <w:rPr>
          <w:rFonts w:ascii="Times New Roman" w:hAnsi="Times New Roman" w:cs="Times New Roman"/>
          <w:noProof/>
          <w:position w:val="-14"/>
          <w:sz w:val="24"/>
          <w:szCs w:val="24"/>
          <w:lang w:val="en-NZ" w:eastAsia="en-NZ"/>
        </w:rPr>
        <w:drawing>
          <wp:inline distT="0" distB="0" distL="0" distR="0" wp14:anchorId="01294835" wp14:editId="27C3C64A">
            <wp:extent cx="990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inline>
        </w:drawing>
      </w:r>
    </w:p>
    <w:p w:rsidR="004932AE" w:rsidRPr="00F223B7" w:rsidRDefault="004932AE" w:rsidP="004932AE">
      <w:pPr>
        <w:spacing w:after="0"/>
        <w:rPr>
          <w:rFonts w:ascii="Times New Roman" w:hAnsi="Times New Roman" w:cs="Times New Roman"/>
          <w:sz w:val="24"/>
          <w:szCs w:val="24"/>
        </w:rPr>
      </w:pPr>
      <w:proofErr w:type="gramStart"/>
      <w:r w:rsidRPr="00F223B7">
        <w:rPr>
          <w:rFonts w:ascii="Times New Roman" w:hAnsi="Times New Roman" w:cs="Times New Roman"/>
          <w:sz w:val="24"/>
          <w:szCs w:val="24"/>
        </w:rPr>
        <w:t>and</w:t>
      </w:r>
      <w:proofErr w:type="gramEnd"/>
      <w:r w:rsidRPr="00F223B7">
        <w:rPr>
          <w:rFonts w:ascii="Times New Roman" w:hAnsi="Times New Roman" w:cs="Times New Roman"/>
          <w:sz w:val="24"/>
          <w:szCs w:val="24"/>
        </w:rPr>
        <w:t xml:space="preserve"> maturation and senescence elements are defined respectively by:</w:t>
      </w:r>
    </w:p>
    <w:p w:rsidR="004932AE" w:rsidRPr="00F223B7" w:rsidRDefault="004932AE" w:rsidP="004932AE">
      <w:pPr>
        <w:spacing w:after="0"/>
        <w:ind w:firstLine="720"/>
        <w:jc w:val="center"/>
        <w:rPr>
          <w:rFonts w:ascii="Times New Roman" w:hAnsi="Times New Roman" w:cs="Times New Roman"/>
          <w:position w:val="-42"/>
          <w:sz w:val="24"/>
          <w:szCs w:val="24"/>
        </w:rPr>
      </w:pPr>
      <w:r w:rsidRPr="00F223B7">
        <w:rPr>
          <w:rFonts w:ascii="Times New Roman" w:hAnsi="Times New Roman" w:cs="Times New Roman"/>
          <w:noProof/>
          <w:position w:val="-42"/>
          <w:sz w:val="24"/>
          <w:szCs w:val="24"/>
          <w:lang w:val="en-NZ" w:eastAsia="en-NZ"/>
        </w:rPr>
        <w:drawing>
          <wp:inline distT="0" distB="0" distL="0" distR="0" wp14:anchorId="1C9ABEBB" wp14:editId="7793D399">
            <wp:extent cx="21145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rsidR="00F223B7" w:rsidRDefault="004932AE" w:rsidP="00F223B7">
      <w:pPr>
        <w:spacing w:after="0"/>
        <w:rPr>
          <w:rFonts w:ascii="Times New Roman" w:hAnsi="Times New Roman" w:cs="Times New Roman"/>
        </w:rPr>
      </w:pPr>
      <w:r w:rsidRPr="00F223B7">
        <w:rPr>
          <w:rFonts w:ascii="Times New Roman" w:hAnsi="Times New Roman" w:cs="Times New Roman"/>
          <w:sz w:val="24"/>
          <w:szCs w:val="24"/>
        </w:rPr>
        <w:t xml:space="preserve">where </w:t>
      </w:r>
      <w:r w:rsidRPr="00F223B7">
        <w:rPr>
          <w:rFonts w:ascii="Times New Roman" w:hAnsi="Times New Roman" w:cs="Times New Roman"/>
          <w:i/>
          <w:sz w:val="24"/>
          <w:szCs w:val="24"/>
        </w:rPr>
        <w:t xml:space="preserve">a </w:t>
      </w:r>
      <w:r w:rsidRPr="00F223B7">
        <w:rPr>
          <w:rFonts w:ascii="Times New Roman" w:hAnsi="Times New Roman" w:cs="Times New Roman"/>
          <w:sz w:val="24"/>
          <w:szCs w:val="24"/>
        </w:rPr>
        <w:t xml:space="preserve">is the initial hazard for each element, </w:t>
      </w:r>
      <w:r w:rsidRPr="00F223B7">
        <w:rPr>
          <w:rFonts w:ascii="Times New Roman" w:hAnsi="Times New Roman" w:cs="Times New Roman"/>
          <w:i/>
          <w:sz w:val="24"/>
          <w:szCs w:val="24"/>
        </w:rPr>
        <w:t>b</w:t>
      </w:r>
      <w:r w:rsidRPr="00F223B7">
        <w:rPr>
          <w:rFonts w:ascii="Times New Roman" w:hAnsi="Times New Roman" w:cs="Times New Roman"/>
          <w:sz w:val="24"/>
          <w:szCs w:val="24"/>
        </w:rPr>
        <w:t xml:space="preserve"> is the rate at which hazard decreases or increases with age during maturation or senescence respectively, and </w:t>
      </w:r>
      <w:r w:rsidRPr="00F223B7">
        <w:rPr>
          <w:rFonts w:ascii="Times New Roman" w:hAnsi="Times New Roman" w:cs="Times New Roman"/>
          <w:i/>
          <w:sz w:val="24"/>
          <w:szCs w:val="24"/>
        </w:rPr>
        <w:t>x</w:t>
      </w:r>
      <w:r w:rsidRPr="00F223B7">
        <w:rPr>
          <w:rFonts w:ascii="Times New Roman" w:hAnsi="Times New Roman" w:cs="Times New Roman"/>
          <w:sz w:val="24"/>
          <w:szCs w:val="24"/>
        </w:rPr>
        <w:t xml:space="preserve"> denotes age in years. Subscripts 1-3 denote respectively maturing, constant and senescing elements. Overall survivorship is then given by the product of desired components, such that the four models tested were constant risk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w:t>
      </w:r>
      <w:r w:rsidRPr="00F223B7">
        <w:rPr>
          <w:rFonts w:ascii="Times New Roman" w:hAnsi="Times New Roman" w:cs="Times New Roman"/>
          <w:sz w:val="24"/>
          <w:szCs w:val="24"/>
        </w:rPr>
        <w:t xml:space="preserve"> =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w:t>
      </w:r>
      <w:proofErr w:type="gramStart"/>
      <w:r w:rsidRPr="00F223B7">
        <w:rPr>
          <w:rFonts w:ascii="Times New Roman" w:hAnsi="Times New Roman" w:cs="Times New Roman"/>
          <w:i/>
          <w:sz w:val="24"/>
          <w:szCs w:val="24"/>
          <w:vertAlign w:val="subscript"/>
        </w:rPr>
        <w:t>,2</w:t>
      </w:r>
      <w:proofErr w:type="gramEnd"/>
      <w:r w:rsidRPr="00F223B7">
        <w:rPr>
          <w:rFonts w:ascii="Times New Roman" w:hAnsi="Times New Roman" w:cs="Times New Roman"/>
          <w:sz w:val="24"/>
          <w:szCs w:val="24"/>
        </w:rPr>
        <w:t>), maturing risk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w:t>
      </w:r>
      <w:r w:rsidRPr="00F223B7">
        <w:rPr>
          <w:rFonts w:ascii="Times New Roman" w:hAnsi="Times New Roman" w:cs="Times New Roman"/>
          <w:sz w:val="24"/>
          <w:szCs w:val="24"/>
        </w:rPr>
        <w:t xml:space="preserve"> =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x,1</w:t>
      </w:r>
      <w:r w:rsidRPr="00F223B7">
        <w:rPr>
          <w:rFonts w:ascii="Times New Roman" w:hAnsi="Times New Roman" w:cs="Times New Roman"/>
          <w:i/>
          <w:sz w:val="24"/>
          <w:szCs w:val="24"/>
        </w:rPr>
        <w:t xml:space="preserve"> l</w:t>
      </w:r>
      <w:r w:rsidRPr="00F223B7">
        <w:rPr>
          <w:rFonts w:ascii="Times New Roman" w:hAnsi="Times New Roman" w:cs="Times New Roman"/>
          <w:i/>
          <w:sz w:val="24"/>
          <w:szCs w:val="24"/>
          <w:vertAlign w:val="subscript"/>
        </w:rPr>
        <w:t>x,2</w:t>
      </w:r>
      <w:r w:rsidRPr="00F223B7">
        <w:rPr>
          <w:rFonts w:ascii="Times New Roman" w:hAnsi="Times New Roman" w:cs="Times New Roman"/>
          <w:sz w:val="24"/>
          <w:szCs w:val="24"/>
        </w:rPr>
        <w:t>), senescing risk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w:t>
      </w:r>
      <w:r w:rsidRPr="00F223B7">
        <w:rPr>
          <w:rFonts w:ascii="Times New Roman" w:hAnsi="Times New Roman" w:cs="Times New Roman"/>
          <w:sz w:val="24"/>
          <w:szCs w:val="24"/>
        </w:rPr>
        <w:t xml:space="preserve"> =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x,2</w:t>
      </w:r>
      <w:r w:rsidRPr="00F223B7">
        <w:rPr>
          <w:rFonts w:ascii="Times New Roman" w:hAnsi="Times New Roman" w:cs="Times New Roman"/>
          <w:i/>
          <w:sz w:val="24"/>
          <w:szCs w:val="24"/>
        </w:rPr>
        <w:t xml:space="preserve"> l</w:t>
      </w:r>
      <w:r w:rsidRPr="00F223B7">
        <w:rPr>
          <w:rFonts w:ascii="Times New Roman" w:hAnsi="Times New Roman" w:cs="Times New Roman"/>
          <w:i/>
          <w:sz w:val="24"/>
          <w:szCs w:val="24"/>
          <w:vertAlign w:val="subscript"/>
        </w:rPr>
        <w:t>x,3</w:t>
      </w:r>
      <w:r w:rsidRPr="00F223B7">
        <w:rPr>
          <w:rFonts w:ascii="Times New Roman" w:hAnsi="Times New Roman" w:cs="Times New Roman"/>
          <w:sz w:val="24"/>
          <w:szCs w:val="24"/>
        </w:rPr>
        <w:t>), and both maturing and senescing risks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w:t>
      </w:r>
      <w:r w:rsidRPr="00F223B7">
        <w:rPr>
          <w:rFonts w:ascii="Times New Roman" w:hAnsi="Times New Roman" w:cs="Times New Roman"/>
          <w:sz w:val="24"/>
          <w:szCs w:val="24"/>
        </w:rPr>
        <w:t xml:space="preserve"> = </w:t>
      </w:r>
      <w:r w:rsidRPr="00F223B7">
        <w:rPr>
          <w:rFonts w:ascii="Times New Roman" w:hAnsi="Times New Roman" w:cs="Times New Roman"/>
          <w:i/>
          <w:sz w:val="24"/>
          <w:szCs w:val="24"/>
        </w:rPr>
        <w:t>l</w:t>
      </w:r>
      <w:r w:rsidRPr="00F223B7">
        <w:rPr>
          <w:rFonts w:ascii="Times New Roman" w:hAnsi="Times New Roman" w:cs="Times New Roman"/>
          <w:i/>
          <w:sz w:val="24"/>
          <w:szCs w:val="24"/>
          <w:vertAlign w:val="subscript"/>
        </w:rPr>
        <w:t>x,1</w:t>
      </w:r>
      <w:r w:rsidRPr="00F223B7">
        <w:rPr>
          <w:rFonts w:ascii="Times New Roman" w:hAnsi="Times New Roman" w:cs="Times New Roman"/>
          <w:i/>
          <w:sz w:val="24"/>
          <w:szCs w:val="24"/>
        </w:rPr>
        <w:t xml:space="preserve"> l</w:t>
      </w:r>
      <w:r w:rsidRPr="00F223B7">
        <w:rPr>
          <w:rFonts w:ascii="Times New Roman" w:hAnsi="Times New Roman" w:cs="Times New Roman"/>
          <w:i/>
          <w:sz w:val="24"/>
          <w:szCs w:val="24"/>
          <w:vertAlign w:val="subscript"/>
        </w:rPr>
        <w:t>x,2</w:t>
      </w:r>
      <w:r w:rsidRPr="00F223B7">
        <w:rPr>
          <w:rFonts w:ascii="Times New Roman" w:hAnsi="Times New Roman" w:cs="Times New Roman"/>
          <w:i/>
          <w:sz w:val="24"/>
          <w:szCs w:val="24"/>
        </w:rPr>
        <w:t xml:space="preserve"> l</w:t>
      </w:r>
      <w:r w:rsidRPr="00F223B7">
        <w:rPr>
          <w:rFonts w:ascii="Times New Roman" w:hAnsi="Times New Roman" w:cs="Times New Roman"/>
          <w:i/>
          <w:sz w:val="24"/>
          <w:szCs w:val="24"/>
          <w:vertAlign w:val="subscript"/>
        </w:rPr>
        <w:t>x,3</w:t>
      </w:r>
      <w:r w:rsidRPr="00F223B7">
        <w:rPr>
          <w:rFonts w:ascii="Times New Roman" w:hAnsi="Times New Roman" w:cs="Times New Roman"/>
          <w:sz w:val="24"/>
          <w:szCs w:val="24"/>
        </w:rPr>
        <w:t>).</w:t>
      </w:r>
      <w:r w:rsidR="00F223B7">
        <w:rPr>
          <w:rFonts w:ascii="Times New Roman" w:hAnsi="Times New Roman" w:cs="Times New Roman"/>
          <w:sz w:val="24"/>
          <w:szCs w:val="24"/>
        </w:rPr>
        <w:t xml:space="preserve"> </w:t>
      </w:r>
      <w:r w:rsidRPr="00F223B7">
        <w:rPr>
          <w:rFonts w:ascii="Times New Roman" w:hAnsi="Times New Roman" w:cs="Times New Roman"/>
        </w:rPr>
        <w:t>In contrast to</w:t>
      </w:r>
      <w:r w:rsidR="00135F15" w:rsidRPr="00F223B7">
        <w:rPr>
          <w:rFonts w:ascii="Times New Roman" w:hAnsi="Times New Roman" w:cs="Times New Roman"/>
        </w:rPr>
        <w:t xml:space="preserve"> our previous work (Hayman),</w:t>
      </w:r>
      <w:r w:rsidRPr="00F223B7">
        <w:rPr>
          <w:rFonts w:ascii="Times New Roman" w:hAnsi="Times New Roman" w:cs="Times New Roman"/>
        </w:rPr>
        <w:t xml:space="preserve"> because we had small sample sizes in some samples, we chose to fit these four</w:t>
      </w:r>
      <w:r w:rsidR="00135F15" w:rsidRPr="00F223B7">
        <w:rPr>
          <w:rFonts w:ascii="Times New Roman" w:hAnsi="Times New Roman" w:cs="Times New Roman"/>
        </w:rPr>
        <w:t xml:space="preserve"> non-linear</w:t>
      </w:r>
      <w:r w:rsidRPr="00F223B7">
        <w:rPr>
          <w:rFonts w:ascii="Times New Roman" w:hAnsi="Times New Roman" w:cs="Times New Roman"/>
        </w:rPr>
        <w:t xml:space="preserve"> models within a Bayesian framework. We used a normal error structure with </w:t>
      </w:r>
      <w:r w:rsidR="00135F15" w:rsidRPr="00F223B7">
        <w:rPr>
          <w:rFonts w:ascii="Times New Roman" w:hAnsi="Times New Roman" w:cs="Times New Roman"/>
        </w:rPr>
        <w:t>‘</w:t>
      </w:r>
      <w:r w:rsidRPr="00F223B7">
        <w:rPr>
          <w:rFonts w:ascii="Times New Roman" w:hAnsi="Times New Roman" w:cs="Times New Roman"/>
        </w:rPr>
        <w:t>uninformative</w:t>
      </w:r>
      <w:r w:rsidR="00135F15" w:rsidRPr="00F223B7">
        <w:rPr>
          <w:rFonts w:ascii="Times New Roman" w:hAnsi="Times New Roman" w:cs="Times New Roman"/>
        </w:rPr>
        <w:t>’ (</w:t>
      </w:r>
      <w:r w:rsidRPr="00F223B7">
        <w:rPr>
          <w:rFonts w:ascii="Times New Roman" w:hAnsi="Times New Roman" w:cs="Times New Roman"/>
        </w:rPr>
        <w:t>flat</w:t>
      </w:r>
      <w:r w:rsidR="00135F15" w:rsidRPr="00F223B7">
        <w:rPr>
          <w:rFonts w:ascii="Times New Roman" w:hAnsi="Times New Roman" w:cs="Times New Roman"/>
        </w:rPr>
        <w:t>) priors (see supplementary data). We chose normal distribution priors for the model parameters, except a, the scalar (which represents the initial numbers at birth)</w:t>
      </w:r>
      <w:r w:rsidR="003B1160">
        <w:rPr>
          <w:rFonts w:ascii="Times New Roman" w:hAnsi="Times New Roman" w:cs="Times New Roman"/>
        </w:rPr>
        <w:t xml:space="preserve"> from which we sampled from a uniform prior &gt;0. Thu</w:t>
      </w:r>
      <w:r w:rsidR="00F223B7">
        <w:rPr>
          <w:rFonts w:ascii="Times New Roman" w:hAnsi="Times New Roman" w:cs="Times New Roman"/>
        </w:rPr>
        <w:t>s</w:t>
      </w:r>
      <w:r w:rsidR="003B1160">
        <w:rPr>
          <w:rFonts w:ascii="Times New Roman" w:hAnsi="Times New Roman" w:cs="Times New Roman"/>
        </w:rPr>
        <w:t xml:space="preserve"> our full model was</w:t>
      </w:r>
      <w:r w:rsidR="00F223B7">
        <w:rPr>
          <w:rFonts w:ascii="Times New Roman" w:hAnsi="Times New Roman" w:cs="Times New Roman"/>
        </w:rPr>
        <w:t>:</w:t>
      </w:r>
    </w:p>
    <w:p w:rsidR="00364746" w:rsidRPr="00364746" w:rsidRDefault="00364746" w:rsidP="00A30E22">
      <w:pPr>
        <w:spacing w:after="0"/>
        <w:rPr>
          <w:rFonts w:ascii="Times New Roman" w:eastAsiaTheme="minorEastAsia" w:hAnsi="Times New Roman" w:cs="Times New Roman"/>
        </w:rPr>
      </w:pPr>
    </w:p>
    <w:p w:rsidR="00A30E22" w:rsidRPr="00FD36D2" w:rsidRDefault="003B1160" w:rsidP="00A30E22">
      <w:pPr>
        <w:spacing w:after="0"/>
        <w:rPr>
          <w:rFonts w:ascii="Times New Roman" w:eastAsiaTheme="minorEastAsia" w:hAnsi="Times New Roman" w:cs="Times New Roman"/>
        </w:rPr>
      </w:pPr>
      <m:oMathPara>
        <m:oMath>
          <m:r>
            <w:rPr>
              <w:rFonts w:ascii="Cambria Math" w:hAnsi="Cambria Math" w:cs="Times New Roman"/>
            </w:rPr>
            <w:lastRenderedPageBreak/>
            <m:t>μ[i]</m:t>
          </m:r>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Age[i])</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Age[i])</m:t>
                  </m:r>
                </m:sup>
              </m:sSup>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Age[i])</m:t>
                  </m:r>
                </m:sup>
              </m:sSup>
              <m:r>
                <w:rPr>
                  <w:rFonts w:ascii="Cambria Math" w:eastAsiaTheme="minorEastAsia" w:hAnsi="Cambria Math" w:cs="Times New Roman"/>
                </w:rPr>
                <m:t>))</m:t>
              </m:r>
            </m:sup>
          </m:sSup>
        </m:oMath>
      </m:oMathPara>
    </w:p>
    <w:p w:rsidR="00FD36D2" w:rsidRDefault="00FD36D2" w:rsidP="00A30E22">
      <w:pPr>
        <w:spacing w:after="0"/>
        <w:rPr>
          <w:rFonts w:ascii="Times New Roman" w:eastAsiaTheme="minorEastAsia" w:hAnsi="Times New Roman" w:cs="Times New Roman"/>
        </w:rPr>
      </w:pPr>
      <w:r>
        <w:rPr>
          <w:rFonts w:ascii="Times New Roman" w:eastAsiaTheme="minorEastAsia" w:hAnsi="Times New Roman" w:cs="Times New Roman"/>
        </w:rPr>
        <w:t>Where:</w:t>
      </w:r>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e>
              </m:d>
            </m:e>
          </m:nary>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0,n</m:t>
              </m:r>
            </m:e>
          </m:d>
        </m:oMath>
      </m:oMathPara>
    </w:p>
    <w:p w:rsidR="00364746" w:rsidRPr="00364746" w:rsidRDefault="00FD36D2"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|0,100</m:t>
              </m:r>
            </m:e>
          </m:d>
        </m:oMath>
      </m:oMathPara>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|0,100</m:t>
              </m:r>
            </m:e>
          </m:d>
        </m:oMath>
      </m:oMathPara>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|0,100</m:t>
              </m:r>
            </m:e>
          </m:d>
        </m:oMath>
      </m:oMathPara>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|0,100</m:t>
              </m:r>
            </m:e>
          </m:d>
        </m:oMath>
      </m:oMathPara>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|0,100</m:t>
              </m:r>
            </m:e>
          </m:d>
        </m:oMath>
      </m:oMathPara>
    </w:p>
    <w:p w:rsidR="00364746" w:rsidRPr="00364746" w:rsidRDefault="00364746" w:rsidP="00FD36D2">
      <w:pPr>
        <w:spacing w:after="0"/>
        <w:jc w:val="center"/>
        <w:rPr>
          <w:rFonts w:ascii="Times New Roman" w:eastAsiaTheme="minorEastAsia" w:hAnsi="Times New Roman" w:cs="Times New Roman"/>
        </w:rPr>
      </w:pPr>
      <m:oMathPara>
        <m:oMath>
          <m:r>
            <w:rPr>
              <w:rFonts w:ascii="Cambria Math" w:eastAsiaTheme="minorEastAsia" w:hAnsi="Cambria Math" w:cs="Times New Roman"/>
            </w:rPr>
            <m:t>U(σ|0,100)</m:t>
          </m:r>
        </m:oMath>
      </m:oMathPara>
    </w:p>
    <w:p w:rsidR="00364746" w:rsidRDefault="00364746" w:rsidP="00364746">
      <w:pPr>
        <w:spacing w:after="0"/>
        <w:rPr>
          <w:rFonts w:ascii="Times New Roman" w:eastAsiaTheme="minorEastAsia" w:hAnsi="Times New Roman" w:cs="Times New Roman"/>
        </w:rPr>
      </w:pPr>
      <w:r>
        <w:rPr>
          <w:rFonts w:ascii="Times New Roman" w:eastAsiaTheme="minorEastAsia" w:hAnsi="Times New Roman" w:cs="Times New Roman"/>
        </w:rPr>
        <w:t>Results</w:t>
      </w:r>
    </w:p>
    <w:p w:rsidR="00364746" w:rsidRDefault="00364746" w:rsidP="00364746">
      <w:pPr>
        <w:spacing w:after="0"/>
        <w:rPr>
          <w:rFonts w:ascii="Times New Roman" w:eastAsiaTheme="minorEastAsia" w:hAnsi="Times New Roman" w:cs="Times New Roman"/>
        </w:rPr>
      </w:pPr>
    </w:p>
    <w:p w:rsidR="009D0118" w:rsidRDefault="009D0118" w:rsidP="00364746">
      <w:pPr>
        <w:spacing w:after="0"/>
        <w:rPr>
          <w:rFonts w:ascii="Times New Roman" w:eastAsiaTheme="minorEastAsia" w:hAnsi="Times New Roman" w:cs="Times New Roman"/>
        </w:rPr>
      </w:pPr>
      <w:r>
        <w:rPr>
          <w:rFonts w:ascii="Times New Roman" w:eastAsiaTheme="minorEastAsia" w:hAnsi="Times New Roman" w:cs="Times New Roman"/>
        </w:rPr>
        <w:t>We found that overa</w:t>
      </w:r>
      <w:r w:rsidR="0010157E">
        <w:rPr>
          <w:rFonts w:ascii="Times New Roman" w:eastAsiaTheme="minorEastAsia" w:hAnsi="Times New Roman" w:cs="Times New Roman"/>
        </w:rPr>
        <w:t>ll the best fitting models had constant risk (Table X), or when other models had a better DIC score, the effect of the improved fit and additional parameters did not lead to any models that suggest risk was substantially different from constant throughout life. When other risk structure models, e.g.</w:t>
      </w:r>
      <w:r w:rsidR="0010157E" w:rsidRPr="0010157E">
        <w:rPr>
          <w:rFonts w:ascii="Times New Roman" w:hAnsi="Times New Roman" w:cs="Times New Roman"/>
          <w:sz w:val="24"/>
          <w:szCs w:val="24"/>
        </w:rPr>
        <w:t xml:space="preserve"> </w:t>
      </w:r>
      <w:r w:rsidR="0010157E" w:rsidRPr="00F223B7">
        <w:rPr>
          <w:rFonts w:ascii="Times New Roman" w:hAnsi="Times New Roman" w:cs="Times New Roman"/>
          <w:sz w:val="24"/>
          <w:szCs w:val="24"/>
        </w:rPr>
        <w:t>maturing risk (</w:t>
      </w:r>
      <w:r w:rsidR="0010157E" w:rsidRPr="00F223B7">
        <w:rPr>
          <w:rFonts w:ascii="Times New Roman" w:hAnsi="Times New Roman" w:cs="Times New Roman"/>
          <w:i/>
          <w:sz w:val="24"/>
          <w:szCs w:val="24"/>
        </w:rPr>
        <w:t>l</w:t>
      </w:r>
      <w:r w:rsidR="0010157E" w:rsidRPr="00F223B7">
        <w:rPr>
          <w:rFonts w:ascii="Times New Roman" w:hAnsi="Times New Roman" w:cs="Times New Roman"/>
          <w:i/>
          <w:sz w:val="24"/>
          <w:szCs w:val="24"/>
          <w:vertAlign w:val="subscript"/>
        </w:rPr>
        <w:t>x</w:t>
      </w:r>
      <w:r w:rsidR="0010157E" w:rsidRPr="00F223B7">
        <w:rPr>
          <w:rFonts w:ascii="Times New Roman" w:hAnsi="Times New Roman" w:cs="Times New Roman"/>
          <w:sz w:val="24"/>
          <w:szCs w:val="24"/>
        </w:rPr>
        <w:t xml:space="preserve"> = </w:t>
      </w:r>
      <w:r w:rsidR="0010157E" w:rsidRPr="00F223B7">
        <w:rPr>
          <w:rFonts w:ascii="Times New Roman" w:hAnsi="Times New Roman" w:cs="Times New Roman"/>
          <w:i/>
          <w:sz w:val="24"/>
          <w:szCs w:val="24"/>
        </w:rPr>
        <w:t>l</w:t>
      </w:r>
      <w:r w:rsidR="0010157E" w:rsidRPr="00F223B7">
        <w:rPr>
          <w:rFonts w:ascii="Times New Roman" w:hAnsi="Times New Roman" w:cs="Times New Roman"/>
          <w:i/>
          <w:sz w:val="24"/>
          <w:szCs w:val="24"/>
          <w:vertAlign w:val="subscript"/>
        </w:rPr>
        <w:t>x</w:t>
      </w:r>
      <w:proofErr w:type="gramStart"/>
      <w:r w:rsidR="0010157E" w:rsidRPr="00F223B7">
        <w:rPr>
          <w:rFonts w:ascii="Times New Roman" w:hAnsi="Times New Roman" w:cs="Times New Roman"/>
          <w:i/>
          <w:sz w:val="24"/>
          <w:szCs w:val="24"/>
          <w:vertAlign w:val="subscript"/>
        </w:rPr>
        <w:t>,1</w:t>
      </w:r>
      <w:proofErr w:type="gramEnd"/>
      <w:r w:rsidR="0010157E" w:rsidRPr="00F223B7">
        <w:rPr>
          <w:rFonts w:ascii="Times New Roman" w:hAnsi="Times New Roman" w:cs="Times New Roman"/>
          <w:i/>
          <w:sz w:val="24"/>
          <w:szCs w:val="24"/>
        </w:rPr>
        <w:t xml:space="preserve"> l</w:t>
      </w:r>
      <w:r w:rsidR="0010157E" w:rsidRPr="00F223B7">
        <w:rPr>
          <w:rFonts w:ascii="Times New Roman" w:hAnsi="Times New Roman" w:cs="Times New Roman"/>
          <w:i/>
          <w:sz w:val="24"/>
          <w:szCs w:val="24"/>
          <w:vertAlign w:val="subscript"/>
        </w:rPr>
        <w:t>x,2</w:t>
      </w:r>
      <w:r w:rsidR="0010157E">
        <w:rPr>
          <w:rFonts w:ascii="Times New Roman" w:hAnsi="Times New Roman" w:cs="Times New Roman"/>
          <w:sz w:val="24"/>
          <w:szCs w:val="24"/>
        </w:rPr>
        <w:t>) or</w:t>
      </w:r>
      <w:r w:rsidR="0010157E" w:rsidRPr="00F223B7">
        <w:rPr>
          <w:rFonts w:ascii="Times New Roman" w:hAnsi="Times New Roman" w:cs="Times New Roman"/>
          <w:sz w:val="24"/>
          <w:szCs w:val="24"/>
        </w:rPr>
        <w:t xml:space="preserve"> senescing risk (</w:t>
      </w:r>
      <w:r w:rsidR="0010157E" w:rsidRPr="00F223B7">
        <w:rPr>
          <w:rFonts w:ascii="Times New Roman" w:hAnsi="Times New Roman" w:cs="Times New Roman"/>
          <w:i/>
          <w:sz w:val="24"/>
          <w:szCs w:val="24"/>
        </w:rPr>
        <w:t>l</w:t>
      </w:r>
      <w:r w:rsidR="0010157E" w:rsidRPr="00F223B7">
        <w:rPr>
          <w:rFonts w:ascii="Times New Roman" w:hAnsi="Times New Roman" w:cs="Times New Roman"/>
          <w:i/>
          <w:sz w:val="24"/>
          <w:szCs w:val="24"/>
          <w:vertAlign w:val="subscript"/>
        </w:rPr>
        <w:t>x</w:t>
      </w:r>
      <w:r w:rsidR="0010157E" w:rsidRPr="00F223B7">
        <w:rPr>
          <w:rFonts w:ascii="Times New Roman" w:hAnsi="Times New Roman" w:cs="Times New Roman"/>
          <w:sz w:val="24"/>
          <w:szCs w:val="24"/>
        </w:rPr>
        <w:t xml:space="preserve"> = </w:t>
      </w:r>
      <w:r w:rsidR="0010157E" w:rsidRPr="00F223B7">
        <w:rPr>
          <w:rFonts w:ascii="Times New Roman" w:hAnsi="Times New Roman" w:cs="Times New Roman"/>
          <w:i/>
          <w:sz w:val="24"/>
          <w:szCs w:val="24"/>
        </w:rPr>
        <w:t>l</w:t>
      </w:r>
      <w:r w:rsidR="0010157E" w:rsidRPr="00F223B7">
        <w:rPr>
          <w:rFonts w:ascii="Times New Roman" w:hAnsi="Times New Roman" w:cs="Times New Roman"/>
          <w:i/>
          <w:sz w:val="24"/>
          <w:szCs w:val="24"/>
          <w:vertAlign w:val="subscript"/>
        </w:rPr>
        <w:t>x,2</w:t>
      </w:r>
      <w:r w:rsidR="0010157E" w:rsidRPr="00F223B7">
        <w:rPr>
          <w:rFonts w:ascii="Times New Roman" w:hAnsi="Times New Roman" w:cs="Times New Roman"/>
          <w:i/>
          <w:sz w:val="24"/>
          <w:szCs w:val="24"/>
        </w:rPr>
        <w:t xml:space="preserve"> l</w:t>
      </w:r>
      <w:r w:rsidR="0010157E" w:rsidRPr="00F223B7">
        <w:rPr>
          <w:rFonts w:ascii="Times New Roman" w:hAnsi="Times New Roman" w:cs="Times New Roman"/>
          <w:i/>
          <w:sz w:val="24"/>
          <w:szCs w:val="24"/>
          <w:vertAlign w:val="subscript"/>
        </w:rPr>
        <w:t>x,3</w:t>
      </w:r>
      <w:r w:rsidR="0010157E">
        <w:rPr>
          <w:rFonts w:ascii="Times New Roman" w:hAnsi="Times New Roman" w:cs="Times New Roman"/>
          <w:sz w:val="24"/>
          <w:szCs w:val="24"/>
        </w:rPr>
        <w:t xml:space="preserve">) </w:t>
      </w:r>
      <w:r w:rsidR="0010157E">
        <w:rPr>
          <w:rFonts w:ascii="Times New Roman" w:eastAsiaTheme="minorEastAsia" w:hAnsi="Times New Roman" w:cs="Times New Roman"/>
        </w:rPr>
        <w:t>had a better (i.e. smaller) DIC (Table X), the effect on survival across ages was minimal (Figures X, Y and Z).</w:t>
      </w:r>
    </w:p>
    <w:p w:rsidR="0010157E" w:rsidRDefault="0010157E" w:rsidP="00364746">
      <w:pPr>
        <w:spacing w:after="0"/>
        <w:rPr>
          <w:rFonts w:ascii="Times New Roman" w:eastAsiaTheme="minorEastAsia" w:hAnsi="Times New Roman" w:cs="Times New Roman"/>
        </w:rPr>
      </w:pPr>
    </w:p>
    <w:p w:rsidR="0010157E" w:rsidRDefault="0010157E" w:rsidP="00364746">
      <w:pPr>
        <w:spacing w:after="0"/>
        <w:rPr>
          <w:rFonts w:ascii="Times New Roman" w:eastAsiaTheme="minorEastAsia" w:hAnsi="Times New Roman" w:cs="Times New Roman"/>
        </w:rPr>
      </w:pPr>
      <w:r>
        <w:rPr>
          <w:rFonts w:ascii="Times New Roman" w:eastAsiaTheme="minorEastAsia" w:hAnsi="Times New Roman" w:cs="Times New Roman"/>
        </w:rPr>
        <w:t xml:space="preserve">Blah </w:t>
      </w:r>
      <w:proofErr w:type="spellStart"/>
      <w:r>
        <w:rPr>
          <w:rFonts w:ascii="Times New Roman" w:eastAsiaTheme="minorEastAsia" w:hAnsi="Times New Roman" w:cs="Times New Roman"/>
        </w:rPr>
        <w:t>blah</w:t>
      </w:r>
      <w:proofErr w:type="spellEnd"/>
      <w:r>
        <w:rPr>
          <w:rFonts w:ascii="Times New Roman" w:eastAsiaTheme="minorEastAsia" w:hAnsi="Times New Roman" w:cs="Times New Roman"/>
        </w:rPr>
        <w:t>…</w:t>
      </w:r>
    </w:p>
    <w:p w:rsidR="009D0118" w:rsidRDefault="009D0118" w:rsidP="00364746">
      <w:pPr>
        <w:spacing w:after="0"/>
        <w:rPr>
          <w:rFonts w:ascii="Times New Roman" w:eastAsiaTheme="minorEastAsia" w:hAnsi="Times New Roman" w:cs="Times New Roman"/>
        </w:rPr>
      </w:pPr>
    </w:p>
    <w:p w:rsidR="00364746" w:rsidRDefault="00ED7A42" w:rsidP="004B242C">
      <w:pPr>
        <w:rPr>
          <w:rFonts w:ascii="Times New Roman" w:hAnsi="Times New Roman" w:cs="Times New Roman"/>
        </w:rPr>
      </w:pPr>
      <w:r>
        <w:rPr>
          <w:rFonts w:ascii="Times New Roman" w:hAnsi="Times New Roman" w:cs="Times New Roman"/>
        </w:rPr>
        <w:t>DIC table</w:t>
      </w:r>
    </w:p>
    <w:p w:rsidR="00CA3732" w:rsidRDefault="00CA3732" w:rsidP="004B242C">
      <w:pPr>
        <w:rPr>
          <w:rFonts w:ascii="Times New Roman" w:hAnsi="Times New Roman" w:cs="Times New Roman"/>
        </w:rPr>
      </w:pPr>
    </w:p>
    <w:p w:rsidR="00ED7A42" w:rsidRDefault="00ED7A42" w:rsidP="004B242C">
      <w:pPr>
        <w:rPr>
          <w:rFonts w:ascii="Times New Roman" w:hAnsi="Times New Roman" w:cs="Times New Roman"/>
        </w:rPr>
      </w:pPr>
      <w:r>
        <w:rPr>
          <w:rFonts w:ascii="Times New Roman" w:hAnsi="Times New Roman" w:cs="Times New Roman"/>
        </w:rPr>
        <w:t>Figures</w:t>
      </w:r>
    </w:p>
    <w:p w:rsidR="00ED7A42" w:rsidRDefault="00ED7A42" w:rsidP="004B242C">
      <w:pPr>
        <w:rPr>
          <w:rFonts w:ascii="Times New Roman" w:hAnsi="Times New Roman" w:cs="Times New Roman"/>
        </w:rPr>
      </w:pPr>
    </w:p>
    <w:p w:rsidR="00D10760" w:rsidRPr="00F223B7" w:rsidRDefault="00D10760" w:rsidP="004B242C">
      <w:pPr>
        <w:rPr>
          <w:rFonts w:ascii="Times New Roman" w:hAnsi="Times New Roman" w:cs="Times New Roman"/>
        </w:rPr>
      </w:pPr>
      <w:r w:rsidRPr="00F223B7">
        <w:rPr>
          <w:rFonts w:ascii="Times New Roman" w:hAnsi="Times New Roman" w:cs="Times New Roman"/>
        </w:rPr>
        <w:t>Discussion</w:t>
      </w:r>
    </w:p>
    <w:p w:rsidR="004932AE" w:rsidRPr="00F223B7" w:rsidRDefault="004932AE" w:rsidP="004B242C">
      <w:pPr>
        <w:rPr>
          <w:rFonts w:ascii="Times New Roman" w:hAnsi="Times New Roman" w:cs="Times New Roman"/>
        </w:rPr>
      </w:pPr>
      <w:r w:rsidRPr="00F223B7">
        <w:rPr>
          <w:rFonts w:ascii="Times New Roman" w:hAnsi="Times New Roman" w:cs="Times New Roman"/>
        </w:rPr>
        <w:t>Compare DIC, even though in X cases DIC suggests another model fits better, the effect is marginal (see figures X). Thus, we conclude that constant mortality risk is likely true across all populations.</w:t>
      </w:r>
    </w:p>
    <w:p w:rsidR="004932AE" w:rsidRPr="00F223B7" w:rsidRDefault="004932AE" w:rsidP="004B242C">
      <w:pPr>
        <w:rPr>
          <w:rFonts w:ascii="Times New Roman" w:hAnsi="Times New Roman" w:cs="Times New Roman"/>
        </w:rPr>
      </w:pPr>
      <w:r w:rsidRPr="00F223B7">
        <w:rPr>
          <w:rFonts w:ascii="Times New Roman" w:hAnsi="Times New Roman" w:cs="Times New Roman"/>
        </w:rPr>
        <w:t>Explanation of the const</w:t>
      </w:r>
      <w:r w:rsidR="00D10760" w:rsidRPr="00F223B7">
        <w:rPr>
          <w:rFonts w:ascii="Times New Roman" w:hAnsi="Times New Roman" w:cs="Times New Roman"/>
        </w:rPr>
        <w:t>ant risk</w:t>
      </w:r>
      <w:r w:rsidRPr="00F223B7">
        <w:rPr>
          <w:rFonts w:ascii="Times New Roman" w:hAnsi="Times New Roman" w:cs="Times New Roman"/>
        </w:rPr>
        <w:t xml:space="preserve">: </w:t>
      </w:r>
      <w:r w:rsidR="00D10760" w:rsidRPr="00F223B7">
        <w:rPr>
          <w:rFonts w:ascii="Times New Roman" w:hAnsi="Times New Roman" w:cs="Times New Roman"/>
        </w:rPr>
        <w:t>Likely population connectivity spreads risk, but equally non-targeted</w:t>
      </w:r>
      <w:r w:rsidRPr="00F223B7">
        <w:rPr>
          <w:rFonts w:ascii="Times New Roman" w:hAnsi="Times New Roman" w:cs="Times New Roman"/>
        </w:rPr>
        <w:t xml:space="preserve"> hunting may account for this.</w:t>
      </w:r>
      <w:bookmarkStart w:id="0" w:name="_GoBack"/>
      <w:bookmarkEnd w:id="0"/>
    </w:p>
    <w:p w:rsidR="00B80188" w:rsidRPr="00F223B7" w:rsidRDefault="00D10760" w:rsidP="004B242C">
      <w:pPr>
        <w:rPr>
          <w:rFonts w:ascii="Times New Roman" w:hAnsi="Times New Roman" w:cs="Times New Roman"/>
        </w:rPr>
      </w:pPr>
      <w:r w:rsidRPr="00F223B7">
        <w:rPr>
          <w:rFonts w:ascii="Times New Roman" w:hAnsi="Times New Roman" w:cs="Times New Roman"/>
        </w:rPr>
        <w:t xml:space="preserve"> </w:t>
      </w:r>
      <w:r w:rsidR="004B242C" w:rsidRPr="00F223B7">
        <w:rPr>
          <w:rFonts w:ascii="Times New Roman" w:hAnsi="Times New Roman" w:cs="Times New Roman"/>
        </w:rPr>
        <w:t xml:space="preserve">    </w:t>
      </w:r>
    </w:p>
    <w:sectPr w:rsidR="00B80188" w:rsidRPr="00F2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42C"/>
    <w:rsid w:val="0010157E"/>
    <w:rsid w:val="00135F15"/>
    <w:rsid w:val="00364746"/>
    <w:rsid w:val="003B1160"/>
    <w:rsid w:val="004932AE"/>
    <w:rsid w:val="004B242C"/>
    <w:rsid w:val="00880FB7"/>
    <w:rsid w:val="009D0118"/>
    <w:rsid w:val="00A30E22"/>
    <w:rsid w:val="00B80188"/>
    <w:rsid w:val="00C37B5B"/>
    <w:rsid w:val="00CA3732"/>
    <w:rsid w:val="00D10760"/>
    <w:rsid w:val="00ED7A42"/>
    <w:rsid w:val="00F223B7"/>
    <w:rsid w:val="00FD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E"/>
    <w:rPr>
      <w:rFonts w:ascii="Tahoma" w:hAnsi="Tahoma" w:cs="Tahoma"/>
      <w:sz w:val="16"/>
      <w:szCs w:val="16"/>
    </w:rPr>
  </w:style>
  <w:style w:type="paragraph" w:styleId="NoSpacing">
    <w:name w:val="No Spacing"/>
    <w:uiPriority w:val="1"/>
    <w:qFormat/>
    <w:rsid w:val="003B1160"/>
    <w:pPr>
      <w:spacing w:after="0" w:line="240" w:lineRule="auto"/>
    </w:pPr>
    <w:rPr>
      <w:rFonts w:eastAsiaTheme="minorEastAsia"/>
    </w:rPr>
  </w:style>
  <w:style w:type="character" w:styleId="PlaceholderText">
    <w:name w:val="Placeholder Text"/>
    <w:basedOn w:val="DefaultParagraphFont"/>
    <w:uiPriority w:val="99"/>
    <w:semiHidden/>
    <w:rsid w:val="003B11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E"/>
    <w:rPr>
      <w:rFonts w:ascii="Tahoma" w:hAnsi="Tahoma" w:cs="Tahoma"/>
      <w:sz w:val="16"/>
      <w:szCs w:val="16"/>
    </w:rPr>
  </w:style>
  <w:style w:type="paragraph" w:styleId="NoSpacing">
    <w:name w:val="No Spacing"/>
    <w:uiPriority w:val="1"/>
    <w:qFormat/>
    <w:rsid w:val="003B1160"/>
    <w:pPr>
      <w:spacing w:after="0" w:line="240" w:lineRule="auto"/>
    </w:pPr>
    <w:rPr>
      <w:rFonts w:eastAsiaTheme="minorEastAsia"/>
    </w:rPr>
  </w:style>
  <w:style w:type="character" w:styleId="PlaceholderText">
    <w:name w:val="Placeholder Text"/>
    <w:basedOn w:val="DefaultParagraphFont"/>
    <w:uiPriority w:val="99"/>
    <w:semiHidden/>
    <w:rsid w:val="003B11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Hayman</dc:creator>
  <cp:lastModifiedBy>Hayman, David</cp:lastModifiedBy>
  <cp:revision>7</cp:revision>
  <dcterms:created xsi:type="dcterms:W3CDTF">2014-03-28T04:05:00Z</dcterms:created>
  <dcterms:modified xsi:type="dcterms:W3CDTF">2014-04-02T03:51:00Z</dcterms:modified>
</cp:coreProperties>
</file>