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proofErr w:type="gramStart"/>
      <w:r>
        <w:t>sous</w:t>
      </w:r>
      <w:proofErr w:type="gramEnd"/>
      <w:r>
        <w:t xml:space="preserve">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w:t>
      </w:r>
      <w:proofErr w:type="gramStart"/>
      <w:r>
        <w:t>email</w:t>
      </w:r>
      <w:proofErr w:type="gramEnd"/>
      <w:r>
        <w:t xml:space="preserve">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009C1BDF" w:rsidR="00621C11" w:rsidRPr="00D15AFC" w:rsidRDefault="00621C11" w:rsidP="00621C11">
            <w:pPr>
              <w:spacing w:before="240"/>
            </w:pPr>
            <w:r w:rsidRPr="00D15AFC">
              <w:t xml:space="preserve">Nom de l’entreprise : </w:t>
            </w:r>
            <w:r w:rsidR="00761907" w:rsidRPr="00183A6E">
              <w:rPr>
                <w:highlight w:val="yellow"/>
              </w:rPr>
              <w:t>{nom}</w:t>
            </w:r>
          </w:p>
          <w:p w14:paraId="493B0B27" w14:textId="75A01FB1" w:rsidR="00233845" w:rsidRDefault="00621C11" w:rsidP="00621C11">
            <w:r w:rsidRPr="00D15AFC">
              <w:t xml:space="preserve">Adresse du siège social : </w:t>
            </w:r>
            <w:r w:rsidR="00761907" w:rsidRPr="00183A6E">
              <w:rPr>
                <w:highlight w:val="yellow"/>
              </w:rPr>
              <w:t>{adresse}{</w:t>
            </w:r>
            <w:proofErr w:type="spellStart"/>
            <w:r w:rsidR="00761907" w:rsidRPr="00183A6E">
              <w:rPr>
                <w:highlight w:val="yellow"/>
              </w:rPr>
              <w:t>cp</w:t>
            </w:r>
            <w:proofErr w:type="spellEnd"/>
            <w:r w:rsidR="00761907" w:rsidRPr="00183A6E">
              <w:rPr>
                <w:highlight w:val="yellow"/>
              </w:rPr>
              <w:t>}{ville}</w:t>
            </w:r>
          </w:p>
          <w:p w14:paraId="565CAEE0" w14:textId="6F929D35" w:rsidR="00621C11" w:rsidRDefault="00621C11" w:rsidP="00621C11">
            <w:r>
              <w:t xml:space="preserve">N°SIRET : </w:t>
            </w:r>
            <w:r w:rsidR="00761907" w:rsidRPr="00183A6E">
              <w:rPr>
                <w:highlight w:val="yellow"/>
              </w:rPr>
              <w:t>{</w:t>
            </w:r>
            <w:proofErr w:type="spellStart"/>
            <w:r w:rsidR="00761907" w:rsidRPr="00183A6E">
              <w:rPr>
                <w:highlight w:val="yellow"/>
              </w:rPr>
              <w:t>siret</w:t>
            </w:r>
            <w:proofErr w:type="spellEnd"/>
            <w:r w:rsidR="00761907" w:rsidRPr="00183A6E">
              <w:rPr>
                <w:highlight w:val="yellow"/>
              </w:rPr>
              <w:t>}</w:t>
            </w:r>
          </w:p>
          <w:p w14:paraId="77E91DD8" w14:textId="405DAC8B" w:rsidR="00233845" w:rsidRDefault="00621C11" w:rsidP="00621C11">
            <w:r>
              <w:t xml:space="preserve">Activité : </w:t>
            </w:r>
            <w:r w:rsidR="00761907" w:rsidRPr="00183A6E">
              <w:rPr>
                <w:highlight w:val="yellow"/>
              </w:rPr>
              <w:t>{</w:t>
            </w:r>
            <w:proofErr w:type="spellStart"/>
            <w:r w:rsidR="00761907" w:rsidRPr="00183A6E">
              <w:rPr>
                <w:highlight w:val="yellow"/>
              </w:rPr>
              <w:t>activite</w:t>
            </w:r>
            <w:proofErr w:type="spellEnd"/>
            <w:r w:rsidR="00761907" w:rsidRPr="00183A6E">
              <w:rPr>
                <w:highlight w:val="yellow"/>
              </w:rPr>
              <w:t>}</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lastRenderedPageBreak/>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39697F1F"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camionnette}</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w:t>
      </w:r>
      <w:proofErr w:type="spellStart"/>
      <w:r w:rsidR="00183A6E" w:rsidRPr="00183A6E">
        <w:rPr>
          <w:bCs/>
          <w:highlight w:val="yellow"/>
        </w:rPr>
        <w:t>deuxroues</w:t>
      </w:r>
      <w:proofErr w:type="spellEnd"/>
      <w:r w:rsidR="00183A6E" w:rsidRPr="00183A6E">
        <w:rPr>
          <w:bCs/>
          <w:highlight w:val="yellow"/>
        </w:rPr>
        <w:t>}</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217E8ACB"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{courtier}</w:t>
      </w:r>
      <w:r>
        <w:t>.</w:t>
      </w:r>
    </w:p>
    <w:p w14:paraId="39D2F2E5" w14:textId="77777777" w:rsidR="00621C11" w:rsidRDefault="00621C11" w:rsidP="00621C11">
      <w:pPr>
        <w:spacing w:after="0"/>
        <w:jc w:val="both"/>
      </w:pPr>
    </w:p>
    <w:p w14:paraId="6CBD1E05" w14:textId="370B4058" w:rsidR="00621C11" w:rsidRDefault="00621C11" w:rsidP="00621C11">
      <w:pPr>
        <w:spacing w:after="0"/>
        <w:jc w:val="both"/>
      </w:pPr>
      <w:r w:rsidRPr="00DE211C">
        <w:t>Ce contrat s’appliquera</w:t>
      </w:r>
      <w:r>
        <w:t xml:space="preserve"> à</w:t>
      </w:r>
      <w:r w:rsidRPr="00DE211C">
        <w:t xml:space="preserve"> </w:t>
      </w:r>
      <w:r w:rsidR="00183A6E">
        <w:t xml:space="preserve">{nom} </w:t>
      </w:r>
      <w:r>
        <w:t xml:space="preserve">et comporte les principales </w:t>
      </w:r>
      <w:r w:rsidR="00280D09">
        <w:t>caractéristiques suivantes</w:t>
      </w:r>
      <w:r>
        <w:t>, répondant spécifiquement aux besoins que vous avez exprimés ci-dessus :</w:t>
      </w:r>
    </w:p>
    <w:p w14:paraId="2E35960F" w14:textId="5A04C285" w:rsidR="00621C11" w:rsidRDefault="00233845" w:rsidP="00621C11">
      <w:pPr>
        <w:pStyle w:val="Paragraphedeliste"/>
        <w:numPr>
          <w:ilvl w:val="0"/>
          <w:numId w:val="11"/>
        </w:numPr>
        <w:spacing w:after="0"/>
        <w:jc w:val="both"/>
      </w:pPr>
      <w:r>
        <w:t xml:space="preserve">Couverture obligatoire des véhicules </w:t>
      </w:r>
      <w:r w:rsidR="00183A6E">
        <w:t>{nom}</w:t>
      </w:r>
      <w:r w:rsidR="00183A6E">
        <w:t>,</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lastRenderedPageBreak/>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w:t>
      </w:r>
      <w:proofErr w:type="spellStart"/>
      <w:r w:rsidR="00102C66" w:rsidRPr="004C4D67">
        <w:rPr>
          <w:b/>
          <w:i/>
        </w:rPr>
        <w:t>sez</w:t>
      </w:r>
      <w:proofErr w:type="spellEnd"/>
      <w:r w:rsidR="00102C66" w:rsidRPr="004C4D67">
        <w:rPr>
          <w:b/>
          <w:i/>
        </w:rPr>
        <w:t xml:space="preserve">)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475F4CB1">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lastRenderedPageBreak/>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w:t>
    </w:r>
    <w:proofErr w:type="gramStart"/>
    <w:r w:rsidRPr="00BE5133">
      <w:rPr>
        <w:rFonts w:ascii="Arial" w:hAnsi="Arial"/>
        <w:color w:val="262626"/>
        <w:sz w:val="13"/>
        <w:szCs w:val="13"/>
      </w:rPr>
      <w:t xml:space="preserve">social  </w:t>
    </w:r>
    <w:r w:rsidRPr="002550A1">
      <w:rPr>
        <w:rFonts w:ascii="Arial" w:hAnsi="Arial"/>
        <w:color w:val="262626"/>
        <w:sz w:val="13"/>
        <w:szCs w:val="13"/>
      </w:rPr>
      <w:t>|</w:t>
    </w:r>
    <w:proofErr w:type="gramEnd"/>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proofErr w:type="gramStart"/>
    <w:r w:rsidRPr="00BE5133">
      <w:rPr>
        <w:rFonts w:ascii="Arial" w:hAnsi="Arial"/>
        <w:b/>
        <w:color w:val="262626"/>
        <w:sz w:val="13"/>
        <w:szCs w:val="13"/>
      </w:rPr>
      <w:t>t</w:t>
    </w:r>
    <w:proofErr w:type="gramEnd"/>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w:t>
    </w:r>
    <w:proofErr w:type="gramStart"/>
    <w:r w:rsidRPr="00BE5133">
      <w:rPr>
        <w:rFonts w:ascii="Arial" w:hAnsi="Arial"/>
        <w:color w:val="262626"/>
        <w:sz w:val="13"/>
        <w:szCs w:val="13"/>
      </w:rPr>
      <w:t xml:space="preserve">euros  </w:t>
    </w:r>
    <w:r w:rsidRPr="002550A1">
      <w:rPr>
        <w:rFonts w:ascii="Arial" w:hAnsi="Arial"/>
        <w:color w:val="262626"/>
        <w:sz w:val="13"/>
        <w:szCs w:val="13"/>
      </w:rPr>
      <w:t>|</w:t>
    </w:r>
    <w:proofErr w:type="gramEnd"/>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27281"/>
    <w:rsid w:val="001572E2"/>
    <w:rsid w:val="001654C3"/>
    <w:rsid w:val="0016651B"/>
    <w:rsid w:val="00174108"/>
    <w:rsid w:val="00180430"/>
    <w:rsid w:val="00183A6E"/>
    <w:rsid w:val="001A3B47"/>
    <w:rsid w:val="001E14E4"/>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B7380"/>
    <w:rsid w:val="00BB78CA"/>
    <w:rsid w:val="00BB7D59"/>
    <w:rsid w:val="00BC7DB1"/>
    <w:rsid w:val="00BD2EF8"/>
    <w:rsid w:val="00BD7F15"/>
    <w:rsid w:val="00BD7F7B"/>
    <w:rsid w:val="00BE521B"/>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3.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4.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864</Words>
  <Characters>4754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7</cp:revision>
  <cp:lastPrinted>2019-03-08T13:19:00Z</cp:lastPrinted>
  <dcterms:created xsi:type="dcterms:W3CDTF">2025-03-07T15:36:00Z</dcterms:created>
  <dcterms:modified xsi:type="dcterms:W3CDTF">2025-03-24T12:57:00Z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