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Calibri" w:cs="Calibri" w:eastAsia="Calibri" w:hAnsi="Calibri"/>
          <w:b/>
          <w:bCs/>
          <w:color w:val="1F3864"/>
          <w:sz w:val="32"/>
          <w:szCs w:val="32"/>
        </w:rPr>
        <w:t xml:space="preserve">PHẢN BIỆN TOÀN DIỆN BẢN THẢO SRS – RIKKEITRAVEL</w:t>
      </w:r>
    </w:p>
    <w:p>
      <w:pPr>
        <w:spacing w:after="300"/>
      </w:pPr>
      <w:r>
        <w:rPr>
          <w:rFonts w:ascii="Calibri" w:cs="Calibri" w:eastAsia="Calibri" w:hAnsi="Calibri"/>
          <w:i/>
          <w:iCs/>
          <w:color w:val="595959"/>
          <w:sz w:val="22"/>
          <w:szCs w:val="22"/>
        </w:rPr>
        <w:t xml:space="preserve">Phân hệ: Đặt tour trọn gói  |  Vai trò: Peer Reviewer  |  Chuẩn tham chiếu: IEEE 830</w:t>
      </w:r>
    </w:p>
    <w:p>
      <w:pPr>
        <w:pStyle w:val="Heading1"/>
        <w:spacing w:after="160" w:before="320"/>
      </w:pPr>
      <w:r>
        <w:rPr>
          <w:rFonts w:ascii="Calibri" w:cs="Calibri" w:eastAsia="Calibri" w:hAnsi="Calibri"/>
          <w:b/>
          <w:bCs/>
          <w:color w:val="1F3864"/>
          <w:sz w:val="28"/>
          <w:szCs w:val="28"/>
        </w:rPr>
        <w:t xml:space="preserve">Bước 1 — Bảng lỗi phát hiện</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700"/>
        <w:gridCol w:w="3600"/>
      </w:tblGrid>
      <w:tr>
        <w:trPr>
          <w:tblHeader/>
        </w:trPr>
        <w:tc>
          <w:tcPr>
            <w:tcW w:type="dxa" w:w="500"/>
            <w:shd w:fill="2F5496" w:val="clear"/>
            <w:tcMar>
              <w:top w:type="dxa" w:w="80"/>
              <w:left w:type="dxa" w:w="100"/>
              <w:bottom w:type="dxa" w:w="80"/>
              <w:right w:type="dxa" w:w="100"/>
            </w:tcMar>
            <w:vAlign w:val="center"/>
          </w:tcPr>
          <w:p>
            <w:pPr>
              <w:spacing w:after="40"/>
            </w:pPr>
            <w:r>
              <w:rPr>
                <w:rFonts w:ascii="Calibri" w:cs="Calibri" w:eastAsia="Calibri" w:hAnsi="Calibri"/>
                <w:b/>
                <w:bCs/>
                <w:i w:val="false"/>
                <w:iCs w:val="false"/>
                <w:color w:val="FFFFFF"/>
                <w:sz w:val="21"/>
                <w:szCs w:val="21"/>
              </w:rPr>
              <w:t xml:space="preserve">STT</w:t>
            </w:r>
          </w:p>
        </w:tc>
        <w:tc>
          <w:tcPr>
            <w:tcW w:type="dxa" w:w="3300"/>
            <w:shd w:fill="2F5496" w:val="clear"/>
            <w:tcMar>
              <w:top w:type="dxa" w:w="80"/>
              <w:left w:type="dxa" w:w="100"/>
              <w:bottom w:type="dxa" w:w="80"/>
              <w:right w:type="dxa" w:w="100"/>
            </w:tcMar>
            <w:vAlign w:val="center"/>
          </w:tcPr>
          <w:p>
            <w:pPr>
              <w:spacing w:after="40"/>
            </w:pPr>
            <w:r>
              <w:rPr>
                <w:rFonts w:ascii="Calibri" w:cs="Calibri" w:eastAsia="Calibri" w:hAnsi="Calibri"/>
                <w:b/>
                <w:bCs/>
                <w:i w:val="false"/>
                <w:iCs w:val="false"/>
                <w:color w:val="FFFFFF"/>
                <w:sz w:val="21"/>
                <w:szCs w:val="21"/>
              </w:rPr>
              <w:t xml:space="preserve">Nội dung lỗi</w:t>
            </w:r>
          </w:p>
        </w:tc>
        <w:tc>
          <w:tcPr>
            <w:tcW w:type="dxa" w:w="2700"/>
            <w:shd w:fill="2F5496" w:val="clear"/>
            <w:tcMar>
              <w:top w:type="dxa" w:w="80"/>
              <w:left w:type="dxa" w:w="100"/>
              <w:bottom w:type="dxa" w:w="80"/>
              <w:right w:type="dxa" w:w="100"/>
            </w:tcMar>
            <w:vAlign w:val="center"/>
          </w:tcPr>
          <w:p>
            <w:pPr>
              <w:spacing w:after="40"/>
            </w:pPr>
            <w:r>
              <w:rPr>
                <w:rFonts w:ascii="Calibri" w:cs="Calibri" w:eastAsia="Calibri" w:hAnsi="Calibri"/>
                <w:b/>
                <w:bCs/>
                <w:i w:val="false"/>
                <w:iCs w:val="false"/>
                <w:color w:val="FFFFFF"/>
                <w:sz w:val="21"/>
                <w:szCs w:val="21"/>
              </w:rPr>
              <w:t xml:space="preserve">Phân loại lỗi</w:t>
            </w:r>
          </w:p>
        </w:tc>
        <w:tc>
          <w:tcPr>
            <w:tcW w:type="dxa" w:w="3600"/>
            <w:shd w:fill="2F5496" w:val="clear"/>
            <w:tcMar>
              <w:top w:type="dxa" w:w="80"/>
              <w:left w:type="dxa" w:w="100"/>
              <w:bottom w:type="dxa" w:w="80"/>
              <w:right w:type="dxa" w:w="100"/>
            </w:tcMar>
            <w:vAlign w:val="center"/>
          </w:tcPr>
          <w:p>
            <w:pPr>
              <w:spacing w:after="40"/>
            </w:pPr>
            <w:r>
              <w:rPr>
                <w:rFonts w:ascii="Calibri" w:cs="Calibri" w:eastAsia="Calibri" w:hAnsi="Calibri"/>
                <w:b/>
                <w:bCs/>
                <w:i w:val="false"/>
                <w:iCs w:val="false"/>
                <w:color w:val="FFFFFF"/>
                <w:sz w:val="21"/>
                <w:szCs w:val="21"/>
              </w:rPr>
              <w:t xml:space="preserve">Vị trí đúng / cách khắc phục</w:t>
            </w:r>
          </w:p>
        </w:tc>
      </w:tr>
      <w:tr>
        <w:tc>
          <w:tcPr>
            <w:tcW w:type="dxa" w:w="5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1</w:t>
            </w:r>
          </w:p>
        </w:tc>
        <w:tc>
          <w:tcPr>
            <w:tcW w:type="dxa" w:w="33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Danh sách Actor (Nhân viên đặt tour, Điều phối viên) và Use Case được đặt trong mục [2.4 Constraints].</w:t>
            </w:r>
          </w:p>
        </w:tc>
        <w:tc>
          <w:tcPr>
            <w:tcW w:type="dxa" w:w="27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Sai vị trí IEEE 830</w:t>
            </w:r>
          </w:p>
        </w:tc>
        <w:tc>
          <w:tcPr>
            <w:tcW w:type="dxa" w:w="36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Chuyển sang Chương 2 – Overall Description, mục 2.2 Product Functions. Đây là mô tả tổng quan tác nhân/chức năng, không phải một ràng buộc (constraint) của hệ thống.</w:t>
            </w:r>
          </w:p>
        </w:tc>
      </w:tr>
      <w:tr>
        <w:tc>
          <w:tcPr>
            <w:tcW w:type="dxa" w:w="5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2</w:t>
            </w:r>
          </w:p>
        </w:tc>
        <w:tc>
          <w:tcPr>
            <w:tcW w:type="dxa" w:w="33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Sơ đồ ERD (Yêu cầu đặt tour – Báo giá – Hợp đồng) được đặt trong mục [1.3 Definitions].</w:t>
            </w:r>
          </w:p>
        </w:tc>
        <w:tc>
          <w:tcPr>
            <w:tcW w:type="dxa" w:w="27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Sai vị trí IEEE 830</w:t>
            </w:r>
          </w:p>
        </w:tc>
        <w:tc>
          <w:tcPr>
            <w:tcW w:type="dxa" w:w="36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Chuyển sang Chương 3 – Specific Requirements, mục 3.4 Logical Database Requirements. 1.3 chỉ dùng để định nghĩa thuật ngữ/từ viết tắt, không phải nơi đặt mô hình dữ liệu.</w:t>
            </w:r>
          </w:p>
        </w:tc>
      </w:tr>
      <w:tr>
        <w:tc>
          <w:tcPr>
            <w:tcW w:type="dxa" w:w="5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3</w:t>
            </w:r>
          </w:p>
        </w:tc>
        <w:tc>
          <w:tcPr>
            <w:tcW w:type="dxa" w:w="33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REQ-21: "phản hồi báo giá... một cách nhanh chóng" — không có ngưỡng thời gian cụ thể.</w:t>
            </w:r>
          </w:p>
        </w:tc>
        <w:tc>
          <w:tcPr>
            <w:tcW w:type="dxa" w:w="27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Vi phạm đặc tính vàng: Verifiable (Có thể kiểm chứng)</w:t>
            </w:r>
          </w:p>
        </w:tc>
        <w:tc>
          <w:tcPr>
            <w:tcW w:type="dxa" w:w="36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Viết lại với chỉ số thời gian và điều kiện đo lường cụ thể (xem Bước 2, mục 3.2).</w:t>
            </w:r>
          </w:p>
        </w:tc>
      </w:tr>
      <w:tr>
        <w:tc>
          <w:tcPr>
            <w:tcW w:type="dxa" w:w="5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4</w:t>
            </w:r>
          </w:p>
        </w:tc>
        <w:tc>
          <w:tcPr>
            <w:tcW w:type="dxa" w:w="33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REQ-23 ("Điều phối viên có thể chỉnh sửa báo giá bất kỳ lúc nào, kể cả sau khi xác nhận thanh toán") mâu thuẫn trực tiếp với REQ-24 ("Sau khi xác nhận thanh toán, báo giá bị khóa, không ai được chỉnh sửa").</w:t>
            </w:r>
          </w:p>
        </w:tc>
        <w:tc>
          <w:tcPr>
            <w:tcW w:type="dxa" w:w="27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Vi phạm đặc tính vàng: Consistent (Nhất quán)</w:t>
            </w:r>
          </w:p>
        </w:tc>
        <w:tc>
          <w:tcPr>
            <w:tcW w:type="dxa" w:w="36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Hợp nhất thành một quy tắc nghiệp vụ duy nhất, loại bỏ quy tắc đối lập, áp dụng thống nhất toàn tài liệu (xem Bước 2, mục 3.2 – quy tắc hợp nhất).</w:t>
            </w:r>
          </w:p>
        </w:tc>
      </w:tr>
      <w:tr>
        <w:tc>
          <w:tcPr>
            <w:tcW w:type="dxa" w:w="5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5</w:t>
            </w:r>
          </w:p>
        </w:tc>
        <w:tc>
          <w:tcPr>
            <w:tcW w:type="dxa" w:w="33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REQ-25 ("tính năng xuất PDF có thể được cân nhắc bổ sung sau, tùy nguồn lực") không có mức độ ưu tiên/lộ trình rõ ràng.</w:t>
            </w:r>
          </w:p>
        </w:tc>
        <w:tc>
          <w:tcPr>
            <w:tcW w:type="dxa" w:w="27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Vi phạm đặc tính vàng: Ranked for Importance and Stability (Được xếp hạng mức độ ưu tiên)</w:t>
            </w:r>
          </w:p>
        </w:tc>
        <w:tc>
          <w:tcPr>
            <w:tcW w:type="dxa" w:w="36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Gán priority cụ thể theo thang MoSCoW và lộ trình triển khai rõ ràng (xem Bước 2, mục 3.2).</w:t>
            </w:r>
          </w:p>
        </w:tc>
      </w:tr>
      <w:tr>
        <w:tc>
          <w:tcPr>
            <w:tcW w:type="dxa" w:w="5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6</w:t>
            </w:r>
          </w:p>
        </w:tc>
        <w:tc>
          <w:tcPr>
            <w:tcW w:type="dxa" w:w="33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REQ-22 chỉ mô tả trường hợp khách hàng thanh toán đủ 100%, chưa nêu các tình huống thanh toán một phần (đặt cọc) hoặc quá hạn thanh toán.</w:t>
            </w:r>
          </w:p>
        </w:tc>
        <w:tc>
          <w:tcPr>
            <w:tcW w:type="dxa" w:w="27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Vi phạm đặc tính vàng: Complete (Đầy đủ)</w:t>
            </w:r>
          </w:p>
        </w:tc>
        <w:tc>
          <w:tcPr>
            <w:tcW w:type="dxa" w:w="3600"/>
            <w:tcMar>
              <w:top w:type="dxa" w:w="80"/>
              <w:left w:type="dxa" w:w="100"/>
              <w:bottom w:type="dxa" w:w="80"/>
              <w:right w:type="dxa" w:w="100"/>
            </w:tcMar>
            <w:vAlign w:val="center"/>
          </w:tcPr>
          <w:p>
            <w:pPr>
              <w:spacing w:after="40"/>
            </w:pPr>
            <w:r>
              <w:rPr>
                <w:rFonts w:ascii="Calibri" w:cs="Calibri" w:eastAsia="Calibri" w:hAnsi="Calibri"/>
                <w:b w:val="false"/>
                <w:bCs w:val="false"/>
                <w:i w:val="false"/>
                <w:iCs w:val="false"/>
                <w:sz w:val="21"/>
                <w:szCs w:val="21"/>
              </w:rPr>
              <w:t xml:space="preserve">Bổ sung đầy đủ các nhánh tình huống: thanh toán đủ 100%, thanh toán một phần, quá hạn thanh toán (xem Bước 2, mục 3.2).</w:t>
            </w:r>
          </w:p>
        </w:tc>
      </w:tr>
    </w:tbl>
    <w:p>
      <w:pPr>
        <w:pStyle w:val="Heading1"/>
        <w:spacing w:after="160" w:before="320"/>
      </w:pPr>
      <w:r>
        <w:rPr>
          <w:rFonts w:ascii="Calibri" w:cs="Calibri" w:eastAsia="Calibri" w:hAnsi="Calibri"/>
          <w:b/>
          <w:bCs/>
          <w:color w:val="1F3864"/>
          <w:sz w:val="28"/>
          <w:szCs w:val="28"/>
        </w:rPr>
        <w:t xml:space="preserve">Bước 2 — Bản chỉnh sửa hoàn chỉnh</w:t>
      </w:r>
    </w:p>
    <w:p>
      <w:pPr>
        <w:pStyle w:val="Heading2"/>
        <w:spacing w:after="100" w:before="220"/>
      </w:pPr>
      <w:r>
        <w:rPr>
          <w:rFonts w:ascii="Calibri" w:cs="Calibri" w:eastAsia="Calibri" w:hAnsi="Calibri"/>
          <w:b/>
          <w:bCs/>
          <w:color w:val="2F5496"/>
          <w:sz w:val="24"/>
          <w:szCs w:val="24"/>
        </w:rPr>
        <w:t xml:space="preserve">1.2 Scope</w:t>
      </w:r>
    </w:p>
    <w:p>
      <w:pPr>
        <w:spacing w:after="120"/>
      </w:pPr>
      <w:r>
        <w:rPr>
          <w:rFonts w:ascii="Calibri" w:cs="Calibri" w:eastAsia="Calibri" w:hAnsi="Calibri"/>
          <w:sz w:val="22"/>
          <w:szCs w:val="22"/>
        </w:rPr>
        <w:t xml:space="preserve">Không thay đổi — nội dung đã đúng vị trí và đủ rõ:</w:t>
      </w:r>
    </w:p>
    <w:p>
      <w:pPr>
        <w:spacing w:after="80"/>
      </w:pPr>
      <w:r>
        <w:rPr>
          <w:rFonts w:ascii="Calibri" w:cs="Calibri" w:eastAsia="Calibri" w:hAnsi="Calibri"/>
          <w:sz w:val="22"/>
          <w:szCs w:val="22"/>
        </w:rPr>
        <w:t xml:space="preserve">•  Hệ thống hỗ trợ khách hàng doanh nghiệp đặt tour trọn gói cho nhóm từ 10 người trở lên.</w:t>
      </w:r>
    </w:p>
    <w:p>
      <w:pPr>
        <w:pStyle w:val="Heading2"/>
        <w:spacing w:after="100" w:before="220"/>
      </w:pPr>
      <w:r>
        <w:rPr>
          <w:rFonts w:ascii="Calibri" w:cs="Calibri" w:eastAsia="Calibri" w:hAnsi="Calibri"/>
          <w:b/>
          <w:bCs/>
          <w:color w:val="2F5496"/>
          <w:sz w:val="24"/>
          <w:szCs w:val="24"/>
        </w:rPr>
        <w:t xml:space="preserve">1.3 Definitions, Acronyms and Abbreviations</w:t>
      </w:r>
    </w:p>
    <w:p>
      <w:pPr>
        <w:spacing w:after="100" w:before="60"/>
      </w:pPr>
      <w:r>
        <w:rPr>
          <w:rFonts w:ascii="Calibri" w:cs="Calibri" w:eastAsia="Calibri" w:hAnsi="Calibri"/>
          <w:b/>
          <w:bCs/>
          <w:i/>
          <w:iCs/>
          <w:color w:val="C00000"/>
          <w:sz w:val="20"/>
          <w:szCs w:val="20"/>
        </w:rPr>
        <w:t xml:space="preserve">(Đã bỏ sơ đồ ERD ra khỏi mục này — chuyển xuống 3.4)</w:t>
      </w:r>
    </w:p>
    <w:p>
      <w:pPr>
        <w:spacing w:after="80"/>
      </w:pPr>
      <w:r>
        <w:rPr>
          <w:rFonts w:ascii="Calibri" w:cs="Calibri" w:eastAsia="Calibri" w:hAnsi="Calibri"/>
          <w:sz w:val="22"/>
          <w:szCs w:val="22"/>
        </w:rPr>
        <w:t xml:space="preserve">•  Báo giá: bản đề xuất chi phí tour do Điều phối viên lập, gửi cho khách hàng doanh nghiệp xem xét trước khi ký hợp đồng.</w:t>
      </w:r>
    </w:p>
    <w:p>
      <w:pPr>
        <w:spacing w:after="80"/>
      </w:pPr>
      <w:r>
        <w:rPr>
          <w:rFonts w:ascii="Calibri" w:cs="Calibri" w:eastAsia="Calibri" w:hAnsi="Calibri"/>
          <w:sz w:val="22"/>
          <w:szCs w:val="22"/>
        </w:rPr>
        <w:t xml:space="preserve">•  Hợp đồng: văn bản xác nhận giữa RikkeiTravel và khách hàng doanh nghiệp sau khi báo giá được chấp thuận.</w:t>
      </w:r>
    </w:p>
    <w:p>
      <w:pPr>
        <w:pStyle w:val="Heading2"/>
        <w:spacing w:after="100" w:before="220"/>
      </w:pPr>
      <w:r>
        <w:rPr>
          <w:rFonts w:ascii="Calibri" w:cs="Calibri" w:eastAsia="Calibri" w:hAnsi="Calibri"/>
          <w:b/>
          <w:bCs/>
          <w:color w:val="2F5496"/>
          <w:sz w:val="24"/>
          <w:szCs w:val="24"/>
        </w:rPr>
        <w:t xml:space="preserve">2.2 Product Functions (Overall Description)</w:t>
      </w:r>
    </w:p>
    <w:p>
      <w:pPr>
        <w:spacing w:after="100" w:before="60"/>
      </w:pPr>
      <w:r>
        <w:rPr>
          <w:rFonts w:ascii="Calibri" w:cs="Calibri" w:eastAsia="Calibri" w:hAnsi="Calibri"/>
          <w:b/>
          <w:bCs/>
          <w:i/>
          <w:iCs/>
          <w:color w:val="C00000"/>
          <w:sz w:val="20"/>
          <w:szCs w:val="20"/>
        </w:rPr>
        <w:t xml:space="preserve">(Nội dung được chuyển từ mục [2.4 Constraints] về đây)</w:t>
      </w:r>
    </w:p>
    <w:p>
      <w:pPr>
        <w:spacing w:after="80"/>
      </w:pPr>
      <w:r>
        <w:rPr>
          <w:rFonts w:ascii="Calibri" w:cs="Calibri" w:eastAsia="Calibri" w:hAnsi="Calibri"/>
          <w:sz w:val="22"/>
          <w:szCs w:val="22"/>
        </w:rPr>
        <w:t xml:space="preserve">•  Actor chính: Nhân viên đặt tour (phía khách hàng doanh nghiệp), Điều phối viên RikkeiTravel.</w:t>
      </w:r>
    </w:p>
    <w:p>
      <w:pPr>
        <w:spacing w:after="80"/>
      </w:pPr>
      <w:r>
        <w:rPr>
          <w:rFonts w:ascii="Calibri" w:cs="Calibri" w:eastAsia="Calibri" w:hAnsi="Calibri"/>
          <w:sz w:val="22"/>
          <w:szCs w:val="22"/>
        </w:rPr>
        <w:t xml:space="preserve">•  Use Case chính: Tạo yêu cầu đặt tour, Duyệt báo giá, Xác nhận thanh toán.</w:t>
      </w:r>
    </w:p>
    <w:p>
      <w:pPr>
        <w:pStyle w:val="Heading2"/>
        <w:spacing w:after="100" w:before="220"/>
      </w:pPr>
      <w:r>
        <w:rPr>
          <w:rFonts w:ascii="Calibri" w:cs="Calibri" w:eastAsia="Calibri" w:hAnsi="Calibri"/>
          <w:b/>
          <w:bCs/>
          <w:color w:val="2F5496"/>
          <w:sz w:val="24"/>
          <w:szCs w:val="24"/>
        </w:rPr>
        <w:t xml:space="preserve">2.4 Constraints</w:t>
      </w:r>
    </w:p>
    <w:p>
      <w:pPr>
        <w:spacing w:after="120"/>
      </w:pPr>
      <w:r>
        <w:rPr>
          <w:rFonts w:ascii="Calibri" w:cs="Calibri" w:eastAsia="Calibri" w:hAnsi="Calibri"/>
          <w:sz w:val="22"/>
          <w:szCs w:val="22"/>
        </w:rPr>
        <w:t xml:space="preserve">Mục này hiện chưa có nội dung ràng buộc thực sự nào trong bản thảo gốc (nội dung Actor/Use Case đã được chuyển đi). Đề xuất bổ sung ở bản kế tiếp các ràng buộc thực tế, ví dụ: giới hạn số lượng người tối thiểu (10 người), giới hạn phương thức thanh toán được hỗ trợ, v.v.</w:t>
      </w:r>
    </w:p>
    <w:p>
      <w:pPr>
        <w:pStyle w:val="Heading2"/>
        <w:spacing w:after="100" w:before="220"/>
      </w:pPr>
      <w:r>
        <w:rPr>
          <w:rFonts w:ascii="Calibri" w:cs="Calibri" w:eastAsia="Calibri" w:hAnsi="Calibri"/>
          <w:b/>
          <w:bCs/>
          <w:color w:val="2F5496"/>
          <w:sz w:val="24"/>
          <w:szCs w:val="24"/>
        </w:rPr>
        <w:t xml:space="preserve">3.2 Functional Requirements</w:t>
      </w:r>
    </w:p>
    <w:p>
      <w:pPr>
        <w:spacing w:after="100" w:before="60"/>
      </w:pPr>
      <w:r>
        <w:rPr>
          <w:rFonts w:ascii="Calibri" w:cs="Calibri" w:eastAsia="Calibri" w:hAnsi="Calibri"/>
          <w:b/>
          <w:bCs/>
          <w:i/>
          <w:iCs/>
          <w:color w:val="1F3864"/>
          <w:sz w:val="20"/>
          <w:szCs w:val="20"/>
        </w:rPr>
        <w:t xml:space="preserve">REQ-21 (viết lại — đạt chuẩn Verifiable):</w:t>
      </w:r>
    </w:p>
    <w:p>
      <w:pPr>
        <w:spacing w:after="120"/>
      </w:pPr>
      <w:r>
        <w:rPr>
          <w:rFonts w:ascii="Calibri" w:cs="Calibri" w:eastAsia="Calibri" w:hAnsi="Calibri"/>
          <w:sz w:val="22"/>
          <w:szCs w:val="22"/>
        </w:rPr>
        <w:t xml:space="preserve">Hệ thống phải phản hồi báo giá tạm tính cho khách hàng doanh nghiệp trong vòng tối đa 10 giây kể từ khi nhận đủ thông tin yêu cầu đặt tour (số người, ngày khởi hành, loại tour), trong điều kiện hệ thống hoạt động bình thường (dưới 100 yêu cầu đồng thời).</w:t>
      </w:r>
    </w:p>
    <w:p>
      <w:pPr>
        <w:spacing w:after="100" w:before="60"/>
      </w:pPr>
      <w:r>
        <w:rPr>
          <w:rFonts w:ascii="Calibri" w:cs="Calibri" w:eastAsia="Calibri" w:hAnsi="Calibri"/>
          <w:b/>
          <w:bCs/>
          <w:i/>
          <w:iCs/>
          <w:color w:val="1F3864"/>
          <w:sz w:val="20"/>
          <w:szCs w:val="20"/>
        </w:rPr>
        <w:t xml:space="preserve">REQ-22 (viết lại — bổ sung Complete):</w:t>
      </w:r>
    </w:p>
    <w:p>
      <w:pPr>
        <w:spacing w:after="80"/>
      </w:pPr>
      <w:r>
        <w:rPr>
          <w:rFonts w:ascii="Calibri" w:cs="Calibri" w:eastAsia="Calibri" w:hAnsi="Calibri"/>
          <w:sz w:val="22"/>
          <w:szCs w:val="22"/>
        </w:rPr>
        <w:t xml:space="preserve">•  (a) Nếu khách hàng thanh toán đủ 100% giá trị hợp đồng: hệ thống tự động chuyển trạng thái đơn sang "Đã xác nhận" và khóa báo giá theo quy tắc thống nhất tại REQ-23.</w:t>
      </w:r>
    </w:p>
    <w:p>
      <w:pPr>
        <w:spacing w:after="80"/>
      </w:pPr>
      <w:r>
        <w:rPr>
          <w:rFonts w:ascii="Calibri" w:cs="Calibri" w:eastAsia="Calibri" w:hAnsi="Calibri"/>
          <w:sz w:val="22"/>
          <w:szCs w:val="22"/>
        </w:rPr>
        <w:t xml:space="preserve">•  (b) Nếu khách hàng thanh toán một phần (đặt cọc dưới 100%): hệ thống chuyển trạng thái đơn sang "Đã đặt cọc – chờ thanh toán đủ" và báo giá vẫn có thể chỉnh sửa theo quy tắc tại REQ-23.</w:t>
      </w:r>
    </w:p>
    <w:p>
      <w:pPr>
        <w:spacing w:after="80"/>
      </w:pPr>
      <w:r>
        <w:rPr>
          <w:rFonts w:ascii="Calibri" w:cs="Calibri" w:eastAsia="Calibri" w:hAnsi="Calibri"/>
          <w:sz w:val="22"/>
          <w:szCs w:val="22"/>
        </w:rPr>
        <w:t xml:space="preserve">•  (c) Nếu quá 48 giờ kể từ khi nhận báo giá mà khách hàng chưa thanh toán (một phần hoặc đủ): hệ thống tự động chuyển trạng thái đơn sang "Hết hạn báo giá" và yêu cầu Điều phối viên lập báo giá mới.</w:t>
      </w:r>
    </w:p>
    <w:p>
      <w:pPr>
        <w:spacing w:after="100" w:before="60"/>
      </w:pPr>
      <w:r>
        <w:rPr>
          <w:rFonts w:ascii="Calibri" w:cs="Calibri" w:eastAsia="Calibri" w:hAnsi="Calibri"/>
          <w:b/>
          <w:bCs/>
          <w:i/>
          <w:iCs/>
          <w:color w:val="1F3864"/>
          <w:sz w:val="20"/>
          <w:szCs w:val="20"/>
        </w:rPr>
        <w:t xml:space="preserve">REQ-23 (hợp nhất REQ-23 &amp; REQ-24 — đạt chuẩn Consistent, thay thế cả 2 yêu cầu cũ):</w:t>
      </w:r>
    </w:p>
    <w:p>
      <w:pPr>
        <w:spacing w:after="120"/>
      </w:pPr>
      <w:r>
        <w:rPr>
          <w:rFonts w:ascii="Calibri" w:cs="Calibri" w:eastAsia="Calibri" w:hAnsi="Calibri"/>
          <w:sz w:val="22"/>
          <w:szCs w:val="22"/>
        </w:rPr>
        <w:t xml:space="preserve">Điều phối viên chỉ được chỉnh sửa báo giá khi đơn đang ở trạng thái "Chờ xác nhận thanh toán" hoặc "Đã đặt cọc – chờ thanh toán đủ" (tức là trước khi khách hàng thanh toán đủ 100% giá trị hợp đồng). Ngay khi khách hàng xác nhận thanh toán đủ 100% và đơn chuyển sang trạng thái "Đã xác nhận", hệ thống tự động khóa toàn bộ thông tin báo giá ở chế độ chỉ đọc (read-only); không actor nào — bao gồm Điều phối viên — được chỉnh sửa trực tiếp. Nếu cần thay đổi sau thời điểm này, phải tạo một Phụ lục hợp đồng (yêu cầu mới, có mã riêng) thay vì sửa báo giá đã khóa.</w:t>
      </w:r>
    </w:p>
    <w:p>
      <w:pPr>
        <w:spacing w:after="120"/>
      </w:pPr>
      <w:r>
        <w:rPr>
          <w:rFonts w:ascii="Calibri" w:cs="Calibri" w:eastAsia="Calibri" w:hAnsi="Calibri"/>
          <w:sz w:val="22"/>
          <w:szCs w:val="22"/>
        </w:rPr>
        <w:t xml:space="preserve">Quy tắc này được áp dụng thống nhất, thay thế toàn bộ nội dung mâu thuẫn trước đây tại REQ-23 (trang 8) và REQ-24 (trang 19) của bản thảo gốc.</w:t>
      </w:r>
    </w:p>
    <w:p>
      <w:pPr>
        <w:spacing w:after="100" w:before="60"/>
      </w:pPr>
      <w:r>
        <w:rPr>
          <w:rFonts w:ascii="Calibri" w:cs="Calibri" w:eastAsia="Calibri" w:hAnsi="Calibri"/>
          <w:b/>
          <w:bCs/>
          <w:i/>
          <w:iCs/>
          <w:color w:val="1F3864"/>
          <w:sz w:val="20"/>
          <w:szCs w:val="20"/>
        </w:rPr>
        <w:t xml:space="preserve">REQ-25 (viết lại — bổ sung Ranked for Importance and Stability):</w:t>
      </w:r>
    </w:p>
    <w:p>
      <w:pPr>
        <w:spacing w:after="120"/>
      </w:pPr>
      <w:r>
        <w:rPr>
          <w:rFonts w:ascii="Calibri" w:cs="Calibri" w:eastAsia="Calibri" w:hAnsi="Calibri"/>
          <w:sz w:val="22"/>
          <w:szCs w:val="22"/>
        </w:rPr>
        <w:t xml:space="preserve">Tính năng xuất báo giá ra file PDF.</w:t>
      </w:r>
    </w:p>
    <w:p>
      <w:pPr>
        <w:spacing w:after="80"/>
      </w:pPr>
      <w:r>
        <w:rPr>
          <w:rFonts w:ascii="Calibri" w:cs="Calibri" w:eastAsia="Calibri" w:hAnsi="Calibri"/>
          <w:sz w:val="22"/>
          <w:szCs w:val="22"/>
        </w:rPr>
        <w:t xml:space="preserve">•  Priority: Should-have (theo thang MoSCoW) — không bắt buộc phải có trong lần go-live đầu tiên.</w:t>
      </w:r>
    </w:p>
    <w:p>
      <w:pPr>
        <w:spacing w:after="80"/>
      </w:pPr>
      <w:r>
        <w:rPr>
          <w:rFonts w:ascii="Calibri" w:cs="Calibri" w:eastAsia="Calibri" w:hAnsi="Calibri"/>
          <w:sz w:val="22"/>
          <w:szCs w:val="22"/>
        </w:rPr>
        <w:t xml:space="preserve">•  Release: Dự kiến triển khai ở Phase 2, sau khi go-live phân hệ Đặt tour trọn gói.</w:t>
      </w:r>
    </w:p>
    <w:p>
      <w:pPr>
        <w:spacing w:after="80"/>
      </w:pPr>
      <w:r>
        <w:rPr>
          <w:rFonts w:ascii="Calibri" w:cs="Calibri" w:eastAsia="Calibri" w:hAnsi="Calibri"/>
          <w:sz w:val="22"/>
          <w:szCs w:val="22"/>
        </w:rPr>
        <w:t xml:space="preserve">•  Ghi chú: Được đưa vào Product Backlog với mã theo dõi riêng (REQ-25-BL), không làm thay đổi phạm vi ký duyệt của bản SRS hiện tại.</w:t>
      </w:r>
    </w:p>
    <w:p>
      <w:pPr>
        <w:pStyle w:val="Heading2"/>
        <w:spacing w:after="100" w:before="220"/>
      </w:pPr>
      <w:r>
        <w:rPr>
          <w:rFonts w:ascii="Calibri" w:cs="Calibri" w:eastAsia="Calibri" w:hAnsi="Calibri"/>
          <w:b/>
          <w:bCs/>
          <w:color w:val="2F5496"/>
          <w:sz w:val="24"/>
          <w:szCs w:val="24"/>
        </w:rPr>
        <w:t xml:space="preserve">3.4 Logical Database Requirements</w:t>
      </w:r>
    </w:p>
    <w:p>
      <w:pPr>
        <w:spacing w:after="100" w:before="60"/>
      </w:pPr>
      <w:r>
        <w:rPr>
          <w:rFonts w:ascii="Calibri" w:cs="Calibri" w:eastAsia="Calibri" w:hAnsi="Calibri"/>
          <w:b/>
          <w:bCs/>
          <w:i/>
          <w:iCs/>
          <w:color w:val="C00000"/>
          <w:sz w:val="20"/>
          <w:szCs w:val="20"/>
        </w:rPr>
        <w:t xml:space="preserve">(Sơ đồ ERD được chuyển từ mục [1.3 Definitions] về đây)</w:t>
      </w:r>
    </w:p>
    <w:p>
      <w:pPr>
        <w:spacing w:after="120"/>
      </w:pPr>
      <w:r>
        <w:rPr>
          <w:rFonts w:ascii="Calibri" w:cs="Calibri" w:eastAsia="Calibri" w:hAnsi="Calibri"/>
          <w:sz w:val="22"/>
          <w:szCs w:val="22"/>
        </w:rPr>
        <w:t xml:space="preserve">Sơ đồ ERD lưu trữ Yêu cầu đặt tour – Báo giá – Hợp đồng, mô tả cấu trúc dữ liệu và mối quan hệ giữa các thực thể phục vụ trực tiếp cho các yêu cầu chức năng REQ-21 đến REQ-23 (tạo yêu cầu, lập báo giá, khóa báo giá sau xác nhận thanh toán).</w:t>
      </w:r>
    </w:p>
    <w:p>
      <w:pPr>
        <w:pStyle w:val="Heading2"/>
        <w:spacing w:after="100" w:before="220"/>
      </w:pPr>
      <w:r>
        <w:rPr>
          <w:rFonts w:ascii="Calibri" w:cs="Calibri" w:eastAsia="Calibri" w:hAnsi="Calibri"/>
          <w:b/>
          <w:bCs/>
          <w:color w:val="2F5496"/>
          <w:sz w:val="24"/>
          <w:szCs w:val="24"/>
        </w:rPr>
        <w:t xml:space="preserve">Ghi chú tổng hợp</w:t>
      </w:r>
    </w:p>
    <w:p>
      <w:pPr>
        <w:spacing w:after="120"/>
      </w:pPr>
      <w:r>
        <w:rPr>
          <w:rFonts w:ascii="Calibri" w:cs="Calibri" w:eastAsia="Calibri" w:hAnsi="Calibri"/>
          <w:sz w:val="22"/>
          <w:szCs w:val="22"/>
        </w:rPr>
        <w:t xml:space="preserve">• Mọi nội dung mang tính tổng quan (actor, use case ở mức cao) thuộc Chương 2 – Overall Description; mọi nội dung chi tiết, có thể kiểm chứng (yêu cầu cụ thể, mô hình dữ liệu) thuộc Chương 3 – Specific Requirements.</w:t>
      </w:r>
    </w:p>
    <w:p>
      <w:pPr>
        <w:spacing w:after="120"/>
      </w:pPr>
      <w:r>
        <w:rPr>
          <w:rFonts w:ascii="Calibri" w:cs="Calibri" w:eastAsia="Calibri" w:hAnsi="Calibri"/>
          <w:sz w:val="22"/>
          <w:szCs w:val="22"/>
        </w:rPr>
        <w:t xml:space="preserve">• Verifiable: loại bỏ hoàn toàn các từ ngữ định tính ("nhanh chóng", "bất kỳ lúc nào") khỏi các yêu cầu, thay bằng số đo và điều kiện cụ thể.</w:t>
      </w:r>
    </w:p>
    <w:p>
      <w:pPr>
        <w:spacing w:after="120"/>
      </w:pPr>
      <w:r>
        <w:rPr>
          <w:rFonts w:ascii="Calibri" w:cs="Calibri" w:eastAsia="Calibri" w:hAnsi="Calibri"/>
          <w:sz w:val="22"/>
          <w:szCs w:val="22"/>
        </w:rPr>
        <w:t xml:space="preserve">• Consistent: khi phát hiện hai yêu cầu đối lập, phải chọn đúng một quy tắc nghiệp vụ, loại bỏ quy tắc còn lại, và rà soát toàn tài liệu để đảm bảo không còn tham chiếu đến quy tắc cũ.</w:t>
      </w:r>
    </w:p>
    <w:p>
      <w:pPr>
        <w:spacing w:after="120"/>
      </w:pPr>
      <w:r>
        <w:rPr>
          <w:rFonts w:ascii="Calibri" w:cs="Calibri" w:eastAsia="Calibri" w:hAnsi="Calibri"/>
          <w:sz w:val="22"/>
          <w:szCs w:val="22"/>
        </w:rPr>
        <w:t xml:space="preserve">• Ranked for Importance and Stability: mọi yêu cầu — kể cả yêu cầu chưa chắc chắn triển khai — phải được gán mức độ ưu tiên rõ ràng, không để ở trạng thái "tùy xem xét".</w:t>
      </w:r>
    </w:p>
    <w:p>
      <w:pPr>
        <w:spacing w:after="120"/>
      </w:pPr>
      <w:r>
        <w:rPr>
          <w:rFonts w:ascii="Calibri" w:cs="Calibri" w:eastAsia="Calibri" w:hAnsi="Calibri"/>
          <w:sz w:val="22"/>
          <w:szCs w:val="22"/>
        </w:rPr>
        <w:t xml:space="preserve">• Complete: mỗi yêu cầu phải bao trùm đủ các nhánh tình huống có thể xảy ra (thành công, một phần, thất bại/hết hạn), không chỉ mô tả trường hợp lý tưởng.</w:t>
      </w:r>
    </w:p>
    <w:sectPr>
      <w:pgSz w:w="11900" w:h="16840" w:orient="landscape"/>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2026-09-25T00:59:17.137Z</dcterms:created>
  <dcterms:modified xsi:type="dcterms:W3CDTF">2026-09-25T00:59:17.145Z</dcterms:modified>
</cp:coreProperties>
</file>

<file path=docProps/custom.xml><?xml version="1.0" encoding="utf-8"?>
<Properties xmlns="http://schemas.openxmlformats.org/officeDocument/2006/custom-properties" xmlns:vt="http://schemas.openxmlformats.org/officeDocument/2006/docPropsVTypes"/>
</file>