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79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2.2 Methods</w:t>
      </w:r>
    </w:p>
    <w:p w14:paraId="727AA5C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2.2.1 Reconstruction of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patial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aleoprecipitation</w:t>
      </w:r>
    </w:p>
    <w:p w14:paraId="27A6E0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Table S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1 R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aw data of 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p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aleoprecipitation reconstruction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1275"/>
        <w:gridCol w:w="875"/>
        <w:gridCol w:w="767"/>
        <w:gridCol w:w="1067"/>
        <w:gridCol w:w="976"/>
        <w:gridCol w:w="833"/>
        <w:gridCol w:w="953"/>
        <w:gridCol w:w="808"/>
      </w:tblGrid>
      <w:tr w14:paraId="566AA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7D1F95F9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EC1A8C7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Site ID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12D3E8FF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Longitude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2E1E21CE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Latitude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117FEBEC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vertAlign w:val="subscript"/>
                <w:lang w:val="en-US" w:eastAsia="zh-CN"/>
              </w:rPr>
              <w:t>observed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 (mm)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4D5D4A5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P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vertAlign w:val="subscript"/>
                <w:lang w:val="en-US" w:eastAsia="zh-CN"/>
              </w:rPr>
              <w:t>Chelsa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 (mm)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19079267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Deviation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08298AC7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ΔP</w:t>
            </w:r>
            <w:r>
              <w:rPr>
                <w:rFonts w:hint="eastAsia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（mm）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shd w:val="clear" w:color="auto" w:fill="auto"/>
            <w:noWrap/>
            <w:vAlign w:val="center"/>
          </w:tcPr>
          <w:p w14:paraId="68F3AA96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15"/>
                <w:szCs w:val="15"/>
                <w:lang w:val="en-US" w:eastAsia="zh-CN"/>
              </w:rPr>
              <w:t>Sub-zone</w:t>
            </w:r>
          </w:p>
        </w:tc>
      </w:tr>
      <w:tr w14:paraId="35E20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E935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A962E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Gahai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0"/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E9153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97.55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8FDE4C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37.1333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0512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240.68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A49E1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146.00</w:t>
            </w:r>
          </w:p>
        </w:tc>
        <w:tc>
          <w:tcPr>
            <w:tcW w:w="0" w:type="auto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B2246B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94.68</w:t>
            </w:r>
          </w:p>
        </w:tc>
        <w:tc>
          <w:tcPr>
            <w:tcW w:w="0" w:type="auto"/>
            <w:vMerge w:val="restar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8C980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57.2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color="auto" w:sz="8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565ACE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Ⅰ</w:t>
            </w:r>
          </w:p>
        </w:tc>
      </w:tr>
      <w:tr w14:paraId="6E7DE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17D0F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F96AC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Hurleg Lake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1"/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774E17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96.9007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C7E65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37.2745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17401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132.58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196B3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112.79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2C72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19.80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3C79C2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FE83D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5B867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A6117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DA9F2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Luanhaizi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2"/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5792C7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101.35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8A9A8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37.59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22E2F7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274.67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D5564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368.86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453AD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-94.19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BA35C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-16.22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26407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Ⅱ</w:t>
            </w:r>
          </w:p>
        </w:tc>
      </w:tr>
      <w:tr w14:paraId="3B2EB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3FA8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53453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Donggi Conag</w:t>
            </w:r>
            <w:r>
              <w:rPr>
                <w:rStyle w:val="9"/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3"/>
            </w:r>
            <w:r>
              <w:rPr>
                <w:rStyle w:val="9"/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654C68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98.44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2172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75E1C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330.85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62D802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270.43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285962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60.42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91B7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39F27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0CA9C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7EC36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44F81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Kuhai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vertAlign w:val="superscript"/>
                <w:lang w:val="en-US" w:eastAsia="zh-CN"/>
              </w:rPr>
              <w:t>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C52CB5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99.31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87BCA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BAC77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351.90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3F828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366.79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7E56F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-14.89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6D385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D531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64C7B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BD1BF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780C8A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Caodalian Lake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4"/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FC275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BAF2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37.07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AA5FB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389.04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B036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309.86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58D1B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79.18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D937E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72.2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6F12FE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Ⅲ</w:t>
            </w:r>
          </w:p>
        </w:tc>
      </w:tr>
      <w:tr w14:paraId="36FDF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CC51C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6BBF3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Qinghai Lake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vertAlign w:val="superscript"/>
                <w:lang w:val="en-US" w:eastAsia="zh-CN"/>
              </w:rPr>
              <w:t>[5]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78E73E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3C352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36.67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C1C6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389.78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E5311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322.57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710A27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67.21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798538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D2C1C6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19A08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71200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6001B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Dalian Sea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5"/>
            </w:r>
            <w:r>
              <w:rPr>
                <w:rStyle w:val="9"/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5070B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5F045A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36.25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72C2A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390.15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AB11A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289.86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A3755E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100.29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A052F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37E1F0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223DB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867F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4035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Xiadawu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vertAlign w:val="superscript"/>
                <w:lang w:val="en-US" w:eastAsia="zh-CN"/>
              </w:rPr>
              <w:t>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F3992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99.2606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DF74E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35.0019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2132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368.09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CBA0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350.21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11028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17.87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8179B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36227D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649B6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2C662F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1708F7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Nankanyan</w:t>
            </w:r>
            <w:r>
              <w:rPr>
                <w:rStyle w:val="9"/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[</w:t>
            </w:r>
            <w:r>
              <w:rPr>
                <w:rStyle w:val="9"/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endnoteReference w:id="6"/>
            </w:r>
            <w:r>
              <w:rPr>
                <w:rStyle w:val="9"/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F970D5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100.2444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4E52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35.6781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9421A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474.11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2DB25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275.50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6B0F4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198.61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667FE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C9CB8F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2178A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C44D8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A8012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Gengga Sea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vertAlign w:val="superscript"/>
                <w:lang w:val="en-US" w:eastAsia="zh-CN"/>
              </w:rPr>
              <w:t>[6]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17EC6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B097DB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BA415A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246.61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4B0877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276.43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2695DF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-29.82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4688C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E9ECA3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  <w:tr w14:paraId="663EC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A388A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734DC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Zhongda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vertAlign w:val="superscript"/>
                <w:lang w:val="en-US" w:eastAsia="zh-CN"/>
              </w:rPr>
              <w:t>[4]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5791AA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97.0226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49A958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33.2375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B73BF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388.96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32BBF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367.86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DF7235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21.10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BD954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-47.21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37CF2B">
            <w:p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15"/>
                <w:szCs w:val="15"/>
                <w:highlight w:val="none"/>
                <w:lang w:val="en-US" w:eastAsia="zh-CN"/>
              </w:rPr>
              <w:t>Ⅳ</w:t>
            </w:r>
          </w:p>
        </w:tc>
      </w:tr>
      <w:tr w14:paraId="79D1B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3FF7F45D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7E08619B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Maqin</w:t>
            </w: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vertAlign w:val="superscript"/>
                <w:lang w:val="en-US" w:eastAsia="zh-CN"/>
              </w:rPr>
              <w:t>[4]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610AB78E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100.15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14919A45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34.4667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51DD669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350.55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4117DF60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466.07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41383FC3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  <w:t>-115.53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0A12F5A9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 w14:paraId="48D20EA1">
            <w:pPr>
              <w:jc w:val="center"/>
              <w:rPr>
                <w:rFonts w:hint="default" w:ascii="Times New Roman" w:hAnsi="Times New Roman" w:cs="Times New Roman"/>
                <w:color w:val="auto"/>
                <w:sz w:val="15"/>
                <w:szCs w:val="15"/>
                <w:highlight w:val="none"/>
                <w:lang w:val="en-US" w:eastAsia="zh-CN"/>
              </w:rPr>
            </w:pPr>
          </w:p>
        </w:tc>
      </w:tr>
    </w:tbl>
    <w:p w14:paraId="58F057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（1）Partition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c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riterion</w:t>
      </w:r>
    </w:p>
    <w:p w14:paraId="75638F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594360</wp:posOffset>
            </wp:positionH>
            <wp:positionV relativeFrom="paragraph">
              <wp:posOffset>974090</wp:posOffset>
            </wp:positionV>
            <wp:extent cx="3937000" cy="3193415"/>
            <wp:effectExtent l="0" t="0" r="6350" b="6985"/>
            <wp:wrapNone/>
            <wp:docPr id="1" name="图片 1" descr="4个子区古降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个子区古降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The study area was delineated into four distinct precipitation sub-zones based on the “Holocene Megathermal Precipitation Isopleth Partition Scheme”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u w:val="none"/>
          <w:shd w:val="clear" w:fill="FFFFFF"/>
          <w:vertAlign w:val="superscript"/>
          <w:lang w:val="en-US" w:eastAsia="zh-CN"/>
        </w:rPr>
        <w:t>[</w:t>
      </w:r>
      <w:bookmarkStart w:id="0" w:name="_Ref19490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u w:val="none"/>
          <w:shd w:val="clear" w:fill="FFFFFF"/>
          <w:vertAlign w:val="superscript"/>
          <w:lang w:val="en-US" w:eastAsia="zh-CN"/>
        </w:rPr>
        <w:endnoteReference w:id="7"/>
      </w:r>
      <w:bookmarkEnd w:id="0"/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u w:val="none"/>
          <w:shd w:val="clear" w:fill="FFFFFF"/>
          <w:vertAlign w:val="superscript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. This spatial stratification allows for the accommodation of regional climate heterogeneity across the Northeastern Tibetan Plateau (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).</w:t>
      </w:r>
    </w:p>
    <w:p w14:paraId="03F80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241D0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3C6516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19447C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1E359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D8ED0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462B2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6B8331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BE7F7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F0741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156940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1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Sub-zone partitioning for paleoprecipitation reconstruction in the NETP</w:t>
      </w:r>
    </w:p>
    <w:p w14:paraId="030E2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（2）Linear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c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orrection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ormula</w:t>
      </w:r>
    </w:p>
    <w:p w14:paraId="2A045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To generate the spatial paleoprecipitation surface, we applied a linear adjustment to the original Chelsa raster using the following equation:</w:t>
      </w:r>
    </w:p>
    <w:p w14:paraId="548659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                              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>rec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P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>Chelsa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+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Δ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>i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 xml:space="preserve">                                  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（1）</w:t>
      </w:r>
    </w:p>
    <w:p w14:paraId="7F448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Where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>rec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the reconstructed annual precipitation,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>Chelsa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the baseline Chelsa bio12 data, and Δ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vertAlign w:val="subscript"/>
          <w:lang w:val="en-US" w:eastAsia="zh-CN" w:bidi="ar-SA"/>
        </w:rPr>
        <w:t>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the mean deviation calculated for sub-zone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. This process was executed using the 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Raster Calculator tool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in ArcGIS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10.8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.</w:t>
      </w:r>
    </w:p>
    <w:p w14:paraId="3618D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2.2.2 Subsistence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uitability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odeling</w:t>
      </w:r>
    </w:p>
    <w:p w14:paraId="5D69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(1)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Agricultural Suitability Simulation</w:t>
      </w:r>
    </w:p>
    <w:p w14:paraId="0A046082">
      <w:pPr>
        <w:jc w:val="center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Table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2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Environment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v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ariable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d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ata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ource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t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able</w:t>
      </w:r>
    </w:p>
    <w:tbl>
      <w:tblPr>
        <w:tblStyle w:val="7"/>
        <w:tblW w:w="0" w:type="auto"/>
        <w:jc w:val="center"/>
        <w:tblBorders>
          <w:top w:val="single" w:color="000000" w:sz="4" w:space="0"/>
          <w:left w:val="none" w:color="auto" w:sz="4" w:space="0"/>
          <w:bottom w:val="single" w:color="000000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0"/>
        <w:gridCol w:w="4077"/>
      </w:tblGrid>
      <w:tr w14:paraId="5EF4247B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  <w:jc w:val="center"/>
        </w:trPr>
        <w:tc>
          <w:tcPr>
            <w:tcW w:w="1350" w:type="dxa"/>
            <w:tcBorders>
              <w:bottom w:val="single" w:color="000000" w:sz="4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 w14:paraId="4409E68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Data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n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ame</w:t>
            </w:r>
          </w:p>
        </w:tc>
        <w:tc>
          <w:tcPr>
            <w:tcW w:w="4077" w:type="dxa"/>
            <w:tcBorders>
              <w:bottom w:val="single" w:color="000000" w:sz="4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 w14:paraId="6D18064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Data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s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ource</w:t>
            </w:r>
          </w:p>
        </w:tc>
      </w:tr>
      <w:tr w14:paraId="3F0B36AF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1350" w:type="dxa"/>
            <w:tcBorders>
              <w:top w:val="single" w:color="000000" w:sz="4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 w14:paraId="3E45A73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Soil</w:t>
            </w:r>
          </w:p>
        </w:tc>
        <w:tc>
          <w:tcPr>
            <w:tcW w:w="4077" w:type="dxa"/>
            <w:tcBorders>
              <w:top w:val="single" w:color="000000" w:sz="4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 w14:paraId="4384751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ISRIC — World Soil Information（https://isric.org）</w:t>
            </w:r>
          </w:p>
        </w:tc>
      </w:tr>
      <w:tr w14:paraId="38CFA44A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1350" w:type="dxa"/>
            <w:noWrap w:val="0"/>
            <w:tcMar>
              <w:left w:w="108" w:type="dxa"/>
              <w:right w:w="108" w:type="dxa"/>
            </w:tcMar>
            <w:vAlign w:val="center"/>
          </w:tcPr>
          <w:p w14:paraId="70009D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P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aleoprecipitation</w:t>
            </w:r>
          </w:p>
        </w:tc>
        <w:tc>
          <w:tcPr>
            <w:tcW w:w="4077" w:type="dxa"/>
            <w:noWrap w:val="0"/>
            <w:tcMar>
              <w:left w:w="108" w:type="dxa"/>
              <w:right w:w="108" w:type="dxa"/>
            </w:tcMar>
            <w:vAlign w:val="center"/>
          </w:tcPr>
          <w:p w14:paraId="3DC5469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Section 2.2.1 integrated reconstruction results</w:t>
            </w:r>
          </w:p>
        </w:tc>
      </w:tr>
      <w:tr w14:paraId="1E3A225D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  <w:jc w:val="center"/>
        </w:trPr>
        <w:tc>
          <w:tcPr>
            <w:tcW w:w="1350" w:type="dxa"/>
            <w:noWrap w:val="0"/>
            <w:tcMar>
              <w:left w:w="108" w:type="dxa"/>
              <w:right w:w="108" w:type="dxa"/>
            </w:tcMar>
            <w:vAlign w:val="center"/>
          </w:tcPr>
          <w:p w14:paraId="2045E88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Paleotemperature</w:t>
            </w:r>
          </w:p>
        </w:tc>
        <w:tc>
          <w:tcPr>
            <w:tcW w:w="4077" w:type="dxa"/>
            <w:noWrap w:val="0"/>
            <w:tcMar>
              <w:left w:w="108" w:type="dxa"/>
              <w:right w:w="108" w:type="dxa"/>
            </w:tcMar>
            <w:vAlign w:val="center"/>
          </w:tcPr>
          <w:p w14:paraId="53CD806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The average temperature from 2020 to 2023 increased by 1°C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t>[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instrText xml:space="preserve"> NOTEREF _Ref19490 \h 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fldChar w:fldCharType="end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vertAlign w:val="superscript"/>
                <w:lang w:val="en-US" w:eastAsia="zh-CN" w:bidi="ar-SA"/>
              </w:rPr>
              <w:t>]</w:t>
            </w:r>
          </w:p>
        </w:tc>
      </w:tr>
      <w:tr w14:paraId="01D4AC01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1350" w:type="dxa"/>
            <w:noWrap w:val="0"/>
            <w:tcMar>
              <w:left w:w="108" w:type="dxa"/>
              <w:right w:w="108" w:type="dxa"/>
            </w:tcMar>
            <w:vAlign w:val="center"/>
          </w:tcPr>
          <w:p w14:paraId="2319E6E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DEM / 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ydrological</w:t>
            </w:r>
          </w:p>
        </w:tc>
        <w:tc>
          <w:tcPr>
            <w:tcW w:w="4077" w:type="dxa"/>
            <w:noWrap w:val="0"/>
            <w:tcMar>
              <w:left w:w="108" w:type="dxa"/>
              <w:right w:w="108" w:type="dxa"/>
            </w:tcMar>
            <w:vAlign w:val="center"/>
          </w:tcPr>
          <w:p w14:paraId="252B6A6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Resource and Environmental Science and Data Center of the Chinese Academy of Sciences (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fldChar w:fldCharType="begin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instrText xml:space="preserve"> HYPERLINK "http://www.resdc.cn" \t "_blank" </w:instrTex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http://www.resdc.cn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fldChar w:fldCharType="end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)</w:t>
            </w:r>
          </w:p>
        </w:tc>
      </w:tr>
      <w:tr w14:paraId="034E9914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  <w:jc w:val="center"/>
        </w:trPr>
        <w:tc>
          <w:tcPr>
            <w:tcW w:w="1350" w:type="dxa"/>
            <w:noWrap w:val="0"/>
            <w:tcMar>
              <w:left w:w="108" w:type="dxa"/>
              <w:right w:w="108" w:type="dxa"/>
            </w:tcMar>
            <w:vAlign w:val="center"/>
          </w:tcPr>
          <w:p w14:paraId="141E811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Slope gradients</w:t>
            </w:r>
          </w:p>
        </w:tc>
        <w:tc>
          <w:tcPr>
            <w:tcW w:w="4077" w:type="dxa"/>
            <w:noWrap w:val="0"/>
            <w:tcMar>
              <w:left w:w="108" w:type="dxa"/>
              <w:right w:w="108" w:type="dxa"/>
            </w:tcMar>
            <w:vAlign w:val="center"/>
          </w:tcPr>
          <w:p w14:paraId="753F091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Derived based on DEM</w:t>
            </w:r>
          </w:p>
        </w:tc>
      </w:tr>
      <w:tr w14:paraId="60B5335A">
        <w:tblPrEx>
          <w:tblBorders>
            <w:top w:val="single" w:color="000000" w:sz="4" w:space="0"/>
            <w:left w:val="none" w:color="auto" w:sz="4" w:space="0"/>
            <w:bottom w:val="single" w:color="000000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1350" w:type="dxa"/>
            <w:noWrap w:val="0"/>
            <w:tcMar>
              <w:left w:w="108" w:type="dxa"/>
              <w:right w:w="108" w:type="dxa"/>
            </w:tcMar>
            <w:vAlign w:val="center"/>
          </w:tcPr>
          <w:p w14:paraId="5FBD45F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istance to water</w:t>
            </w:r>
          </w:p>
        </w:tc>
        <w:tc>
          <w:tcPr>
            <w:tcW w:w="4077" w:type="dxa"/>
            <w:noWrap w:val="0"/>
            <w:tcMar>
              <w:left w:w="108" w:type="dxa"/>
              <w:right w:w="108" w:type="dxa"/>
            </w:tcMar>
            <w:vAlign w:val="center"/>
          </w:tcPr>
          <w:p w14:paraId="7DF03D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2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kern w:val="0"/>
                <w:sz w:val="15"/>
                <w:szCs w:val="15"/>
                <w:lang w:val="en-US" w:eastAsia="zh-CN" w:bidi="ar-SA"/>
              </w:rPr>
              <w:t>Euclidean distance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 generated based on hydrological vector data</w:t>
            </w:r>
          </w:p>
        </w:tc>
      </w:tr>
    </w:tbl>
    <w:p w14:paraId="774571D8">
      <w:pPr>
        <w:ind w:firstLine="1440" w:firstLineChars="800"/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18"/>
          <w:szCs w:val="18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18"/>
          <w:szCs w:val="18"/>
          <w:highlight w:val="none"/>
          <w:lang w:val="en-US" w:eastAsia="zh-CN" w:bidi="ar"/>
        </w:rPr>
        <w:t>Note: The above data has a uniform resolution of 1 km</w:t>
      </w:r>
    </w:p>
    <w:p w14:paraId="2B6046C6">
      <w:pPr>
        <w:jc w:val="center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Table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3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Soil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uitability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lass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Style w:val="9"/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vertAlign w:val="superscript"/>
          <w:lang w:val="en-US" w:eastAsia="zh-CN" w:bidi="ar"/>
        </w:rPr>
        <w:t>[</w:t>
      </w:r>
      <w:r>
        <w:rPr>
          <w:rStyle w:val="9"/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vertAlign w:val="superscript"/>
          <w:lang w:val="en-US" w:eastAsia="zh-CN" w:bidi="ar"/>
        </w:rPr>
        <w:endnoteReference w:id="8"/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vertAlign w:val="superscript"/>
          <w:lang w:val="en-US" w:eastAsia="zh-CN" w:bidi="ar"/>
        </w:rPr>
        <w:t>-</w:t>
      </w:r>
      <w:r>
        <w:rPr>
          <w:rStyle w:val="9"/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vertAlign w:val="superscript"/>
          <w:lang w:val="en-US" w:eastAsia="zh-CN" w:bidi="ar"/>
        </w:rPr>
        <w:endnoteReference w:id="9"/>
      </w:r>
      <w:r>
        <w:rPr>
          <w:rStyle w:val="9"/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vertAlign w:val="superscript"/>
          <w:lang w:val="en-US" w:eastAsia="zh-CN" w:bidi="ar"/>
        </w:rPr>
        <w:t>]</w:t>
      </w:r>
    </w:p>
    <w:tbl>
      <w:tblPr>
        <w:tblStyle w:val="7"/>
        <w:tblW w:w="833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4"/>
        <w:gridCol w:w="781"/>
        <w:gridCol w:w="2926"/>
        <w:gridCol w:w="3075"/>
      </w:tblGrid>
      <w:tr w14:paraId="343C4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4" w:hRule="atLeast"/>
          <w:tblHeader/>
          <w:jc w:val="center"/>
        </w:trPr>
        <w:tc>
          <w:tcPr>
            <w:tcW w:w="1554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C0D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Suitability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lass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0B3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Value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r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ange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77F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Soil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ype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c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ode (DOMSOIL)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FAB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Soil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t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ype 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d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escription</w:t>
            </w:r>
          </w:p>
        </w:tc>
      </w:tr>
      <w:tr w14:paraId="1FC18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4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6F7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Highly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uitable</w:t>
            </w:r>
          </w:p>
        </w:tc>
        <w:tc>
          <w:tcPr>
            <w:tcW w:w="781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174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0.8-1.0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052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PHg, CHg, PHh, CHh, CMg, CMd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F09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Heilu Soil, Chestnut Soil, Chernozem</w:t>
            </w:r>
          </w:p>
        </w:tc>
      </w:tr>
      <w:tr w14:paraId="63FAD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835B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Moderately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uitable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9B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0.5-0.7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5A1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LVh, LVj, LVa, LVg, LVk, LVx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EF9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Luvisols, Weakly Developed Soils (Light)</w:t>
            </w:r>
          </w:p>
        </w:tc>
      </w:tr>
      <w:tr w14:paraId="24492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3A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Marginally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uitable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DE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0.2-0.4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868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GLm, GLe, GLk, GLi, GLt, GRh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2B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Sierozem, Gray-Cinnamon Soil, Gravelly Soil</w:t>
            </w:r>
          </w:p>
        </w:tc>
      </w:tr>
      <w:tr w14:paraId="5613F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92F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Unsuitable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6C1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0.0-0.1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F8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RGe, RGc, RGd, RGi, RK, VRk, VRe, VRd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BF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Skeletal Soil, Lithosol, Gravel Soil</w:t>
            </w:r>
          </w:p>
        </w:tc>
      </w:tr>
      <w:tr w14:paraId="5E7C7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1A8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Unsuitable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B99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0.0-0.1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18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SCg, SCn, SCm, SCy, SCk, SCh, SC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591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Aeolian Sandy Soil, Sandy Soil</w:t>
            </w:r>
          </w:p>
        </w:tc>
      </w:tr>
      <w:tr w14:paraId="0804C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4" w:hRule="atLeast"/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AF7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Unsuitable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58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0.0-0.1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D877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CLp, CLl, CLh, ALp, ALh, ALf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A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Heavy Clay Soil, Aluvial Soil</w:t>
            </w:r>
          </w:p>
        </w:tc>
      </w:tr>
      <w:tr w14:paraId="09CE9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8A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Unsuitable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AD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0.0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A31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UR, ST, DS, NI, NTu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93C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Urban Soil, Disturbed Soil, Arid Soil</w:t>
            </w:r>
          </w:p>
        </w:tc>
      </w:tr>
      <w:tr w14:paraId="07BDB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4" w:hRule="atLeast"/>
          <w:jc w:val="center"/>
        </w:trPr>
        <w:tc>
          <w:tcPr>
            <w:tcW w:w="1554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D61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Other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u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 xml:space="preserve">nspecified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ypes</w:t>
            </w:r>
          </w:p>
        </w:tc>
        <w:tc>
          <w:tcPr>
            <w:tcW w:w="781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72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0.3</w:t>
            </w:r>
          </w:p>
        </w:tc>
        <w:tc>
          <w:tcPr>
            <w:tcW w:w="2926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A3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All codes not listed above (e.g., ANh, ANu, FP, etc.)</w:t>
            </w:r>
          </w:p>
        </w:tc>
        <w:tc>
          <w:tcPr>
            <w:tcW w:w="3075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3DD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Transitional Soil</w:t>
            </w:r>
          </w:p>
        </w:tc>
      </w:tr>
    </w:tbl>
    <w:p w14:paraId="45F8C8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① Python script for environment variable normalization and weight calculation</w:t>
      </w:r>
    </w:p>
    <w:p w14:paraId="0DD53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 xml:space="preserve">This part of the Python script is in the supplementary material 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lang w:val="en-US" w:eastAsia="zh-CN"/>
        </w:rPr>
        <w:t>“Agriculture_Suitability.docx”</w:t>
      </w:r>
    </w:p>
    <w:p w14:paraId="18E7B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②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Agricultural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uitability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area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odel</w:t>
      </w:r>
    </w:p>
    <w:p w14:paraId="6458A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1"/>
              <w:szCs w:val="21"/>
              <w:highlight w:val="none"/>
              <w:lang w:val="en-US" w:eastAsia="zh-CN"/>
            </w:rPr>
            <m:t xml:space="preserve">             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 xml:space="preserve"> 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b w:val="0"/>
              <w:i/>
              <w:iCs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=0.375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+0.173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T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+0.023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O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+0.204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D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+0.013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+0.212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aps w:val="0"/>
              <w:color w:val="auto"/>
              <w:spacing w:val="0"/>
              <w:sz w:val="21"/>
              <w:szCs w:val="21"/>
              <w:highlight w:val="none"/>
              <w:shd w:val="clear" w:fill="FFFFFF"/>
              <w:lang w:val="en-US" w:eastAsia="zh-CN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1"/>
              <w:szCs w:val="21"/>
              <w:highlight w:val="none"/>
              <w:lang w:val="en-US" w:eastAsia="zh-CN"/>
            </w:rPr>
            <m:t xml:space="preserve">                   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1"/>
              <w:szCs w:val="21"/>
              <w:highlight w:val="none"/>
            </w:rPr>
            <m:t>（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1"/>
              <w:szCs w:val="21"/>
              <w:highlight w:val="none"/>
              <w:lang w:val="en-US" w:eastAsia="zh-CN"/>
            </w:rPr>
            <m:t>2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auto"/>
              <w:sz w:val="21"/>
              <w:szCs w:val="21"/>
              <w:highlight w:val="none"/>
            </w:rPr>
            <m:t>）</m:t>
          </m:r>
        </m:oMath>
      </m:oMathPara>
    </w:p>
    <w:p w14:paraId="6FBC6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Where 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auto"/>
            <w:sz w:val="21"/>
            <w:highlight w:val="none"/>
            <w:lang w:val="en-US" w:eastAsia="zh-CN"/>
          </w:rPr>
          <m:t>Y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represents the evaluation result of agricultural suitability; 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aps w:val="0"/>
            <w:color w:val="auto"/>
            <w:spacing w:val="0"/>
            <w:sz w:val="21"/>
            <w:szCs w:val="21"/>
            <w:highlight w:val="none"/>
            <w:shd w:val="clear" w:fill="FFFFFF"/>
            <w:lang w:val="en-US" w:eastAsia="zh-CN"/>
          </w:rPr>
          <m:t>P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is paleoprecipitation;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color w:val="auto"/>
            <w:highlight w:val="none"/>
            <w:lang w:val="en-US" w:eastAsia="zh-CN"/>
          </w:rPr>
          <m:t>T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is paleotemperature;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color w:val="auto"/>
            <w:highlight w:val="none"/>
            <w:lang w:val="en-US" w:eastAsia="zh-CN"/>
          </w:rPr>
          <m:t>O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is soil type;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color w:val="auto"/>
            <w:highlight w:val="none"/>
            <w:lang w:val="en-US" w:eastAsia="zh-CN"/>
          </w:rPr>
          <m:t>D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is DEM;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color w:val="auto"/>
            <w:highlight w:val="none"/>
            <w:lang w:val="en-US" w:eastAsia="zh-CN"/>
          </w:rPr>
          <m:t>S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is slope; and </w:t>
      </w:r>
      <m:oMath>
        <m:r>
          <m:rPr>
            <m:nor/>
          </m:rPr>
          <w:rPr>
            <w:rFonts w:hint="default" w:ascii="Times New Roman" w:hAnsi="Times New Roman" w:cs="Times New Roman"/>
            <w:b w:val="0"/>
            <w:bCs w:val="0"/>
            <w:i/>
            <w:color w:val="auto"/>
            <w:highlight w:val="none"/>
            <w:lang w:val="en-US" w:eastAsia="zh-CN"/>
          </w:rPr>
          <m:t>W</m:t>
        </m:r>
      </m:oMath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</w:rPr>
        <w:t xml:space="preserve"> is the distance to water sources.</w:t>
      </w:r>
    </w:p>
    <w:p w14:paraId="6F478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③ C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ost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urface</w:t>
      </w:r>
    </w:p>
    <w:p w14:paraId="1DA6F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The final 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a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gricultural 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uitability 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urface (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ost 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urface) was generated using the 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kern w:val="0"/>
          <w:sz w:val="21"/>
          <w:szCs w:val="21"/>
          <w:highlight w:val="none"/>
          <w:lang w:val="en-US" w:eastAsia="zh-CN" w:bidi="ar"/>
        </w:rPr>
        <w:t>r</w:t>
      </w:r>
      <w:r>
        <w:rPr>
          <w:rFonts w:hint="eastAsia" w:ascii="Times New Roman" w:hAnsi="Times New Roman" w:cs="Times New Roman" w:eastAsiaTheme="minorEastAsia"/>
          <w:b w:val="0"/>
          <w:bCs w:val="0"/>
          <w:i/>
          <w:iCs/>
          <w:color w:val="auto"/>
          <w:kern w:val="0"/>
          <w:sz w:val="21"/>
          <w:szCs w:val="21"/>
          <w:highlight w:val="none"/>
          <w:lang w:val="en-US" w:eastAsia="zh-CN" w:bidi="ar"/>
        </w:rPr>
        <w:t>aster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i/>
          <w:iCs/>
          <w:color w:val="auto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eastAsia" w:ascii="Times New Roman" w:hAnsi="Times New Roman" w:cs="Times New Roman" w:eastAsiaTheme="minorEastAsia"/>
          <w:b w:val="0"/>
          <w:bCs w:val="0"/>
          <w:i/>
          <w:iCs/>
          <w:color w:val="auto"/>
          <w:kern w:val="0"/>
          <w:sz w:val="21"/>
          <w:szCs w:val="21"/>
          <w:highlight w:val="none"/>
          <w:lang w:val="en-US" w:eastAsia="zh-CN" w:bidi="ar"/>
        </w:rPr>
        <w:t>alculator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tool in Arc</w:t>
      </w:r>
      <w:r>
        <w:rPr>
          <w:rFonts w:hint="default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GIS.</w:t>
      </w:r>
    </w:p>
    <w:p w14:paraId="7B1E0F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Hunter-Gatherer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 xml:space="preserve">uitability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  <w:t>imulation</w:t>
      </w:r>
    </w:p>
    <w:p w14:paraId="0920A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①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MaxEnt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i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nput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amples: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m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icrolithic sites are listed in the supplementary material “MaxEnt_Input_Samples_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Table S4.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csv”</w:t>
      </w:r>
    </w:p>
    <w:p w14:paraId="0973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②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Environmental variables: input the 9 raster layers of MaxEnt 3.4.4（bio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2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、bio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3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、bio1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2、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bio1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4、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bio1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5、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bio1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9、D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istance to water sources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、Slop、DEM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）。</w:t>
      </w:r>
    </w:p>
    <w:p w14:paraId="0C361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③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MaxEnt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m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odel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c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onfiguration</w:t>
      </w:r>
    </w:p>
    <w:p w14:paraId="3AA47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Output file type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: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asc</w:t>
      </w:r>
    </w:p>
    <w:p w14:paraId="47858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Output Format: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Logistic</w:t>
      </w:r>
    </w:p>
    <w:p w14:paraId="7E9B4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Create response curves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: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√</w:t>
      </w:r>
    </w:p>
    <w:p w14:paraId="0D785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Do jackknife to measure variable importance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: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√</w:t>
      </w:r>
    </w:p>
    <w:p w14:paraId="28F68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Random test percentage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: 25%</w:t>
      </w:r>
    </w:p>
    <w:p w14:paraId="0B21C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Replicates: 10</w:t>
      </w:r>
    </w:p>
    <w:p w14:paraId="6277F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Replicated run type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: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Bootstrap</w:t>
      </w:r>
    </w:p>
    <w:p w14:paraId="141EB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Maximum iterations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: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5000</w:t>
      </w:r>
    </w:p>
    <w:p w14:paraId="602A3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④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Validation Results</w:t>
      </w:r>
    </w:p>
    <w:p w14:paraId="4FCD9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69850</wp:posOffset>
            </wp:positionV>
            <wp:extent cx="3380105" cy="2546350"/>
            <wp:effectExtent l="0" t="0" r="10795" b="6350"/>
            <wp:wrapNone/>
            <wp:docPr id="2" name="图片 2" descr="bio因子+柱状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io因子+柱状拼图"/>
                    <pic:cNvPicPr>
                      <a:picLocks noChangeAspect="1"/>
                    </pic:cNvPicPr>
                  </pic:nvPicPr>
                  <pic:blipFill>
                    <a:blip r:embed="rId7"/>
                    <a:srcRect t="7353" r="45234" b="1779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5F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7513F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15EEC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13492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40F27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18F94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05E58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66C8B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E0A2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S2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AUC curve</w:t>
      </w:r>
    </w:p>
    <w:p w14:paraId="40637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Table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S5 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Jackknif</w:t>
      </w:r>
      <w:r>
        <w:rPr>
          <w:rFonts w:hint="eastAsia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e Test</w:t>
      </w: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1802"/>
        <w:gridCol w:w="1904"/>
      </w:tblGrid>
      <w:tr w14:paraId="0CBCB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853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084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Variable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96C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Percent contribution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15E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0"/>
                <w:sz w:val="15"/>
                <w:szCs w:val="15"/>
                <w:lang w:val="en-US" w:eastAsia="zh-CN" w:bidi="ar-SA"/>
              </w:rPr>
              <w:t>Permutation importance</w:t>
            </w:r>
          </w:p>
        </w:tc>
      </w:tr>
      <w:tr w14:paraId="01156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358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Water</w:t>
            </w:r>
          </w:p>
        </w:tc>
        <w:tc>
          <w:tcPr>
            <w:tcW w:w="1802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AD7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44.4</w:t>
            </w:r>
          </w:p>
        </w:tc>
        <w:tc>
          <w:tcPr>
            <w:tcW w:w="1904" w:type="dxa"/>
            <w:tcBorders>
              <w:top w:val="single" w:color="auto" w:sz="4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49F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25</w:t>
            </w:r>
          </w:p>
        </w:tc>
      </w:tr>
      <w:tr w14:paraId="5B7CA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0C3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bio15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2F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18.2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C3D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22.9</w:t>
            </w:r>
          </w:p>
        </w:tc>
      </w:tr>
      <w:tr w14:paraId="779B8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1" w:hRule="atLeast"/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87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Slop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A67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10.6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A11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10.3</w:t>
            </w:r>
          </w:p>
        </w:tc>
      </w:tr>
      <w:tr w14:paraId="4C01F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4EA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bio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2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FC1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10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8D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3.6</w:t>
            </w:r>
          </w:p>
        </w:tc>
      </w:tr>
      <w:tr w14:paraId="0B24D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CA4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bio12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6D4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8.2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9E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32.4</w:t>
            </w:r>
          </w:p>
        </w:tc>
      </w:tr>
      <w:tr w14:paraId="38CDC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197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bio19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E66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3.7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82A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3.1</w:t>
            </w:r>
          </w:p>
        </w:tc>
      </w:tr>
      <w:tr w14:paraId="1B5F2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F95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DEM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5BB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3.5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9F9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1.3</w:t>
            </w:r>
          </w:p>
        </w:tc>
      </w:tr>
      <w:tr w14:paraId="05336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26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bio14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C20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0.9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02F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0.9</w:t>
            </w:r>
          </w:p>
        </w:tc>
      </w:tr>
      <w:tr w14:paraId="53A71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53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8D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bio3</w:t>
            </w:r>
          </w:p>
        </w:tc>
        <w:tc>
          <w:tcPr>
            <w:tcW w:w="1802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F26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0.7</w:t>
            </w:r>
          </w:p>
        </w:tc>
        <w:tc>
          <w:tcPr>
            <w:tcW w:w="1904" w:type="dxa"/>
            <w:tcBorders>
              <w:top w:val="single" w:color="CCCCCC" w:sz="6" w:space="0"/>
              <w:left w:val="single" w:color="CCCCCC" w:sz="6" w:space="0"/>
              <w:bottom w:val="single" w:color="auto" w:sz="4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E9A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kern w:val="0"/>
                <w:sz w:val="15"/>
                <w:szCs w:val="15"/>
                <w:lang w:val="en-US" w:eastAsia="zh-CN" w:bidi="ar-SA"/>
              </w:rPr>
              <w:t>0.6</w:t>
            </w:r>
          </w:p>
        </w:tc>
      </w:tr>
    </w:tbl>
    <w:p w14:paraId="7D44963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2.2.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3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 FM-CDP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c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ultural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d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iffusion 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m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odel</w:t>
      </w:r>
    </w:p>
    <w:p w14:paraId="625527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highlight w:val="none"/>
        </w:rPr>
        <w:t xml:space="preserve">(1) Identification of cultural </w:t>
      </w: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highlight w:val="none"/>
          <w:lang w:val="en-US" w:eastAsia="zh-CN"/>
        </w:rPr>
        <w:t>hearth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highlight w:val="none"/>
        </w:rPr>
        <w:t xml:space="preserve"> and </w:t>
      </w: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highlight w:val="none"/>
        </w:rPr>
        <w:t xml:space="preserve">ultural </w:t>
      </w:r>
      <w:r>
        <w:rPr>
          <w:rFonts w:hint="eastAsia" w:ascii="Times New Roman" w:hAnsi="Times New Roman" w:cs="Times New Roman"/>
          <w:b/>
          <w:bCs/>
          <w:color w:val="auto"/>
          <w:sz w:val="21"/>
          <w:szCs w:val="21"/>
          <w:highlight w:val="none"/>
          <w:lang w:val="en-US" w:eastAsia="zh-CN"/>
        </w:rPr>
        <w:t>r</w:t>
      </w:r>
      <w:r>
        <w:rPr>
          <w:rFonts w:hint="default" w:ascii="Times New Roman" w:hAnsi="Times New Roman" w:cs="Times New Roman"/>
          <w:b/>
          <w:bCs/>
          <w:color w:val="auto"/>
          <w:sz w:val="21"/>
          <w:szCs w:val="21"/>
          <w:highlight w:val="none"/>
        </w:rPr>
        <w:t>egions</w:t>
      </w:r>
    </w:p>
    <w:p w14:paraId="7E5B0D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①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The Majiayao culture site is in the supplementary material </w:t>
      </w: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“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Majiayao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_Samples_Table S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6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.csv</w:t>
      </w: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”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 w:val="21"/>
          <w:szCs w:val="21"/>
          <w:lang w:val="en-US" w:eastAsia="zh-CN" w:bidi="ar"/>
        </w:rPr>
        <w:t>Our dataset integrates the Cultural Relics Atlas (Gansu and Qinghai Volumes) and the Third National Cultural Relics Census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lang w:val="en-US" w:eastAsia="zh-CN" w:bidi="ar"/>
        </w:rPr>
        <w:t>. Among them, 65 sites have names, while the rest are just coordinates obtained from the survey.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）</w:t>
      </w:r>
    </w:p>
    <w:p w14:paraId="5443B2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②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The Zongri site is in supplementary material </w:t>
      </w: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“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Zongri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_Samples_Table S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7</w:t>
      </w: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.csv</w:t>
      </w:r>
      <w:r>
        <w:rPr>
          <w:rFonts w:hint="default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”</w:t>
      </w:r>
    </w:p>
    <w:p w14:paraId="751616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>③</w:t>
      </w:r>
      <w:r>
        <w:rPr>
          <w:rFonts w:hint="eastAsia" w:ascii="Times New Roman" w:hAnsi="Times New Roman" w:cs="Times New Roman"/>
          <w:b w:val="0"/>
          <w:bCs w:val="0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DCR (Detection of Cultural Region) sub-model</w:t>
      </w:r>
    </w:p>
    <w:p w14:paraId="6BC3BD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First, site points are converted into a density raster surface. The density value for any given location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auto"/>
          <w:lang w:val="en-US" w:eastAsia="zh-CN"/>
        </w:rPr>
        <w:t>x,y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calculated u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sing the Kernel Density Estimation (KDE) method:</w:t>
      </w:r>
    </w:p>
    <w:p w14:paraId="7C830C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bookmarkStart w:id="1" w:name="_Hlk176420563"/>
      <m:oMathPara>
        <m:oMathParaPr>
          <m:jc m:val="left"/>
        </m:oMathParaPr>
        <m:oMath>
          <m:eqArr>
            <m:eqArrPr>
              <m:maxDist m:val="1"/>
              <m:ctrlPr>
                <w:rPr>
                  <w:rFonts w:hint="default" w:ascii="Cambria Math" w:hAnsi="Cambria Math" w:eastAsia="宋体" w:cs="Times New Roman"/>
                  <w:color w:val="auto"/>
                  <w:lang w:val="en-US" w:eastAsia="zh-CN"/>
                </w:rPr>
              </m:ctrlPr>
            </m:eqArrPr>
            <m:e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color w:val="auto"/>
                  <w:lang w:val="en-US" w:eastAsia="zh-CN"/>
                </w:rPr>
                <m:t xml:space="preserve">                                                     </m:t>
              </m:r>
              <m:r>
                <m:rPr/>
                <w:rPr>
                  <w:rFonts w:hint="default" w:ascii="Times New Roman" w:hAnsi="Times New Roman" w:eastAsia="宋体" w:cs="Times New Roman"/>
                  <w:color w:val="auto"/>
                  <w:lang w:val="en-US" w:eastAsia="zh-CN"/>
                </w:rPr>
                <m:t>f</m:t>
              </m:r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dPr>
                <m:e>
                  <m:r>
                    <m:rPr/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color w:val="auto"/>
                  <w:lang w:val="en-US" w:eastAsia="zh-CN"/>
                </w:rPr>
                <m:t>=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num>
                <m:den>
                  <m:r>
                    <m:rPr/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nh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naryPr>
                <m:sub>
                  <m:r>
                    <m:rPr/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i</m:t>
                  </m:r>
                  <m:r>
                    <m:rPr>
                      <m:sty m:val="p"/>
                    </m:rPr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sub>
                <m:sup>
                  <m:r>
                    <m:rPr/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sup>
                <m:e>
                  <m:r>
                    <m:rPr/>
                    <w:rPr>
                      <w:rFonts w:hint="default" w:ascii="Times New Roman" w:hAnsi="Times New Roman" w:eastAsia="宋体" w:cs="Times New Roman"/>
                      <w:color w:val="auto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color w:val="auto"/>
                      <w:lang w:val="en-US" w:eastAsia="zh-CN"/>
                    </w:rPr>
                  </m:ctrlPr>
                </m:e>
              </m:nary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i/>
                          <w:iCs/>
                          <w:color w:val="auto"/>
                          <w:lang w:val="en-US" w:eastAsia="zh-CN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Times New Roman" w:hAnsi="Times New Roman" w:eastAsia="宋体" w:cs="Times New Roman"/>
                          <w:color w:val="auto"/>
                          <w:lang w:val="en-US" w:eastAsia="zh-CN"/>
                        </w:rPr>
                        <m:t>x−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  <w:iCs/>
                              <w:color w:val="auto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Times New Roman" w:hAnsi="Times New Roman" w:eastAsia="宋体" w:cs="Times New Roman"/>
                              <w:color w:val="auto"/>
                              <w:lang w:val="en-US" w:eastAsia="zh-CN"/>
                            </w:rPr>
                            <m:t>x</m:t>
                          </m:r>
                          <w:bookmarkEnd w:id="1"/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  <w:iCs/>
                              <w:color w:val="auto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Times New Roman" w:hAnsi="Times New Roman" w:eastAsia="宋体" w:cs="Times New Roman"/>
                              <w:color w:val="auto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  <w:iCs/>
                              <w:color w:val="auto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i/>
                          <w:iCs/>
                          <w:color w:val="auto"/>
                          <w:lang w:val="en-US" w:eastAsia="zh-CN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Times New Roman" w:hAnsi="Times New Roman" w:eastAsia="宋体" w:cs="Times New Roman"/>
                          <w:color w:val="auto"/>
                          <w:lang w:val="en-US" w:eastAsia="zh-CN"/>
                        </w:rPr>
                        <m:t>h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  <w:iCs/>
                          <w:color w:val="auto"/>
                          <w:lang w:val="en-US" w:eastAsia="zh-C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e>
              </m:d>
              <m:r>
                <m:rPr>
                  <m:sty m:val="p"/>
                </m:rPr>
                <w:rPr>
                  <w:rFonts w:hint="default" w:ascii="Times New Roman" w:hAnsi="Times New Roman" w:eastAsia="宋体" w:cs="Times New Roman"/>
                  <w:color w:val="auto"/>
                  <w:lang w:val="en-US" w:eastAsia="zh-CN"/>
                </w:rPr>
                <m:t xml:space="preserve">                                                 （3）</m:t>
              </m:r>
              <m:ctrlPr>
                <w:rPr>
                  <w:rFonts w:hint="default" w:ascii="Cambria Math" w:hAnsi="Cambria Math" w:eastAsia="宋体" w:cs="Times New Roman"/>
                  <w:color w:val="auto"/>
                  <w:lang w:val="en-US" w:eastAsia="zh-CN"/>
                </w:rPr>
              </m:ctrlPr>
            </m:e>
          </m:eqArr>
        </m:oMath>
      </m:oMathPara>
    </w:p>
    <w:p w14:paraId="654189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Where </w:t>
      </w:r>
      <w:r>
        <w:rPr>
          <w:rFonts w:hint="default" w:ascii="Times New Roman" w:hAnsi="Times New Roman" w:eastAsia="宋体" w:cs="Times New Roman"/>
          <w:i/>
          <w:iCs/>
          <w:color w:val="auto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the number of resources (sites); </w:t>
      </w:r>
      <w:r>
        <w:rPr>
          <w:rFonts w:hint="default" w:ascii="Times New Roman" w:hAnsi="Times New Roman" w:eastAsia="宋体" w:cs="Times New Roman"/>
          <w:i/>
          <w:iCs/>
          <w:color w:val="auto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the bandwidth; </w:t>
      </w:r>
      <w:r>
        <w:rPr>
          <w:rFonts w:hint="default" w:ascii="Times New Roman" w:hAnsi="Times New Roman" w:eastAsia="宋体" w:cs="Times New Roman"/>
          <w:i/>
          <w:iCs/>
          <w:color w:val="auto"/>
          <w:lang w:val="en-US" w:eastAsia="zh-CN"/>
        </w:rPr>
        <w:t>k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is the kernel function (a quadratic kernel function is employed in this study)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, representing the distance from the estimation point </w:t>
      </w:r>
      <m:oMath>
        <m:r>
          <m:rPr/>
          <w:rPr>
            <w:rFonts w:hint="default" w:ascii="Times New Roman" w:hAnsi="Times New Roman" w:eastAsia="宋体" w:cs="Times New Roman"/>
            <w:color w:val="auto"/>
            <w:lang w:val="en-US" w:eastAsia="zh-CN"/>
          </w:rPr>
          <m:t>x</m:t>
        </m:r>
      </m:oMath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to the resource point 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SubPr>
          <m:e>
            <m:r>
              <m:rPr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e>
          <m:sub>
            <m:r>
              <m:rPr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</w:p>
    <w:p w14:paraId="1B229E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Second, a </w:t>
      </w: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3×3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square moving window is constructed over the original density surface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(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W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_ori (3×3)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ub>
        </m:sSub>
      </m:oMath>
      <w:r>
        <w:rPr>
          <w:rFonts w:hint="eastAsia" w:hAnsi="Cambria Math" w:eastAsia="宋体" w:cs="Times New Roman"/>
          <w:i w:val="0"/>
          <w:iCs/>
          <w:color w:val="auto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to extract the local maximum value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(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W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_max (3×3)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ub>
        </m:sSub>
      </m:oMath>
      <w:r>
        <w:rPr>
          <w:rFonts w:hint="eastAsia" w:hAnsi="Cambria Math" w:eastAsia="宋体" w:cs="Times New Roman"/>
          <w:i w:val="0"/>
          <w:iCs/>
          <w:color w:val="auto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within each window. This maximum value is assigned to all pixels within the window. The difference between the new window and the original density surface constitutes a derived window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(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W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_diff (3×3)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ub>
        </m:sSub>
      </m:oMath>
      <w:r>
        <w:rPr>
          <w:rFonts w:hint="eastAsia" w:hAnsi="Cambria Math" w:eastAsia="宋体" w:cs="Times New Roman"/>
          <w:i w:val="0"/>
          <w:iCs/>
          <w:color w:val="auto"/>
          <w:lang w:val="en-US" w:eastAsia="zh-CN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, calculated as follows:</w:t>
      </w:r>
    </w:p>
    <w:p w14:paraId="1EB552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default" w:ascii="Times New Roman" w:hAnsi="Times New Roman" w:eastAsia="宋体" w:cs="Times New Roman"/>
              <w:color w:val="auto"/>
              <w:lang w:val="en-US" w:eastAsia="zh-CN"/>
            </w:rPr>
            <m:t xml:space="preserve">                                              </m:t>
          </m:r>
          <m:sSub>
            <m:sSubPr>
              <m:ctrlPr>
                <w:rPr>
                  <w:rFonts w:hint="default" w:ascii="Cambria Math" w:hAnsi="Cambria Math" w:eastAsia="宋体" w:cs="Times New Roman"/>
                  <w:i/>
                  <w:iCs/>
                  <w:color w:val="auto"/>
                  <w:lang w:val="en-US" w:eastAsia="zh-CN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iCs/>
                      <w:color w:val="auto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  <w:iCs/>
                      <w:color w:val="auto"/>
                      <w:lang w:val="en-US" w:eastAsia="zh-CN"/>
                    </w:rPr>
                    <m:t>_diff (3×3)</m:t>
                  </m:r>
                  <m:ctrlPr>
                    <w:rPr>
                      <w:rFonts w:hint="default" w:ascii="Cambria Math" w:hAnsi="Cambria Math" w:eastAsia="宋体" w:cs="Times New Roman"/>
                      <w:i/>
                      <w:iCs/>
                      <w:color w:val="auto"/>
                      <w:lang w:val="en-US" w:eastAsia="zh-CN"/>
                    </w:rPr>
                  </m:ctrlPr>
                </m:sub>
              </m:s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iCs/>
                  <w:color w:val="auto"/>
                  <w:lang w:val="en-US" w:eastAsia="zh-CN"/>
                </w:rPr>
                <m:t>=W</m:t>
              </m:r>
              <m:ctrlPr>
                <w:rPr>
                  <w:rFonts w:hint="default" w:ascii="Cambria Math" w:hAnsi="Cambria Math" w:eastAsia="宋体" w:cs="Times New Roman"/>
                  <w:i/>
                  <w:iCs/>
                  <w:color w:val="auto"/>
                  <w:lang w:val="en-US" w:eastAsia="zh-C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iCs/>
                  <w:color w:val="auto"/>
                  <w:lang w:val="en-US" w:eastAsia="zh-CN"/>
                </w:rPr>
                <m:t>_max (3×3)</m:t>
              </m:r>
              <m:ctrlPr>
                <w:rPr>
                  <w:rFonts w:hint="default" w:ascii="Cambria Math" w:hAnsi="Cambria Math" w:eastAsia="宋体" w:cs="Times New Roman"/>
                  <w:i/>
                  <w:iCs/>
                  <w:color w:val="auto"/>
                  <w:lang w:val="en-US" w:eastAsia="zh-CN"/>
                </w:rPr>
              </m:ctrlPr>
            </m:sub>
          </m:sSub>
          <m:r>
            <m:rPr>
              <m:nor/>
            </m:rPr>
            <w:rPr>
              <w:rFonts w:hint="default" w:ascii="Times New Roman" w:hAnsi="Times New Roman" w:eastAsia="宋体" w:cs="Times New Roman"/>
              <w:i/>
              <w:iCs/>
              <w:color w:val="auto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eastAsia="宋体" w:cs="Times New Roman"/>
                  <w:i/>
                  <w:iCs/>
                  <w:color w:val="auto"/>
                  <w:lang w:val="en-US" w:eastAsia="zh-C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iCs/>
                  <w:color w:val="auto"/>
                  <w:lang w:val="en-US" w:eastAsia="zh-CN"/>
                </w:rPr>
                <m:t>W</m:t>
              </m:r>
              <m:ctrlPr>
                <w:rPr>
                  <w:rFonts w:hint="default" w:ascii="Cambria Math" w:hAnsi="Cambria Math" w:eastAsia="宋体" w:cs="Times New Roman"/>
                  <w:i/>
                  <w:iCs/>
                  <w:color w:val="auto"/>
                  <w:lang w:val="en-US" w:eastAsia="zh-C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iCs/>
                  <w:color w:val="auto"/>
                  <w:lang w:val="en-US" w:eastAsia="zh-CN"/>
                </w:rPr>
                <m:t>_ori (3×3)</m:t>
              </m:r>
              <m:ctrlPr>
                <w:rPr>
                  <w:rFonts w:hint="default" w:ascii="Cambria Math" w:hAnsi="Cambria Math" w:eastAsia="宋体" w:cs="Times New Roman"/>
                  <w:i/>
                  <w:iCs/>
                  <w:color w:val="auto"/>
                  <w:lang w:val="en-US" w:eastAsia="zh-CN"/>
                </w:rPr>
              </m:ctrlPr>
            </m:sub>
          </m:sSub>
          <m:r>
            <m:rPr/>
            <w:rPr>
              <w:rFonts w:hint="default" w:ascii="Times New Roman" w:hAnsi="Times New Roman" w:eastAsia="宋体" w:cs="Times New Roman"/>
              <w:color w:val="auto"/>
              <w:lang w:val="en-US" w:eastAsia="zh-CN"/>
            </w:rPr>
            <m:t xml:space="preserve">  </m:t>
          </m:r>
          <m:r>
            <m:rPr>
              <m:sty m:val="p"/>
            </m:rPr>
            <w:rPr>
              <w:rFonts w:hint="default" w:ascii="Times New Roman" w:hAnsi="Times New Roman" w:eastAsia="宋体" w:cs="Times New Roman"/>
              <w:color w:val="auto"/>
              <w:lang w:val="en-US" w:eastAsia="zh-CN"/>
            </w:rPr>
            <m:t xml:space="preserve">                                           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color w:val="auto"/>
              <w:lang w:val="en-US" w:eastAsia="zh-CN"/>
            </w:rPr>
            <m:t>（2）</m:t>
          </m:r>
        </m:oMath>
      </m:oMathPara>
    </w:p>
    <w:p w14:paraId="581CF9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This part of the Python script is in the supplementary material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“Cultural_Hearth_Detection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”</w:t>
      </w:r>
    </w:p>
    <w:p w14:paraId="4A5CFB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inally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, 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n the difference window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(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W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auto"/>
                <w:lang w:val="en-US" w:eastAsia="zh-CN"/>
              </w:rPr>
              <m:t>_diff (3×3)</m:t>
            </m:r>
            <m:ctrlPr>
              <w:rPr>
                <w:rFonts w:hint="default" w:ascii="Cambria Math" w:hAnsi="Cambria Math" w:eastAsia="宋体" w:cs="Times New Roman"/>
                <w:i/>
                <w:iCs/>
                <w:color w:val="auto"/>
                <w:lang w:val="en-US" w:eastAsia="zh-CN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, pixels w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ith a value of 0 possess the local maximum density and represent potential centers of cultural regions. These pixels are extracted via binarization and vectorization. Final cultural hearths are determined by vali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dating these extracted centers against archaeological literature and the spatial clustering of sites. The conceptual framework is illustrated in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S3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.</w:t>
      </w:r>
    </w:p>
    <w:p w14:paraId="509289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640080</wp:posOffset>
            </wp:positionH>
            <wp:positionV relativeFrom="paragraph">
              <wp:posOffset>28575</wp:posOffset>
            </wp:positionV>
            <wp:extent cx="3628390" cy="3778250"/>
            <wp:effectExtent l="0" t="0" r="10160" b="12700"/>
            <wp:wrapNone/>
            <wp:docPr id="4" name="图片 4" descr="图2示意过程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2示意过程拼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F9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EEE41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1FB528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05047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DDB2A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5730E8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429C68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3C62B0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1BF58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E06D8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4C3C91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1EF81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A7B01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S3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Schematic Diagram of Cultural Region Detection</w:t>
      </w:r>
    </w:p>
    <w:p w14:paraId="0DB9FA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u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(2) Recognition of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c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ultural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d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 xml:space="preserve">iffusion 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lang w:val="en-US" w:eastAsia="zh-CN"/>
        </w:rPr>
        <w:t>t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  <w:t>ypes</w:t>
      </w:r>
    </w:p>
    <w:p w14:paraId="74382A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S4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presents a schematic diagram of the contour tree structure within the </w:t>
      </w:r>
      <w:r>
        <w:rPr>
          <w:rFonts w:hint="default" w:ascii="Times New Roman" w:hAnsi="Times New Roman" w:eastAsia="宋体" w:cs="Times New Roman"/>
          <w:b w:val="0"/>
          <w:color w:val="auto"/>
          <w:kern w:val="2"/>
          <w:sz w:val="21"/>
          <w:szCs w:val="24"/>
          <w:highlight w:val="none"/>
          <w:lang w:val="en-US" w:eastAsia="zh-CN" w:bidi="ar-SA"/>
        </w:rPr>
        <w:t>RDT（Recognition for Diffusion Types）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ub-model. In this structure, leaf nodes represent Level-1 cultural regions (highest density), while the root node represents the entire study area. The merging level of each leaf node determines its diffusion type.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For instance, consider a specific leaf node (e.g., node ⑫). If its ancestral node is only merged at the root node (e.g., node ㉞), resulting in a merging level of 7, the diffusion pattern of the cultural sub-region represented by that leaf node is classified as “Leapfrog diffusion.” Otherwise, it is classified as “Radial diffusion” in a global context. Similarly, for levels other than the root node, a consistent discriminant method is applied to determine the diffusion types for all cultural regions.</w:t>
      </w:r>
    </w:p>
    <w:p w14:paraId="7DBFDD0C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37465</wp:posOffset>
            </wp:positionH>
            <wp:positionV relativeFrom="paragraph">
              <wp:posOffset>35560</wp:posOffset>
            </wp:positionV>
            <wp:extent cx="5240655" cy="2035810"/>
            <wp:effectExtent l="0" t="0" r="17145" b="2540"/>
            <wp:wrapNone/>
            <wp:docPr id="6" name="图片 6" descr="结构树数字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结构树数字标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DE185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CDCD25C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48511696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363F511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3072702A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EF55156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459E46F0"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5E364DDE">
      <w:pPr>
        <w:jc w:val="center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0D6037F5">
      <w:pPr>
        <w:jc w:val="center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1FE58392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7DB3A4CB">
      <w:pPr>
        <w:jc w:val="center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igure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2"/>
          <w:sz w:val="21"/>
          <w:szCs w:val="21"/>
          <w:shd w:val="clear" w:fill="FFFFFF"/>
          <w:lang w:val="en-US" w:eastAsia="zh-CN" w:bidi="ar-SA"/>
        </w:rPr>
        <w:t>S4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Cultural diffusion type recognition gradient tree</w:t>
      </w:r>
    </w:p>
    <w:p w14:paraId="203CD5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2.2.4 Cultural 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d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iffusion 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athways (CDP)</w:t>
      </w:r>
    </w:p>
    <w:p w14:paraId="60731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The methods for calculating weight and cost surfaces refer to the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script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and operation process in Section 2.2.2(1)above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. </w:t>
      </w:r>
    </w:p>
    <w:p w14:paraId="24843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T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he specific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Python script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for the cultural diffusion path 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is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in the supplementary material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“Cultural_Diffusion_Path”.</w:t>
      </w:r>
    </w:p>
    <w:p w14:paraId="6B14AD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2.2.5 Strontium 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i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 xml:space="preserve">sotope 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a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1"/>
          <w:szCs w:val="21"/>
          <w:highlight w:val="none"/>
          <w:shd w:val="clear" w:fill="FFFFFF"/>
          <w:lang w:val="en-US" w:eastAsia="zh-CN" w:bidi="ar-SA"/>
        </w:rPr>
        <w:t>nalysis</w:t>
      </w:r>
    </w:p>
    <w:p w14:paraId="40078E7E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Specifically in the supplementary material 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“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Isotope_Raw Da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ta_Table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  <w:t>S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8</w:t>
      </w:r>
      <w:r>
        <w:rPr>
          <w:rFonts w:hint="default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”</w:t>
      </w:r>
      <w:r>
        <w:rPr>
          <w:rFonts w:hint="eastAsia" w:ascii="Times New Roman" w:hAnsi="Times New Roman" w:cs="Times New Roman"/>
          <w:color w:val="auto"/>
          <w:kern w:val="0"/>
          <w:sz w:val="21"/>
          <w:szCs w:val="21"/>
          <w:highlight w:val="none"/>
          <w:lang w:val="en-US" w:eastAsia="zh-CN" w:bidi="ar"/>
        </w:rPr>
        <w:t>.</w:t>
      </w:r>
    </w:p>
    <w:p w14:paraId="0299B691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3DC173E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6A835A4C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85D8107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C5E430D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63D75E7D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59C1C1B9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1CE56C8B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7D98151B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123AD937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7A977AA1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2D223E5E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7D51C540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CE28DEA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7A5927D7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20099DE6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6FFBF7A2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3D5C168F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</w:p>
    <w:p w14:paraId="6204368F">
      <w:pPr>
        <w:jc w:val="both"/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bookmarkStart w:id="2" w:name="_GoBack"/>
      <w:bookmarkEnd w:id="2"/>
    </w:p>
    <w:p w14:paraId="5E8F794B">
      <w:pPr>
        <w:rPr>
          <w:rFonts w:hint="default" w:ascii="Times New Roman" w:hAnsi="Times New Roman" w:cs="Times New Roman" w:eastAsiaTheme="minorEastAsia"/>
          <w:color w:val="auto"/>
          <w:kern w:val="0"/>
          <w:sz w:val="21"/>
          <w:szCs w:val="21"/>
          <w:highlight w:val="none"/>
          <w:lang w:val="en-US" w:eastAsia="zh-CN" w:bidi="ar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auto"/>
          <w:spacing w:val="0"/>
          <w:kern w:val="2"/>
          <w:sz w:val="24"/>
          <w:szCs w:val="24"/>
          <w:highlight w:val="none"/>
          <w:shd w:val="clear" w:fill="FFFFFF"/>
          <w:lang w:val="en-US" w:eastAsia="zh-CN" w:bidi="ar-SA"/>
        </w:rPr>
        <w:t>References:</w:t>
      </w:r>
    </w:p>
    <w:sectPr>
      <w:endnotePr>
        <w:numFmt w:val="decimal"/>
      </w:end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0">
    <w:p/>
  </w:endnote>
  <w:endnote w:type="continuationSeparator" w:id="21">
    <w:p/>
  </w:endnote>
  <w:endnote w:id="0">
    <w:p w14:paraId="3FB92B6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S. Zhou. Climatic and environmental changes in NE Tibetan Plateau during the Holocene, recorded by lake sediments from Lake Gahai [D]. Lanzhou: Lanzhou University, (2024).</w:t>
      </w:r>
    </w:p>
  </w:endnote>
  <w:endnote w:id="1">
    <w:p w14:paraId="75AE43C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Y. Yu, Y. Jin, D. Xu, et al. Vegetational and climatic changes in the Hurleg Lake, Qinghai, during the last 14,000 years [J]. Quaternary Sciences, 41 (5) (2021), 1229-1243.</w:t>
      </w:r>
    </w:p>
  </w:endnote>
  <w:endnote w:id="2">
    <w:p w14:paraId="2154AEC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T. Wang. Studies on vegetation cover, pastoralism and paleo-fire activities in the eastern Qinghai-Tibet Plateau since the last deglaciation [D]. Lanzhou: Lanzhou University, (2024).</w:t>
      </w:r>
    </w:p>
  </w:endnote>
  <w:endnote w:id="3">
    <w:p w14:paraId="5F00AC3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Y. Wang. Study on Holocene Climate and Environmental Change and Human Activities in the Source of Three Rivers [D]. Xining: Qinghai Normal University, (2023).</w:t>
      </w:r>
    </w:p>
  </w:endnote>
  <w:endnote w:id="4">
    <w:p w14:paraId="01B1342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. L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v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. A novel procedure for quantitative paleoclimate reconstructions based on pollen assemblages and its application in China and adjacent area [D]. Lanzhou: Lanzhou University, (2021).</w:t>
      </w:r>
    </w:p>
  </w:endnote>
  <w:endnote w:id="5">
    <w:p w14:paraId="1035D94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M. Ao. Human activities and environmental contexts in the Republican Basin during the Neolithic—the case of the ZBK site [D]. Xining: Qinghai Normal University, (2025).</w:t>
      </w:r>
    </w:p>
  </w:endnote>
  <w:endnote w:id="6">
    <w:p w14:paraId="5E010B0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B. Qi. Environmental Evolution and Human Activities in the Gonghe Basin during the Mid Late Holocene—A Case Study of Nankanyan Site [D]. Xining: Qinghai Normal University, (2022).</w:t>
      </w:r>
    </w:p>
  </w:endnote>
  <w:endnote w:id="7">
    <w:p w14:paraId="5964333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]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X. Fang, G. Hou. Synthetically Reconstructed Holocene Temperature Change in China [J]. Geographical Science, 31 (4) (2011), 385-393.</w:t>
      </w:r>
    </w:p>
  </w:endnote>
  <w:endnote w:id="8">
    <w:p w14:paraId="2733EEC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] K.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Wu, L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Kang, X.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Li, et al. Explanation of the Methods and Standards for Evaluating Soil Suitability for Agricultural Use[J].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Chinese Journal of Soil Science,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55(05) (20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24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), 1201-1204.</w:t>
      </w:r>
    </w:p>
  </w:endnote>
  <w:endnote w:id="9">
    <w:p w14:paraId="0E0FE0E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[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endnoteRef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] Z.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Gong. Soil geography of China [M]. Beijing: Science Press, (2014).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8B10DF"/>
    <w:multiLevelType w:val="singleLevel"/>
    <w:tmpl w:val="D08B10DF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numFmt w:val="decimal"/>
    <w:endnote w:id="20"/>
    <w:endnote w:id="2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B5504"/>
    <w:rsid w:val="003B07D1"/>
    <w:rsid w:val="008109B4"/>
    <w:rsid w:val="00EF5952"/>
    <w:rsid w:val="011D7196"/>
    <w:rsid w:val="02672E6C"/>
    <w:rsid w:val="02713B96"/>
    <w:rsid w:val="034C58FE"/>
    <w:rsid w:val="03DD2F7F"/>
    <w:rsid w:val="04632544"/>
    <w:rsid w:val="04827C79"/>
    <w:rsid w:val="048605CC"/>
    <w:rsid w:val="049106B5"/>
    <w:rsid w:val="059C0739"/>
    <w:rsid w:val="05EC4D13"/>
    <w:rsid w:val="07BA557B"/>
    <w:rsid w:val="086122C9"/>
    <w:rsid w:val="090B40C1"/>
    <w:rsid w:val="091F702D"/>
    <w:rsid w:val="098C29E1"/>
    <w:rsid w:val="0A62624C"/>
    <w:rsid w:val="0A906A36"/>
    <w:rsid w:val="0AEB5A5A"/>
    <w:rsid w:val="0AF838A6"/>
    <w:rsid w:val="0BBF77E6"/>
    <w:rsid w:val="0CA77331"/>
    <w:rsid w:val="0CD87FE8"/>
    <w:rsid w:val="0D0E4BDC"/>
    <w:rsid w:val="0D1A2783"/>
    <w:rsid w:val="0D3E7F7A"/>
    <w:rsid w:val="0D945F05"/>
    <w:rsid w:val="0DAF3008"/>
    <w:rsid w:val="0DC36C30"/>
    <w:rsid w:val="0E0944A1"/>
    <w:rsid w:val="0E3802AA"/>
    <w:rsid w:val="0E477F9F"/>
    <w:rsid w:val="0E553650"/>
    <w:rsid w:val="0EF636A1"/>
    <w:rsid w:val="0EFC5D40"/>
    <w:rsid w:val="0F6E024E"/>
    <w:rsid w:val="0F9A0216"/>
    <w:rsid w:val="10F85A01"/>
    <w:rsid w:val="110F648F"/>
    <w:rsid w:val="116B50AF"/>
    <w:rsid w:val="11730909"/>
    <w:rsid w:val="11996524"/>
    <w:rsid w:val="11AE7973"/>
    <w:rsid w:val="12390868"/>
    <w:rsid w:val="12536D7F"/>
    <w:rsid w:val="12A058A7"/>
    <w:rsid w:val="12F201FC"/>
    <w:rsid w:val="133809AC"/>
    <w:rsid w:val="13A9141E"/>
    <w:rsid w:val="153B4D36"/>
    <w:rsid w:val="154A0990"/>
    <w:rsid w:val="157A11C8"/>
    <w:rsid w:val="15973CEB"/>
    <w:rsid w:val="15D010C6"/>
    <w:rsid w:val="16DA0303"/>
    <w:rsid w:val="16F27F16"/>
    <w:rsid w:val="17384A3D"/>
    <w:rsid w:val="175F48D7"/>
    <w:rsid w:val="17D85402"/>
    <w:rsid w:val="17E366A4"/>
    <w:rsid w:val="17EF642F"/>
    <w:rsid w:val="18C0555E"/>
    <w:rsid w:val="18ED4641"/>
    <w:rsid w:val="18EF28AB"/>
    <w:rsid w:val="199B732A"/>
    <w:rsid w:val="19DC5E8A"/>
    <w:rsid w:val="1A0C2178"/>
    <w:rsid w:val="1AA963F1"/>
    <w:rsid w:val="1B7A18B1"/>
    <w:rsid w:val="1B970EB9"/>
    <w:rsid w:val="1BF43C15"/>
    <w:rsid w:val="1C194526"/>
    <w:rsid w:val="1C69058B"/>
    <w:rsid w:val="1CD61E50"/>
    <w:rsid w:val="1CF66E62"/>
    <w:rsid w:val="1D7C1921"/>
    <w:rsid w:val="1D893555"/>
    <w:rsid w:val="1DFD2F88"/>
    <w:rsid w:val="1E2E56E8"/>
    <w:rsid w:val="1F1A20A9"/>
    <w:rsid w:val="1F9662BB"/>
    <w:rsid w:val="1F9A7824"/>
    <w:rsid w:val="1FBD0947"/>
    <w:rsid w:val="20B87814"/>
    <w:rsid w:val="20CB7E3E"/>
    <w:rsid w:val="20FD64FD"/>
    <w:rsid w:val="21D53FC6"/>
    <w:rsid w:val="22926CA6"/>
    <w:rsid w:val="22B230CD"/>
    <w:rsid w:val="232D5917"/>
    <w:rsid w:val="241F0205"/>
    <w:rsid w:val="24A95133"/>
    <w:rsid w:val="24E20EBD"/>
    <w:rsid w:val="24E267BD"/>
    <w:rsid w:val="2509060F"/>
    <w:rsid w:val="2517133B"/>
    <w:rsid w:val="25994A6C"/>
    <w:rsid w:val="25CA4410"/>
    <w:rsid w:val="25F2490B"/>
    <w:rsid w:val="25FE784D"/>
    <w:rsid w:val="26647D34"/>
    <w:rsid w:val="269676FE"/>
    <w:rsid w:val="26A9403F"/>
    <w:rsid w:val="26E210F4"/>
    <w:rsid w:val="26F32980"/>
    <w:rsid w:val="27C21904"/>
    <w:rsid w:val="27CB7960"/>
    <w:rsid w:val="289F3A57"/>
    <w:rsid w:val="28A75CCE"/>
    <w:rsid w:val="29910E41"/>
    <w:rsid w:val="2A2A1B29"/>
    <w:rsid w:val="2B2C24F3"/>
    <w:rsid w:val="2B7D0AB8"/>
    <w:rsid w:val="2B911481"/>
    <w:rsid w:val="2BA129D7"/>
    <w:rsid w:val="2BA822DC"/>
    <w:rsid w:val="2C140D13"/>
    <w:rsid w:val="2C6F21B6"/>
    <w:rsid w:val="2D8C0CFC"/>
    <w:rsid w:val="2E6413AA"/>
    <w:rsid w:val="2EDE34BB"/>
    <w:rsid w:val="2EE92FBD"/>
    <w:rsid w:val="2EFA0A1E"/>
    <w:rsid w:val="2F8E21F9"/>
    <w:rsid w:val="2FDC11EE"/>
    <w:rsid w:val="2FFC6307"/>
    <w:rsid w:val="30591445"/>
    <w:rsid w:val="309657DE"/>
    <w:rsid w:val="30CA7036"/>
    <w:rsid w:val="314A5872"/>
    <w:rsid w:val="3163566D"/>
    <w:rsid w:val="31B55749"/>
    <w:rsid w:val="32343FC4"/>
    <w:rsid w:val="3237455F"/>
    <w:rsid w:val="32F05E88"/>
    <w:rsid w:val="33F85976"/>
    <w:rsid w:val="33FE4072"/>
    <w:rsid w:val="341E7F1A"/>
    <w:rsid w:val="343F4CC3"/>
    <w:rsid w:val="34966DC3"/>
    <w:rsid w:val="34DD4E8C"/>
    <w:rsid w:val="34FF5BC5"/>
    <w:rsid w:val="35426B0D"/>
    <w:rsid w:val="3554132A"/>
    <w:rsid w:val="35E013FF"/>
    <w:rsid w:val="35F245C4"/>
    <w:rsid w:val="36246ADA"/>
    <w:rsid w:val="36627CE9"/>
    <w:rsid w:val="368B0E94"/>
    <w:rsid w:val="36D608DD"/>
    <w:rsid w:val="377C2B14"/>
    <w:rsid w:val="385C214B"/>
    <w:rsid w:val="39257234"/>
    <w:rsid w:val="39F15160"/>
    <w:rsid w:val="3A1E0661"/>
    <w:rsid w:val="3ACB7414"/>
    <w:rsid w:val="3AD969A0"/>
    <w:rsid w:val="3AFA343C"/>
    <w:rsid w:val="3B113271"/>
    <w:rsid w:val="3B263CF9"/>
    <w:rsid w:val="3B8F0FD8"/>
    <w:rsid w:val="3BDD0B5D"/>
    <w:rsid w:val="3BFD5251"/>
    <w:rsid w:val="3C61454C"/>
    <w:rsid w:val="3CD62446"/>
    <w:rsid w:val="3D0957C5"/>
    <w:rsid w:val="3D1C7C39"/>
    <w:rsid w:val="3D5B4165"/>
    <w:rsid w:val="3D870D25"/>
    <w:rsid w:val="3DCF3D4B"/>
    <w:rsid w:val="3E230B71"/>
    <w:rsid w:val="3E234C69"/>
    <w:rsid w:val="3E43482F"/>
    <w:rsid w:val="3E6A40EA"/>
    <w:rsid w:val="3E8E2F8B"/>
    <w:rsid w:val="3F9C2F77"/>
    <w:rsid w:val="3FEF6D35"/>
    <w:rsid w:val="40607CC5"/>
    <w:rsid w:val="410A3A0C"/>
    <w:rsid w:val="415C280C"/>
    <w:rsid w:val="41643A95"/>
    <w:rsid w:val="41A01009"/>
    <w:rsid w:val="42250646"/>
    <w:rsid w:val="432C46B5"/>
    <w:rsid w:val="434C37FE"/>
    <w:rsid w:val="44DC5C16"/>
    <w:rsid w:val="453E457A"/>
    <w:rsid w:val="459370FC"/>
    <w:rsid w:val="45C95328"/>
    <w:rsid w:val="462B5504"/>
    <w:rsid w:val="46352DF5"/>
    <w:rsid w:val="46DD53B4"/>
    <w:rsid w:val="46E93EBA"/>
    <w:rsid w:val="470020A2"/>
    <w:rsid w:val="482B44DF"/>
    <w:rsid w:val="487A6845"/>
    <w:rsid w:val="48AC7B39"/>
    <w:rsid w:val="491A0D7C"/>
    <w:rsid w:val="4A0E6D56"/>
    <w:rsid w:val="4A275494"/>
    <w:rsid w:val="4A613726"/>
    <w:rsid w:val="4ACF422E"/>
    <w:rsid w:val="4B0F5E52"/>
    <w:rsid w:val="4B227EB1"/>
    <w:rsid w:val="4B5F43BB"/>
    <w:rsid w:val="4BB82784"/>
    <w:rsid w:val="4BD17713"/>
    <w:rsid w:val="4BEC1122"/>
    <w:rsid w:val="4C267344"/>
    <w:rsid w:val="4C5224BD"/>
    <w:rsid w:val="4C8478EE"/>
    <w:rsid w:val="4CA30BAA"/>
    <w:rsid w:val="4CD47704"/>
    <w:rsid w:val="4CDB0020"/>
    <w:rsid w:val="4CF278FF"/>
    <w:rsid w:val="4D106BD8"/>
    <w:rsid w:val="4D446F81"/>
    <w:rsid w:val="4DE42181"/>
    <w:rsid w:val="4E1534FC"/>
    <w:rsid w:val="4E321BDC"/>
    <w:rsid w:val="4E5C42D0"/>
    <w:rsid w:val="4E867AEA"/>
    <w:rsid w:val="4E930383"/>
    <w:rsid w:val="4F3C566C"/>
    <w:rsid w:val="502A11E1"/>
    <w:rsid w:val="50695F96"/>
    <w:rsid w:val="50EA6662"/>
    <w:rsid w:val="510A3489"/>
    <w:rsid w:val="51324D9E"/>
    <w:rsid w:val="518838D2"/>
    <w:rsid w:val="51D2572D"/>
    <w:rsid w:val="51E7284D"/>
    <w:rsid w:val="521E4AE2"/>
    <w:rsid w:val="52786B39"/>
    <w:rsid w:val="52984489"/>
    <w:rsid w:val="52CC2E9E"/>
    <w:rsid w:val="530B2564"/>
    <w:rsid w:val="535F2489"/>
    <w:rsid w:val="540E7126"/>
    <w:rsid w:val="5447475D"/>
    <w:rsid w:val="54895DDD"/>
    <w:rsid w:val="5490013F"/>
    <w:rsid w:val="54942D10"/>
    <w:rsid w:val="54B43AF7"/>
    <w:rsid w:val="54DB31EB"/>
    <w:rsid w:val="557027AC"/>
    <w:rsid w:val="55C049DC"/>
    <w:rsid w:val="56B3782D"/>
    <w:rsid w:val="56C27EC7"/>
    <w:rsid w:val="56E0584A"/>
    <w:rsid w:val="56EA4738"/>
    <w:rsid w:val="56F07BAF"/>
    <w:rsid w:val="571258D7"/>
    <w:rsid w:val="57427ADD"/>
    <w:rsid w:val="57623E3B"/>
    <w:rsid w:val="581A1D62"/>
    <w:rsid w:val="58766A9D"/>
    <w:rsid w:val="587B2878"/>
    <w:rsid w:val="58C04D4B"/>
    <w:rsid w:val="58C5692D"/>
    <w:rsid w:val="59D271FD"/>
    <w:rsid w:val="5A556525"/>
    <w:rsid w:val="5AE8367B"/>
    <w:rsid w:val="5B416667"/>
    <w:rsid w:val="5B6854A8"/>
    <w:rsid w:val="5B767BC7"/>
    <w:rsid w:val="5D1E75D0"/>
    <w:rsid w:val="5D5C6D92"/>
    <w:rsid w:val="5E2F3045"/>
    <w:rsid w:val="5E3D335A"/>
    <w:rsid w:val="5EF16A07"/>
    <w:rsid w:val="5F3245CD"/>
    <w:rsid w:val="605A5D4C"/>
    <w:rsid w:val="60D61108"/>
    <w:rsid w:val="612002D2"/>
    <w:rsid w:val="61CB5E20"/>
    <w:rsid w:val="61D5589D"/>
    <w:rsid w:val="623461A8"/>
    <w:rsid w:val="628F02C1"/>
    <w:rsid w:val="62E54D75"/>
    <w:rsid w:val="63182B79"/>
    <w:rsid w:val="634A7BAB"/>
    <w:rsid w:val="63782EFD"/>
    <w:rsid w:val="63976A77"/>
    <w:rsid w:val="63987D85"/>
    <w:rsid w:val="63ED7C1D"/>
    <w:rsid w:val="63FE0704"/>
    <w:rsid w:val="64106C39"/>
    <w:rsid w:val="64370110"/>
    <w:rsid w:val="64843D13"/>
    <w:rsid w:val="64B55108"/>
    <w:rsid w:val="654723D6"/>
    <w:rsid w:val="65684C42"/>
    <w:rsid w:val="65B619AD"/>
    <w:rsid w:val="660F7B1C"/>
    <w:rsid w:val="661621C8"/>
    <w:rsid w:val="663B13AC"/>
    <w:rsid w:val="665560F1"/>
    <w:rsid w:val="66626E48"/>
    <w:rsid w:val="66B02D33"/>
    <w:rsid w:val="6723497B"/>
    <w:rsid w:val="677B5961"/>
    <w:rsid w:val="69451451"/>
    <w:rsid w:val="69AA3271"/>
    <w:rsid w:val="6A02415F"/>
    <w:rsid w:val="6A205012"/>
    <w:rsid w:val="6A3B67A7"/>
    <w:rsid w:val="6A677DA2"/>
    <w:rsid w:val="6AD8453D"/>
    <w:rsid w:val="6AF64F3B"/>
    <w:rsid w:val="6B0D24B0"/>
    <w:rsid w:val="6B276C24"/>
    <w:rsid w:val="6B3D123A"/>
    <w:rsid w:val="6BD16C53"/>
    <w:rsid w:val="6C2746CA"/>
    <w:rsid w:val="6C92139C"/>
    <w:rsid w:val="6DE97BEB"/>
    <w:rsid w:val="6DED2F92"/>
    <w:rsid w:val="6E7D4569"/>
    <w:rsid w:val="6EF1785A"/>
    <w:rsid w:val="6FC07D68"/>
    <w:rsid w:val="70594996"/>
    <w:rsid w:val="70890B57"/>
    <w:rsid w:val="70A20A50"/>
    <w:rsid w:val="70E41F96"/>
    <w:rsid w:val="710D5FC5"/>
    <w:rsid w:val="715D3B28"/>
    <w:rsid w:val="715F16AA"/>
    <w:rsid w:val="719300EE"/>
    <w:rsid w:val="71FD00E0"/>
    <w:rsid w:val="7254503A"/>
    <w:rsid w:val="7255038D"/>
    <w:rsid w:val="729F26E6"/>
    <w:rsid w:val="72DA58C6"/>
    <w:rsid w:val="736522FF"/>
    <w:rsid w:val="74177BFA"/>
    <w:rsid w:val="74872211"/>
    <w:rsid w:val="75B66779"/>
    <w:rsid w:val="75D451F2"/>
    <w:rsid w:val="762E153F"/>
    <w:rsid w:val="764A2ADD"/>
    <w:rsid w:val="76F90872"/>
    <w:rsid w:val="771C1965"/>
    <w:rsid w:val="774A1075"/>
    <w:rsid w:val="77F179E2"/>
    <w:rsid w:val="78882023"/>
    <w:rsid w:val="79F03A64"/>
    <w:rsid w:val="79FB1A3D"/>
    <w:rsid w:val="7A321E0F"/>
    <w:rsid w:val="7A604D0C"/>
    <w:rsid w:val="7A9D1418"/>
    <w:rsid w:val="7AD03358"/>
    <w:rsid w:val="7B360572"/>
    <w:rsid w:val="7B7A0BB6"/>
    <w:rsid w:val="7B9919F3"/>
    <w:rsid w:val="7C0838EC"/>
    <w:rsid w:val="7C2E1242"/>
    <w:rsid w:val="7CF864DA"/>
    <w:rsid w:val="7DE2661C"/>
    <w:rsid w:val="7F592A1E"/>
    <w:rsid w:val="7FD6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endnote text"/>
    <w:basedOn w:val="1"/>
    <w:qFormat/>
    <w:uiPriority w:val="0"/>
    <w:pPr>
      <w:snapToGrid w:val="0"/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endnote reference"/>
    <w:basedOn w:val="8"/>
    <w:qFormat/>
    <w:uiPriority w:val="0"/>
    <w:rPr>
      <w:vertAlign w:val="superscript"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1207</Words>
  <Characters>6667</Characters>
  <Lines>0</Lines>
  <Paragraphs>0</Paragraphs>
  <TotalTime>2</TotalTime>
  <ScaleCrop>false</ScaleCrop>
  <LinksUpToDate>false</LinksUpToDate>
  <CharactersWithSpaces>7835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2026-04-15T15:17:00Z</dcterms:created>
  <dc:creator>林鑫</dc:creator>
  <cp:lastModifiedBy>林鑫</cp:lastModifiedBy>
  <dcterms:modified xsi:type="dcterms:W3CDTF">2026-04-17T03:28:15Z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0F87636A1A37489DBAEE13EBD9D973E8_11</vt:lpwstr>
  </property>
  <property fmtid="{D5CDD505-2E9C-101B-9397-08002B2CF9AE}" pid="4" name="KSOTemplateDocerSaveRecord">
    <vt:lpwstr>eyJoZGlkIjoiNDUwMTFkMDI3ZjBmZjczM2Q3M2EwOGI5M2VjYzUzMDkiLCJ1c2VySWQiOiIxNzYzNTUwOTU0In0=</vt:lpwstr>
  </property>
</Properties>
</file>