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4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Арифметические операции в NASM.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 Символьные и численные данные в NASM</w:t>
      </w:r>
    </w:p>
    <w:p>
      <w:pPr>
        <w:pStyle w:val="FirstParagraph"/>
      </w:pPr>
      <w:r>
        <w:t xml:space="preserve">Создала каталог для программ лабораторной работы № 6, перешла в него и создала файл lab6-1.asm.</w:t>
      </w:r>
    </w:p>
    <w:p>
      <w:pPr>
        <w:pStyle w:val="BodyText"/>
      </w:pPr>
      <w:r>
        <w:t xml:space="preserve">Рассмотрим примеры программ для вывода символьных и численных значений. Программы будут выводить значения, записанные в регистр eax.</w:t>
      </w:r>
    </w:p>
    <w:p>
      <w:pPr>
        <w:pStyle w:val="BodyText"/>
      </w:pPr>
      <w:r>
        <w:t xml:space="preserve">В данной программе в регистр eax записывается символ 6 (mov eax,</w:t>
      </w:r>
      <w:r>
        <w:t xml:space="preserve"> </w:t>
      </w:r>
      <w:r>
        <w:t xml:space="preserve">‘6’</w:t>
      </w:r>
      <w:r>
        <w:t xml:space="preserve">), в регистр ebx — символ 4 (mov ebx,</w:t>
      </w:r>
      <w:r>
        <w:t xml:space="preserve"> </w:t>
      </w:r>
      <w:r>
        <w:t xml:space="preserve">‘4’</w:t>
      </w:r>
      <w:r>
        <w:t xml:space="preserve">). Затем прибавляем значение регистра ebx к eax (add eax, ebx, результат сложения запишется в eax). Далее выводим результат. Так как для работы функции sprintLF в eax должен быть записан адрес, используем дополнительную переменную: записываем значение eax в buf1 (mov [buf1], eax), затем адрес buf1 в eax (mov eax, buf1) и вызываем sprintLF.</w:t>
      </w:r>
    </w:p>
    <w:bookmarkStart w:id="24" w:name="fig:001"/>
    <w:p>
      <w:pPr>
        <w:pStyle w:val="CaptionedFigure"/>
      </w:pPr>
      <w:r>
        <w:drawing>
          <wp:inline>
            <wp:extent cx="4244741" cy="4360244"/>
            <wp:effectExtent b="0" l="0" r="0" t="0"/>
            <wp:docPr descr="Программа в файле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741" cy="4360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862852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2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BodyText"/>
      </w:pPr>
      <w:r>
        <w:t xml:space="preserve">В данном случае при выводе значения регистра eax ожидаем увидеть число 10, но результатом будет символ j. Это происходит из-за того, что код символа 6 равен 00110110 (или 54 в десятичном представлении), а символа 4 — 00110100 (52). Команда add eax, ebx записывает в eax сумму кодов — 01101010 (106), что соответствует коду символа j.</w:t>
      </w:r>
    </w:p>
    <w:p>
      <w:pPr>
        <w:pStyle w:val="BodyText"/>
      </w:pPr>
      <w:r>
        <w:t xml:space="preserve">Далее изменяю текст программы и вместо символов записываю в регистры числа.</w:t>
      </w:r>
    </w:p>
    <w:bookmarkStart w:id="32" w:name="fig:003"/>
    <w:p>
      <w:pPr>
        <w:pStyle w:val="CaptionedFigure"/>
      </w:pPr>
      <w:r>
        <w:drawing>
          <wp:inline>
            <wp:extent cx="3272589" cy="3859730"/>
            <wp:effectExtent b="0" l="0" r="0" t="0"/>
            <wp:docPr descr="Программа в файле lab6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589" cy="385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023498"/>
            <wp:effectExtent b="0" l="0" r="0" t="0"/>
            <wp:docPr descr="Запуск программы lab6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36"/>
    <w:p>
      <w:pPr>
        <w:pStyle w:val="BodyText"/>
      </w:pPr>
      <w:r>
        <w:t xml:space="preserve">При исполнении программы в этом случае тоже не получаем число 10. Вместо этого выводится символ с кодом 10, который является символом конца строки и добавляет пустую строку в консоли.</w:t>
      </w:r>
    </w:p>
    <w:p>
      <w:pPr>
        <w:pStyle w:val="BodyText"/>
      </w:pPr>
      <w:r>
        <w:t xml:space="preserve">Для работы с числами в файле in_out.asm предусмотрены подпрограммы для преобразования ASCII символов в числа и обратно. Изменяю текст программы, используя эти функции.</w:t>
      </w:r>
    </w:p>
    <w:bookmarkStart w:id="40" w:name="fig:005"/>
    <w:p>
      <w:pPr>
        <w:pStyle w:val="CaptionedFigure"/>
      </w:pPr>
      <w:r>
        <w:drawing>
          <wp:inline>
            <wp:extent cx="4331368" cy="3108960"/>
            <wp:effectExtent b="0" l="0" r="0" t="0"/>
            <wp:docPr descr="Программа в файле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68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961437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1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работы программы получаем число 106. Здесь, как и в первом примере, команда add складывает коды символов 6 и 4 (54 + 52 = 106). В отличие от прошлой программы, функция iprintLF позволяет вывести число, а не символ.</w:t>
      </w:r>
    </w:p>
    <w:p>
      <w:pPr>
        <w:pStyle w:val="BodyText"/>
      </w:pPr>
      <w:r>
        <w:t xml:space="preserve">Аналогично предыдущему примеру заменяю символы на числа.</w:t>
      </w:r>
    </w:p>
    <w:bookmarkStart w:id="48" w:name="fig:007"/>
    <w:p>
      <w:pPr>
        <w:pStyle w:val="CaptionedFigure"/>
      </w:pPr>
      <w:r>
        <w:drawing>
          <wp:inline>
            <wp:extent cx="3917482" cy="3407343"/>
            <wp:effectExtent b="0" l="0" r="0" t="0"/>
            <wp:docPr descr="Программа в файле lab6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482" cy="3407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8"/>
    <w:p>
      <w:pPr>
        <w:pStyle w:val="BodyText"/>
      </w:pPr>
      <w:r>
        <w:t xml:space="preserve">Функция iprintLF позволяет вывести число, и операндами были числа (а не коды символов), поэтому получаем число 10.</w:t>
      </w:r>
    </w:p>
    <w:bookmarkStart w:id="52" w:name="fig:008"/>
    <w:p>
      <w:pPr>
        <w:pStyle w:val="CaptionedFigure"/>
      </w:pPr>
      <w:r>
        <w:drawing>
          <wp:inline>
            <wp:extent cx="5334000" cy="853965"/>
            <wp:effectExtent b="0" l="0" r="0" t="0"/>
            <wp:docPr descr="Запуск программы lab6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3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2"/>
    <w:p>
      <w:pPr>
        <w:pStyle w:val="BodyText"/>
      </w:pPr>
      <w:r>
        <w:t xml:space="preserve">Заменяю функцию iprintLF на iprint, создаю исполняемый файл и запускаю его. Вывод отличается тем, что нет переноса строки.</w:t>
      </w:r>
    </w:p>
    <w:bookmarkStart w:id="56" w:name="fig:009"/>
    <w:p>
      <w:pPr>
        <w:pStyle w:val="CaptionedFigure"/>
      </w:pPr>
      <w:r>
        <w:drawing>
          <wp:inline>
            <wp:extent cx="5334000" cy="790222"/>
            <wp:effectExtent b="0" l="0" r="0" t="0"/>
            <wp:docPr descr="Запуск программы lab6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6"/>
    <w:bookmarkEnd w:id="57"/>
    <w:bookmarkStart w:id="83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В качестве примера выполнения арифметических операций в NASM рассмотрим программу для вычисления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FirstParagraph"/>
      </w:pPr>
      <w:r>
        <w:t xml:space="preserve">.</w:t>
      </w:r>
    </w:p>
    <w:bookmarkStart w:id="61" w:name="fig:010"/>
    <w:p>
      <w:pPr>
        <w:pStyle w:val="CaptionedFigure"/>
      </w:pPr>
      <w:r>
        <w:drawing>
          <wp:inline>
            <wp:extent cx="4312117" cy="6217920"/>
            <wp:effectExtent b="0" l="0" r="0" t="0"/>
            <wp:docPr descr="Программа в файле lab6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17" cy="621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921683"/>
            <wp:effectExtent b="0" l="0" r="0" t="0"/>
            <wp:docPr descr="Запуск программы lab6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5"/>
    <w:p>
      <w:pPr>
        <w:pStyle w:val="BodyText"/>
      </w:pPr>
      <w:r>
        <w:t xml:space="preserve">Изменяю текст программы для вычисления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*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/</m:t>
          </m:r>
          <m:r>
            <m:t>5</m:t>
          </m:r>
        </m:oMath>
      </m:oMathPara>
    </w:p>
    <w:p>
      <w:pPr>
        <w:pStyle w:val="FirstParagraph"/>
      </w:pPr>
      <w:r>
        <w:t xml:space="preserve">. Создаю исполняемый файл и проверяю его работу.</w:t>
      </w:r>
    </w:p>
    <w:bookmarkStart w:id="69" w:name="fig:012"/>
    <w:p>
      <w:pPr>
        <w:pStyle w:val="CaptionedFigure"/>
      </w:pPr>
      <w:r>
        <w:drawing>
          <wp:inline>
            <wp:extent cx="5120640" cy="6246795"/>
            <wp:effectExtent b="0" l="0" r="0" t="0"/>
            <wp:docPr descr="Программа в файле lab6-3.asm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624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9"/>
    <w:bookmarkStart w:id="73" w:name="fig:013"/>
    <w:p>
      <w:pPr>
        <w:pStyle w:val="CaptionedFigure"/>
      </w:pPr>
      <w:r>
        <w:drawing>
          <wp:inline>
            <wp:extent cx="5334000" cy="935096"/>
            <wp:effectExtent b="0" l="0" r="0" t="0"/>
            <wp:docPr descr="Запуск программы lab6-3.asm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73"/>
    <w:p>
      <w:pPr>
        <w:pStyle w:val="BodyText"/>
      </w:pPr>
      <w:r>
        <w:t xml:space="preserve">В качестве другого примера рассмотрим программу для вычисления варианта задания по номеру студенческого билета.</w:t>
      </w:r>
    </w:p>
    <w:p>
      <w:pPr>
        <w:pStyle w:val="BodyText"/>
      </w:pPr>
      <w:r>
        <w:t xml:space="preserve">Число, над которым проводятся арифметические операции, вводится с клавиатуры. Ввод с клавиатуры осуществляется в символьном виде, и для корректной работы арифметических операций в NASM символы необходимо преобразовать в числа. Для этого используется функция atoi из файла in_out.asm.</w:t>
      </w:r>
    </w:p>
    <w:bookmarkStart w:id="77" w:name="fig:014"/>
    <w:p>
      <w:pPr>
        <w:pStyle w:val="CaptionedFigure"/>
      </w:pPr>
      <w:r>
        <w:drawing>
          <wp:inline>
            <wp:extent cx="4937760" cy="6237170"/>
            <wp:effectExtent b="0" l="0" r="0" t="0"/>
            <wp:docPr descr="Программа в файле variant.as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623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variant.asm</w:t>
      </w:r>
    </w:p>
    <w:bookmarkEnd w:id="77"/>
    <w:bookmarkStart w:id="81" w:name="fig:015"/>
    <w:p>
      <w:pPr>
        <w:pStyle w:val="CaptionedFigure"/>
      </w:pPr>
      <w:r>
        <w:drawing>
          <wp:inline>
            <wp:extent cx="5334000" cy="1064139"/>
            <wp:effectExtent b="0" l="0" r="0" t="0"/>
            <wp:docPr descr="Запуск программы variant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4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1"/>
    <w:bookmarkStart w:id="82" w:name="ответы-на-вопросы"/>
    <w:p>
      <w:pPr>
        <w:pStyle w:val="Heading3"/>
      </w:pPr>
      <w:r>
        <w:t xml:space="preserve">2.2.1 Ответы на вопросы</w:t>
      </w:r>
    </w:p>
    <w:p>
      <w:pPr>
        <w:numPr>
          <w:ilvl w:val="0"/>
          <w:numId w:val="1001"/>
        </w:numPr>
      </w:pPr>
      <w:r>
        <w:t xml:space="preserve">Какие строки листинга отвечают за вывод сообщения</w:t>
      </w:r>
      <w:r>
        <w:t xml:space="preserve"> </w:t>
      </w:r>
      <w:r>
        <w:t xml:space="preserve">‘Ваш вариант’</w:t>
      </w:r>
      <w:r>
        <w:t xml:space="preserve">?</w:t>
      </w:r>
    </w:p>
    <w:p>
      <w:pPr>
        <w:pStyle w:val="Compact"/>
        <w:numPr>
          <w:ilvl w:val="1"/>
          <w:numId w:val="1002"/>
        </w:numPr>
      </w:pPr>
      <w:r>
        <w:t xml:space="preserve">mov eax, rem – перекладывает в регистр значение переменной с фразой</w:t>
      </w:r>
      <w:r>
        <w:t xml:space="preserve"> </w:t>
      </w:r>
      <w:r>
        <w:t xml:space="preserve">‘Ваш вариант’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call sprint – вызов подпрограммы вывода строки.</w:t>
      </w:r>
    </w:p>
    <w:p>
      <w:pPr>
        <w:numPr>
          <w:ilvl w:val="0"/>
          <w:numId w:val="1001"/>
        </w:numPr>
      </w:pPr>
      <w:r>
        <w:t xml:space="preserve">Для чего используются инструкции?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</w:p>
    <w:p>
      <w:pPr>
        <w:pStyle w:val="Compact"/>
        <w:numPr>
          <w:ilvl w:val="1"/>
          <w:numId w:val="1003"/>
        </w:numPr>
      </w:pPr>
      <w:r>
        <w:t xml:space="preserve">Считывает значение студбилета в переменную Х из консоли</w:t>
      </w:r>
    </w:p>
    <w:p>
      <w:pPr>
        <w:numPr>
          <w:ilvl w:val="0"/>
          <w:numId w:val="1001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Compact"/>
        <w:numPr>
          <w:ilvl w:val="1"/>
          <w:numId w:val="1004"/>
        </w:numPr>
      </w:pPr>
      <w:r>
        <w:t xml:space="preserve">Эта подпрограмма переводит введенные символы в числовой формат.</w:t>
      </w:r>
    </w:p>
    <w:p>
      <w:pPr>
        <w:numPr>
          <w:ilvl w:val="0"/>
          <w:numId w:val="1001"/>
        </w:numPr>
      </w:pPr>
      <w:r>
        <w:t xml:space="preserve">Какие строки листинга отвечают за вычисления варианта?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br/>
      </w:r>
      <w:r>
        <w:rPr>
          <w:rStyle w:val="BuiltIn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BuiltInTok"/>
        </w:rPr>
        <w:t xml:space="preserve">inc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</w:p>
    <w:p>
      <w:pPr>
        <w:pStyle w:val="Compact"/>
        <w:numPr>
          <w:ilvl w:val="1"/>
          <w:numId w:val="1005"/>
        </w:numPr>
      </w:pPr>
      <w:r>
        <w:t xml:space="preserve">Здесь происходит деление номера студ билета на 20. В регистре edx хранится остаток, к нему прибавляется 1.</w:t>
      </w:r>
    </w:p>
    <w:p>
      <w:pPr>
        <w:numPr>
          <w:ilvl w:val="0"/>
          <w:numId w:val="1001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Compact"/>
        <w:numPr>
          <w:ilvl w:val="1"/>
          <w:numId w:val="1006"/>
        </w:numPr>
      </w:pPr>
      <w:r>
        <w:t xml:space="preserve">регистр edx</w:t>
      </w:r>
    </w:p>
    <w:p>
      <w:pPr>
        <w:numPr>
          <w:ilvl w:val="0"/>
          <w:numId w:val="1001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Compact"/>
        <w:numPr>
          <w:ilvl w:val="1"/>
          <w:numId w:val="1007"/>
        </w:numPr>
      </w:pPr>
      <w:r>
        <w:t xml:space="preserve">по формуле вычисления варианта нужно прибавить единицу</w:t>
      </w:r>
    </w:p>
    <w:p>
      <w:pPr>
        <w:numPr>
          <w:ilvl w:val="0"/>
          <w:numId w:val="1001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numPr>
          <w:ilvl w:val="1"/>
          <w:numId w:val="1008"/>
        </w:numPr>
      </w:pPr>
      <w:r>
        <w:t xml:space="preserve">mov eax,edx – результат перекладывается в регистр eax</w:t>
      </w:r>
    </w:p>
    <w:p>
      <w:pPr>
        <w:numPr>
          <w:ilvl w:val="1"/>
          <w:numId w:val="1008"/>
        </w:numPr>
      </w:pPr>
      <w:r>
        <w:t xml:space="preserve">call iprintLF – вызов подпрограммы вывода</w:t>
      </w:r>
    </w:p>
    <w:bookmarkEnd w:id="82"/>
    <w:bookmarkEnd w:id="83"/>
    <w:bookmarkStart w:id="92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</w:p>
    <w:p>
      <w:pPr>
        <w:pStyle w:val="BodyText"/>
      </w:pPr>
      <w:r>
        <w:t xml:space="preserve">Получили вариант 6 -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t xml:space="preserve">для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5</m:t>
          </m:r>
        </m:oMath>
      </m:oMathPara>
    </w:p>
    <w:bookmarkStart w:id="87" w:name="fig:016"/>
    <w:p>
      <w:pPr>
        <w:pStyle w:val="CaptionedFigure"/>
      </w:pPr>
      <w:r>
        <w:drawing>
          <wp:inline>
            <wp:extent cx="3378467" cy="4851132"/>
            <wp:effectExtent b="0" l="0" r="0" t="0"/>
            <wp:docPr descr="Программа в файле task.asm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467" cy="485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task.asm</w:t>
      </w:r>
    </w:p>
    <w:bookmarkEnd w:id="87"/>
    <w:p>
      <w:pPr>
        <w:pStyle w:val="BodyText"/>
      </w:pPr>
      <w:r>
        <w:t xml:space="preserve">Если подставить 2 получается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t xml:space="preserve">.</w:t>
      </w:r>
    </w:p>
    <w:p>
      <w:pPr>
        <w:pStyle w:val="BodyText"/>
      </w:pPr>
      <w:r>
        <w:t xml:space="preserve">Если подставить 5 получается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63</m:t>
          </m:r>
        </m:oMath>
      </m:oMathPara>
    </w:p>
    <w:p>
      <w:pPr>
        <w:pStyle w:val="FirstParagraph"/>
      </w:pPr>
      <w:r>
        <w:t xml:space="preserve">.</w:t>
      </w:r>
    </w:p>
    <w:bookmarkStart w:id="91" w:name="fig:017"/>
    <w:p>
      <w:pPr>
        <w:pStyle w:val="CaptionedFigure"/>
      </w:pPr>
      <w:r>
        <w:drawing>
          <wp:inline>
            <wp:extent cx="5334000" cy="1771054"/>
            <wp:effectExtent b="0" l="0" r="0" t="0"/>
            <wp:docPr descr="Запуск программы task.asm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task.asm</w:t>
      </w:r>
    </w:p>
    <w:bookmarkEnd w:id="91"/>
    <w:p>
      <w:pPr>
        <w:pStyle w:val="BodyText"/>
      </w:pPr>
      <w:r>
        <w:t xml:space="preserve">Программа считает верно.</w:t>
      </w:r>
    </w:p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Вахиш Дуаа Иссам Али Ахмед</dc:creator>
  <dc:language>ru-RU</dc:language>
  <cp:keywords/>
  <dcterms:created xsi:type="dcterms:W3CDTF">2025-11-08T14:45:32Z</dcterms:created>
  <dcterms:modified xsi:type="dcterms:W3CDTF">2025-11-08T14:45:32Z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Арифметические операции в NASM.</vt:lpwstr>
  </property>
  <property fmtid="{D5CDD505-2E9C-101B-9397-08002B2CF9AE}" pid="16" name="toc-title">
    <vt:lpwstr>Содержание</vt:lpwstr>
  </property>
</Properties>
</file>