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Temporal Trends in Acute Myocardial Infarction Outcomes Among Patients With Opioid Use Disorder: An Analysis of Sex and Racial Disparities Using the Nationwide Inpatient Sample (2017–2022)</w:t>
      </w:r>
    </w:p>
    <w:p>
      <w:pPr>
        <w:pStyle w:val="Subtitle"/>
      </w:pPr>
      <w:r>
        <w:t xml:space="preserve">Analysis for RCOP NIS Cardio-3</w:t>
      </w:r>
    </w:p>
    <w:p>
      <w:pPr>
        <w:pStyle w:val="Author"/>
      </w:pPr>
      <w:r>
        <w:t xml:space="preserve">Dua Ali</w:t>
      </w:r>
    </w:p>
    <w:bookmarkStart w:id="11" w:name="preamble"/>
    <w:p>
      <w:pPr>
        <w:pStyle w:val="Heading2"/>
      </w:pPr>
      <w:r>
        <w:t xml:space="preserve">Preamble</w:t>
      </w:r>
    </w:p>
    <w:p>
      <w:pPr>
        <w:numPr>
          <w:ilvl w:val="0"/>
          <w:numId w:val="1001"/>
        </w:numPr>
      </w:pPr>
      <w:r>
        <w:rPr>
          <w:b/>
          <w:bCs/>
        </w:rPr>
        <w:t xml:space="preserve">Reference Studies:</w:t>
      </w:r>
    </w:p>
    <w:p>
      <w:pPr>
        <w:pStyle w:val="Compact"/>
        <w:numPr>
          <w:ilvl w:val="1"/>
          <w:numId w:val="1002"/>
        </w:numPr>
      </w:pPr>
      <w:hyperlink r:id="rId9">
        <w:r>
          <w:rPr>
            <w:rStyle w:val="Hyperlink"/>
          </w:rPr>
          <w:t xml:space="preserve">Ranka et al., 2021</w:t>
        </w:r>
      </w:hyperlink>
    </w:p>
    <w:p>
      <w:pPr>
        <w:pStyle w:val="Compact"/>
        <w:numPr>
          <w:ilvl w:val="1"/>
          <w:numId w:val="1002"/>
        </w:numPr>
      </w:pPr>
      <w:hyperlink r:id="rId10">
        <w:r>
          <w:rPr>
            <w:rStyle w:val="Hyperlink"/>
          </w:rPr>
          <w:t xml:space="preserve">Thuemmler et al., 2023</w:t>
        </w:r>
      </w:hyperlink>
    </w:p>
    <w:p>
      <w:pPr>
        <w:numPr>
          <w:ilvl w:val="0"/>
          <w:numId w:val="1001"/>
        </w:numPr>
      </w:pPr>
      <w:r>
        <w:rPr>
          <w:b/>
          <w:bCs/>
        </w:rPr>
        <w:t xml:space="preserve">Study Objective:</w:t>
      </w:r>
    </w:p>
    <w:p>
      <w:pPr>
        <w:numPr>
          <w:ilvl w:val="0"/>
          <w:numId w:val="1000"/>
        </w:numPr>
      </w:pPr>
      <w:r>
        <w:t xml:space="preserve">To characterise national trends in acute myocardial infarction (AMI) hospitalisations among patients with opioid use disorder (OUD) from 2017 to 2022 using ICD-10 data, spanning the transition through the opioid epidemic’s third and fourth waves. Specifically, this study (1) determines temporal trends in in-hospital outcomes (mortality, cardiogenic shock, cardiac arrest, acute kidney injury, mechanical ventilation, and PCI utilisation) among OUD-AMI hospitalisations; (2) characterises trends in length of stay and inflation-adjusted hospitalisation costs; (3) examines sex-based disparities in outcomes and hospitalisation patterns; and (4) identifies racial/ethnic disparities in outcomes among OUD-AMI patients.</w:t>
      </w:r>
    </w:p>
    <w:p>
      <w:pPr>
        <w:numPr>
          <w:ilvl w:val="0"/>
          <w:numId w:val="1001"/>
        </w:numPr>
      </w:pPr>
      <w:r>
        <w:rPr>
          <w:b/>
          <w:bCs/>
        </w:rPr>
        <w:t xml:space="preserve">Data Source:</w:t>
      </w:r>
    </w:p>
    <w:p>
      <w:pPr>
        <w:numPr>
          <w:ilvl w:val="0"/>
          <w:numId w:val="1000"/>
        </w:numPr>
      </w:pPr>
      <w:r>
        <w:t xml:space="preserve">Retrospective cross-sectional analysis of the Nationwide Inpatient Sample (NIS), 2017–2022, developed by AHRQ through HCUP. The NIS is the largest all-payer inpatient database in the United States, comprising a 20% stratified sample of discharges from approximately 4,000 non-federal community hospitals. All analyses incorporate the complex survey design (stratified cluster sampling with discharge weights) to produce nationally representative estimates.</w:t>
      </w:r>
    </w:p>
    <w:p>
      <w:pPr>
        <w:numPr>
          <w:ilvl w:val="0"/>
          <w:numId w:val="1001"/>
        </w:numPr>
      </w:pPr>
      <w:r>
        <w:rPr>
          <w:b/>
          <w:bCs/>
        </w:rPr>
        <w:t xml:space="preserve">Cohort Definition:</w:t>
      </w:r>
    </w:p>
    <w:p>
      <w:pPr>
        <w:numPr>
          <w:ilvl w:val="0"/>
          <w:numId w:val="1000"/>
        </w:numPr>
      </w:pPr>
      <w:r>
        <w:rPr>
          <w:b/>
          <w:bCs/>
        </w:rPr>
        <w:t xml:space="preserve">Study cohort:</w:t>
      </w:r>
      <w:r>
        <w:t xml:space="preserve">Adult discharges (age ≥18) with AMI as the principal diagnosis and a concomitant diagnosis of opioid use disorder (OUD) in any listed position. Excluded: age &lt;18; missing discharge weight (DISCWT).</w:t>
      </w:r>
    </w:p>
    <w:p>
      <w:pPr>
        <w:numPr>
          <w:ilvl w:val="1"/>
          <w:numId w:val="1003"/>
        </w:numPr>
      </w:pPr>
      <w:r>
        <w:t xml:space="preserve">AMI inclusion codes (ICD-10-CM): I21.01, I21.02, I21.09, I21.11, I21.19, I21.21, I21.29, I21.3, I21.4, I21.9, I21.A1, I21.A9, I21.B, I22.0, I22.1, I22.2, I22.8, I22.9.</w:t>
      </w:r>
    </w:p>
    <w:p>
      <w:pPr>
        <w:numPr>
          <w:ilvl w:val="1"/>
          <w:numId w:val="1003"/>
        </w:numPr>
      </w:pPr>
      <w:r>
        <w:t xml:space="preserve">AMI subtype classification: STEMI was defined by codes I21.01, I21.02, I21.09, I21.11, I21.19, I21.21, I21.29, and I21.3, corresponding to ST-elevation infarctions of the anterior, inferior, and other specified walls. NSTEMI was defined exclusively by I21.4 (non-ST-elevation myocardial infarction).</w:t>
      </w:r>
    </w:p>
    <w:p>
      <w:pPr>
        <w:numPr>
          <w:ilvl w:val="0"/>
          <w:numId w:val="1001"/>
        </w:numPr>
      </w:pPr>
      <w:r>
        <w:rPr>
          <w:b/>
          <w:bCs/>
        </w:rPr>
        <w:t xml:space="preserve">Exposure Variables:</w:t>
      </w:r>
    </w:p>
    <w:p>
      <w:pPr>
        <w:pStyle w:val="Compact"/>
        <w:numPr>
          <w:ilvl w:val="1"/>
          <w:numId w:val="1004"/>
        </w:numPr>
      </w:pPr>
      <w:r>
        <w:rPr>
          <w:b/>
          <w:bCs/>
        </w:rPr>
        <w:t xml:space="preserve">Primary exposure; Opioid Use Disorder:</w:t>
      </w:r>
      <w:r>
        <w:t xml:space="preserve"> </w:t>
      </w:r>
      <w:r>
        <w:t xml:space="preserve">Identified using ICD-10-CM codes within the F11.1x (opioid abuse) and F11.2x (opioid dependence) subcategories, encompassing the spectrum from uncomplicated abuse to dependence with withdrawal or psychotic features. F11.9x (unspecified opioid use) was excluded to maintain diagnostic specificity. Full code list provided in the supplementary material.</w:t>
      </w:r>
    </w:p>
    <w:p>
      <w:pPr>
        <w:pStyle w:val="Compact"/>
        <w:numPr>
          <w:ilvl w:val="1"/>
          <w:numId w:val="1004"/>
        </w:numPr>
      </w:pPr>
      <w:r>
        <w:rPr>
          <w:b/>
          <w:bCs/>
        </w:rPr>
        <w:t xml:space="preserve">Temporal trend:</w:t>
      </w:r>
      <w:r>
        <w:t xml:space="preserve"> </w:t>
      </w:r>
      <w:r>
        <w:t xml:space="preserve">Year of hospitalisation (2017–2022), modelled as a continuous linear predictor. The resulting coefficient represents the average annual change in each outcome across the study period.</w:t>
      </w:r>
    </w:p>
    <w:p>
      <w:pPr>
        <w:pStyle w:val="Compact"/>
        <w:numPr>
          <w:ilvl w:val="1"/>
          <w:numId w:val="1004"/>
        </w:numPr>
      </w:pPr>
      <w:r>
        <w:rPr>
          <w:b/>
          <w:bCs/>
        </w:rPr>
        <w:t xml:space="preserve">Sex disparities:</w:t>
      </w:r>
      <w:r>
        <w:t xml:space="preserve"> </w:t>
      </w:r>
      <w:r>
        <w:t xml:space="preserve">Sex (Male [reference] vs. Female), derived from NIS variable FEMALE.</w:t>
      </w:r>
    </w:p>
    <w:p>
      <w:pPr>
        <w:pStyle w:val="Compact"/>
        <w:numPr>
          <w:ilvl w:val="1"/>
          <w:numId w:val="1004"/>
        </w:numPr>
      </w:pPr>
      <w:r>
        <w:rPr>
          <w:b/>
          <w:bCs/>
        </w:rPr>
        <w:t xml:space="preserve">Racial/ethnic disparities:</w:t>
      </w:r>
      <w:r>
        <w:t xml:space="preserve"> </w:t>
      </w:r>
      <w:r>
        <w:t xml:space="preserve">Race/ethnicity — White (reference), Black, Hispanic, Asian or Pacific Islander, and Other.</w:t>
      </w:r>
    </w:p>
    <w:p>
      <w:pPr>
        <w:numPr>
          <w:ilvl w:val="0"/>
          <w:numId w:val="1001"/>
        </w:numPr>
      </w:pPr>
      <w:r>
        <w:rPr>
          <w:b/>
          <w:bCs/>
        </w:rPr>
        <w:t xml:space="preserve">Outcomes:</w:t>
      </w:r>
    </w:p>
    <w:p>
      <w:pPr>
        <w:pStyle w:val="Compact"/>
        <w:numPr>
          <w:ilvl w:val="1"/>
          <w:numId w:val="1005"/>
        </w:numPr>
      </w:pPr>
      <w:r>
        <w:rPr>
          <w:b/>
          <w:bCs/>
        </w:rPr>
        <w:t xml:space="preserve">Primary:</w:t>
      </w:r>
      <w:r>
        <w:t xml:space="preserve"> </w:t>
      </w:r>
      <w:r>
        <w:t xml:space="preserve">In-hospital all-cause mortality.</w:t>
      </w:r>
    </w:p>
    <w:p>
      <w:pPr>
        <w:pStyle w:val="Compact"/>
        <w:numPr>
          <w:ilvl w:val="1"/>
          <w:numId w:val="1005"/>
        </w:numPr>
      </w:pPr>
      <w:r>
        <w:rPr>
          <w:b/>
          <w:bCs/>
        </w:rPr>
        <w:t xml:space="preserve">Secondary:</w:t>
      </w:r>
    </w:p>
    <w:p>
      <w:pPr>
        <w:pStyle w:val="Compact"/>
        <w:numPr>
          <w:ilvl w:val="2"/>
          <w:numId w:val="1006"/>
        </w:numPr>
      </w:pPr>
      <w:r>
        <w:t xml:space="preserve">Cardiogenic shock</w:t>
      </w:r>
    </w:p>
    <w:p>
      <w:pPr>
        <w:pStyle w:val="Compact"/>
        <w:numPr>
          <w:ilvl w:val="2"/>
          <w:numId w:val="1006"/>
        </w:numPr>
      </w:pPr>
      <w:r>
        <w:t xml:space="preserve">Cardiac arrest</w:t>
      </w:r>
    </w:p>
    <w:p>
      <w:pPr>
        <w:pStyle w:val="Compact"/>
        <w:numPr>
          <w:ilvl w:val="2"/>
          <w:numId w:val="1006"/>
        </w:numPr>
      </w:pPr>
      <w:r>
        <w:t xml:space="preserve">Acute kidney injury</w:t>
      </w:r>
    </w:p>
    <w:p>
      <w:pPr>
        <w:pStyle w:val="Compact"/>
        <w:numPr>
          <w:ilvl w:val="2"/>
          <w:numId w:val="1006"/>
        </w:numPr>
      </w:pPr>
      <w:r>
        <w:t xml:space="preserve">Mechanical ventilation or Respiratory failure</w:t>
      </w:r>
    </w:p>
    <w:p>
      <w:pPr>
        <w:pStyle w:val="Compact"/>
        <w:numPr>
          <w:ilvl w:val="2"/>
          <w:numId w:val="1006"/>
        </w:numPr>
      </w:pPr>
      <w:r>
        <w:t xml:space="preserve">PCI utilisation</w:t>
      </w:r>
    </w:p>
    <w:p>
      <w:pPr>
        <w:pStyle w:val="Compact"/>
        <w:numPr>
          <w:ilvl w:val="2"/>
          <w:numId w:val="1006"/>
        </w:numPr>
      </w:pPr>
      <w:r>
        <w:t xml:space="preserve">Non-routine discharge disposition (transfer to SNF/intermediate care/another facility, left against medical advice, or in-hospital death)</w:t>
      </w:r>
    </w:p>
    <w:p>
      <w:pPr>
        <w:pStyle w:val="Compact"/>
        <w:numPr>
          <w:ilvl w:val="2"/>
          <w:numId w:val="1006"/>
        </w:numPr>
      </w:pPr>
      <w:r>
        <w:t xml:space="preserve">Length of stay (days)</w:t>
      </w:r>
    </w:p>
    <w:p>
      <w:pPr>
        <w:pStyle w:val="Compact"/>
        <w:numPr>
          <w:ilvl w:val="2"/>
          <w:numId w:val="1006"/>
        </w:numPr>
      </w:pPr>
      <w:r>
        <w:t xml:space="preserve">Inflation-adjusted total hospitalisation costs (2022 USD, CPI-U adjusted using All-Urban CPI-U base year 2022).</w:t>
      </w:r>
    </w:p>
    <w:p>
      <w:pPr>
        <w:numPr>
          <w:ilvl w:val="0"/>
          <w:numId w:val="1001"/>
        </w:numPr>
      </w:pPr>
      <w:r>
        <w:rPr>
          <w:b/>
          <w:bCs/>
        </w:rPr>
        <w:t xml:space="preserve">Covariates:</w:t>
      </w:r>
    </w:p>
    <w:p>
      <w:pPr>
        <w:pStyle w:val="Compact"/>
        <w:numPr>
          <w:ilvl w:val="1"/>
          <w:numId w:val="1007"/>
        </w:numPr>
      </w:pPr>
      <w:r>
        <w:rPr>
          <w:b/>
          <w:bCs/>
        </w:rPr>
        <w:t xml:space="preserve">Demographic/Socioeconomic:</w:t>
      </w:r>
      <w:r>
        <w:t xml:space="preserve"> </w:t>
      </w:r>
      <w:r>
        <w:t xml:space="preserve">Age, sex, race/ethnicity, primary expected payer (Medicare [reference], Medicaid, Private, Self-pay/Uninsured, Other), ZIP-based median household income quartile (Q1 [reference]–Q4).</w:t>
      </w:r>
    </w:p>
    <w:p>
      <w:pPr>
        <w:pStyle w:val="Compact"/>
        <w:numPr>
          <w:ilvl w:val="1"/>
          <w:numId w:val="1007"/>
        </w:numPr>
      </w:pPr>
      <w:r>
        <w:rPr>
          <w:b/>
          <w:bCs/>
        </w:rPr>
        <w:t xml:space="preserve">Clinical:</w:t>
      </w:r>
      <w:r>
        <w:t xml:space="preserve"> </w:t>
      </w:r>
      <w:r>
        <w:t xml:space="preserve">AMI type (NSTEMI [reference] vs. STEMI).</w:t>
      </w:r>
    </w:p>
    <w:p>
      <w:pPr>
        <w:pStyle w:val="Compact"/>
        <w:numPr>
          <w:ilvl w:val="1"/>
          <w:numId w:val="1007"/>
        </w:numPr>
      </w:pPr>
      <w:r>
        <w:rPr>
          <w:b/>
          <w:bCs/>
        </w:rPr>
        <w:t xml:space="preserve">Comorbidities:</w:t>
      </w:r>
      <w:r>
        <w:t xml:space="preserve"> </w:t>
      </w:r>
      <w:r>
        <w:t xml:space="preserve">Congestive heart failure, hypertension, diabetes mellitus (Type 1 or 2), chronic kidney disease, liver disease, chronic lung disease, psychiatric disorder, alcohol use disorder, tobacco use disorder, cocaine use disorder.</w:t>
      </w:r>
    </w:p>
    <w:p>
      <w:pPr>
        <w:pStyle w:val="Compact"/>
        <w:numPr>
          <w:ilvl w:val="1"/>
          <w:numId w:val="1007"/>
        </w:numPr>
      </w:pPr>
      <w:r>
        <w:rPr>
          <w:b/>
          <w:bCs/>
        </w:rPr>
        <w:t xml:space="preserve">Hospital:</w:t>
      </w:r>
      <w:r>
        <w:t xml:space="preserve"> </w:t>
      </w:r>
      <w:r>
        <w:t xml:space="preserve">Census region (Northeast [reference], Midwest, South, West), bed size (Large [reference], Medium, Small), location/teaching status (Urban teaching [reference], Urban non-teaching, Rural).</w:t>
      </w:r>
    </w:p>
    <w:p>
      <w:pPr>
        <w:numPr>
          <w:ilvl w:val="0"/>
          <w:numId w:val="1001"/>
        </w:numPr>
      </w:pPr>
      <w:r>
        <w:rPr>
          <w:b/>
          <w:bCs/>
        </w:rPr>
        <w:t xml:space="preserve">Statistical Methods:</w:t>
      </w:r>
    </w:p>
    <w:p>
      <w:pPr>
        <w:pStyle w:val="Compact"/>
        <w:numPr>
          <w:ilvl w:val="1"/>
          <w:numId w:val="1008"/>
        </w:numPr>
      </w:pPr>
      <w:r>
        <w:rPr>
          <w:b/>
          <w:bCs/>
        </w:rPr>
        <w:t xml:space="preserve">Descriptive statistics:</w:t>
      </w:r>
      <w:r>
        <w:t xml:space="preserve"> </w:t>
      </w:r>
      <w:r>
        <w:t xml:space="preserve">Survey-weighted proportions and means (±SD), restricted to OUD-AMI patients. Weighted estimates are stratified by sex and by race/ethnicity separately. Rao–Scott chi-square for categorical variables; design-based t-test or Kruskal–Wallis for continuous variables. Tables produced with</w:t>
      </w:r>
      <w:r>
        <w:t xml:space="preserve"> </w:t>
      </w:r>
      <w:r>
        <w:rPr>
          <w:rStyle w:val="VerbatimChar"/>
        </w:rPr>
        <w:t xml:space="preserve">tbl_svysummary()</w:t>
      </w:r>
      <w:r>
        <w:t xml:space="preserve"> </w:t>
      </w:r>
      <w:r>
        <w:t xml:space="preserve">(gtsummary) with overall column, stratified columns, and p-values.</w:t>
      </w:r>
    </w:p>
    <w:p>
      <w:pPr>
        <w:pStyle w:val="Compact"/>
        <w:numPr>
          <w:ilvl w:val="1"/>
          <w:numId w:val="1008"/>
        </w:numPr>
      </w:pPr>
      <w:r>
        <w:rPr>
          <w:b/>
          <w:bCs/>
        </w:rPr>
        <w:t xml:space="preserve">Temporal trends:</w:t>
      </w:r>
      <w:r>
        <w:t xml:space="preserve"> </w:t>
      </w:r>
      <w:r>
        <w:t xml:space="preserve">Weighted OUD-AMI discharge volume by year (absolute counts) and OUD prevalence as a proportion of all weighted AMI admissions per year, stratified by sex and race/ethnicity.Survey-weighted Wald F-test for continuous linear trend was utilized.</w:t>
      </w:r>
    </w:p>
    <w:p>
      <w:pPr>
        <w:pStyle w:val="Compact"/>
        <w:numPr>
          <w:ilvl w:val="1"/>
          <w:numId w:val="1008"/>
        </w:numPr>
      </w:pPr>
      <w:r>
        <w:rPr>
          <w:b/>
          <w:bCs/>
        </w:rPr>
        <w:t xml:space="preserve">Multivariable regression — binary outcomes</w:t>
      </w:r>
      <w:r>
        <w:t xml:space="preserve"> </w:t>
      </w:r>
      <w:r>
        <w:t xml:space="preserve">(mortality, cardiogenic shock, cardiac arrest, AKI, mechanical ventilation, PCI utilisation, non-routine discharge): Survey-weighted logistic regression (</w:t>
      </w:r>
      <w:r>
        <w:rPr>
          <w:rStyle w:val="VerbatimChar"/>
        </w:rPr>
        <w:t xml:space="preserve">svyglm</w:t>
      </w:r>
      <w:r>
        <w:t xml:space="preserve">, quasibinomial family); results reported as adjusted odds ratios (aORs) with 95% CIs.</w:t>
      </w:r>
    </w:p>
    <w:p>
      <w:pPr>
        <w:pStyle w:val="Compact"/>
        <w:numPr>
          <w:ilvl w:val="1"/>
          <w:numId w:val="1008"/>
        </w:numPr>
      </w:pPr>
      <w:r>
        <w:rPr>
          <w:b/>
          <w:bCs/>
        </w:rPr>
        <w:t xml:space="preserve">Multivariable regression — continuous outcomes</w:t>
      </w:r>
      <w:r>
        <w:t xml:space="preserve"> </w:t>
      </w:r>
      <w:r>
        <w:t xml:space="preserve">(LOS, costs): Survey-weighted linear regression (</w:t>
      </w:r>
      <w:r>
        <w:rPr>
          <w:rStyle w:val="VerbatimChar"/>
        </w:rPr>
        <w:t xml:space="preserve">svyglm</w:t>
      </w:r>
      <w:r>
        <w:t xml:space="preserve">, Gaussian family, identity link); results reported as adjusted mean differences (β coefficients) with 95% CIs.</w:t>
      </w:r>
    </w:p>
    <w:p>
      <w:pPr>
        <w:pStyle w:val="Compact"/>
        <w:numPr>
          <w:ilvl w:val="1"/>
          <w:numId w:val="1008"/>
        </w:numPr>
      </w:pPr>
      <w:r>
        <w:rPr>
          <w:b/>
          <w:bCs/>
        </w:rPr>
        <w:t xml:space="preserve">Survey design:</w:t>
      </w:r>
      <w:r>
        <w:t xml:space="preserve"> </w:t>
      </w:r>
      <w:r>
        <w:t xml:space="preserve">All models incorporate the NIS complex survey design (</w:t>
      </w:r>
      <w:r>
        <w:rPr>
          <w:rStyle w:val="VerbatimChar"/>
        </w:rPr>
        <w:t xml:space="preserve">id = ~HOSP_NIS</w:t>
      </w:r>
      <w:r>
        <w:t xml:space="preserve">,</w:t>
      </w:r>
      <w:r>
        <w:t xml:space="preserve"> </w:t>
      </w:r>
      <w:r>
        <w:rPr>
          <w:rStyle w:val="VerbatimChar"/>
        </w:rPr>
        <w:t xml:space="preserve">strata = ~NIS_STRATUM</w:t>
      </w:r>
      <w:r>
        <w:t xml:space="preserve">,</w:t>
      </w:r>
      <w:r>
        <w:t xml:space="preserve"> </w:t>
      </w:r>
      <w:r>
        <w:rPr>
          <w:rStyle w:val="VerbatimChar"/>
        </w:rPr>
        <w:t xml:space="preserve">weights = ~DISCWT</w:t>
      </w:r>
      <w:r>
        <w:t xml:space="preserve">,</w:t>
      </w:r>
      <w:r>
        <w:t xml:space="preserve"> </w:t>
      </w:r>
      <w:r>
        <w:rPr>
          <w:rStyle w:val="VerbatimChar"/>
        </w:rPr>
        <w:t xml:space="preserve">nest = TRUE</w:t>
      </w:r>
      <w:r>
        <w:t xml:space="preserve">); lonely PSU handled with the</w:t>
      </w:r>
      <w:r>
        <w:t xml:space="preserve"> </w:t>
      </w:r>
      <w:r>
        <w:t xml:space="preserve">“adjust”</w:t>
      </w:r>
      <w:r>
        <w:t xml:space="preserve"> </w:t>
      </w:r>
      <w:r>
        <w:t xml:space="preserve">method (</w:t>
      </w:r>
      <w:r>
        <w:rPr>
          <w:rStyle w:val="VerbatimChar"/>
        </w:rPr>
        <w:t xml:space="preserve">survey.lonely.psu = "adjust"</w:t>
      </w:r>
      <w:r>
        <w:t xml:space="preserve">).</w:t>
      </w:r>
    </w:p>
    <w:p>
      <w:pPr>
        <w:pStyle w:val="Compact"/>
        <w:numPr>
          <w:ilvl w:val="1"/>
          <w:numId w:val="1008"/>
        </w:numPr>
      </w:pPr>
      <w:r>
        <w:rPr>
          <w:b/>
          <w:bCs/>
        </w:rPr>
        <w:t xml:space="preserve">Software:</w:t>
      </w:r>
      <w:r>
        <w:t xml:space="preserve"> </w:t>
      </w:r>
      <w:r>
        <w:t xml:space="preserve">R version 4.5.1 (R Foundation for Statistical Computing); key packages:</w:t>
      </w:r>
      <w:r>
        <w:t xml:space="preserve"> </w:t>
      </w:r>
      <w:r>
        <w:rPr>
          <w:rStyle w:val="VerbatimChar"/>
        </w:rPr>
        <w:t xml:space="preserve">arrow</w:t>
      </w:r>
      <w:r>
        <w:t xml:space="preserve">,</w:t>
      </w:r>
      <w:r>
        <w:t xml:space="preserve"> </w:t>
      </w:r>
      <w:r>
        <w:rPr>
          <w:rStyle w:val="VerbatimChar"/>
        </w:rPr>
        <w:t xml:space="preserve">duckdb</w:t>
      </w:r>
      <w:r>
        <w:t xml:space="preserve">,</w:t>
      </w:r>
      <w:r>
        <w:t xml:space="preserve"> </w:t>
      </w:r>
      <w:r>
        <w:rPr>
          <w:rStyle w:val="VerbatimChar"/>
        </w:rPr>
        <w:t xml:space="preserve">survey</w:t>
      </w:r>
      <w:r>
        <w:t xml:space="preserve">,</w:t>
      </w:r>
      <w:r>
        <w:t xml:space="preserve"> </w:t>
      </w:r>
      <w:r>
        <w:rPr>
          <w:rStyle w:val="VerbatimChar"/>
        </w:rPr>
        <w:t xml:space="preserve">gtsummary</w:t>
      </w:r>
      <w:r>
        <w:t xml:space="preserve">,</w:t>
      </w:r>
      <w:r>
        <w:t xml:space="preserve"> </w:t>
      </w:r>
      <w:r>
        <w:rPr>
          <w:rStyle w:val="VerbatimChar"/>
        </w:rPr>
        <w:t xml:space="preserve">tidyverse</w:t>
      </w:r>
      <w:r>
        <w:t xml:space="preserve">.</w:t>
      </w:r>
    </w:p>
    <w:bookmarkEnd w:id="11"/>
    <w:bookmarkStart w:id="12" w:name="X29f29abf188e0ba372463a7d90be4f2cc328080"/>
    <w:p>
      <w:pPr>
        <w:pStyle w:val="Heading2"/>
      </w:pPr>
      <w:r>
        <w:t xml:space="preserve">Table 1A: Baseline Characteristics Table, stratified by Sex</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103,355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Male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59,675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Female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43,680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70,805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38,810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31,995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17,325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11,140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8,455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5,595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12,705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7,130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14,940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8,520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16,440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9,575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6,865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18,350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10,770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7,580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11,635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8,280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21,005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12,045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8,960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39,100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22,600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16,500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25,865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14,235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11,630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21,815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12,590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9,225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13,525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8,140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48,090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24,635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23,455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32,910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20,115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12,795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13,645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8,665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5,655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3,055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47,340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27,280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20,060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9,995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6,635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21,185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13,960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7,225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18,785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10,975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7,810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38,230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21,285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16,945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25,155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13,455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11,700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53,065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30,965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22,100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30,395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17,425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12,970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19,895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11,285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8,610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78,335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46,615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31,720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7,015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18,005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9,550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8,455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5.76 (2.25)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6.19 (2.20)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50,980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29,495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21,485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71,920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41,280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30,640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 (Type 1 or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31,840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18,000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13,840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24,610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14,370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10,240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39,850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19,850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20,000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18,155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9,330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6,050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4,265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17,525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6,460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Dyslipidemia / 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38,840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22,445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16,395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60,270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36,810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23,460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16,980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11,455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7,100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Revascularization (PCI or CABG)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12,595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8,445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4,150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13,600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10,175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3,425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60,230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36,795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23,435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13,180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9,500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3,680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24,695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12,240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12,455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Non-Opioid Substance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14,110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8,840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5,270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 denotes suppressed cells (n &lt; 11) per HCUP guidelines</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12"/>
    <w:bookmarkStart w:id="13" w:name="X39e98673341d626763c7d5d5756ba56ed04b766"/>
    <w:p>
      <w:pPr>
        <w:pStyle w:val="Heading2"/>
      </w:pPr>
      <w:r>
        <w:t xml:space="preserve">Table 1B: Baseline Characteristics Table, stratified by Race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100,795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White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70,810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Black</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17,325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Hispanic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8,455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Asian or Pacific Islander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3,510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58,150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38,810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11,140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5,595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42,640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31,995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12,280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8,985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830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14,665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10,530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11,275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17,790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12,460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19,375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13,400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20,550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38,100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22,975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9,860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25,240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19,490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21,315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16,615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13,175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9,975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1,535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46,950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35,675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6,725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2,910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32,145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18,965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7,455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3,940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10,190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3,710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46,125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33,480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7,120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3,725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1,430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9,725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7,110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20,905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12,705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17,860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12,340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4,520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37,655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28,565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6,540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24,375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17,200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3,440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51,675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36,295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8,790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29,820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21,040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4,890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19,300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13,475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3,645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76,465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50,425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15,545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7,140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6,785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6,155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17,545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14,230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5.95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5.95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6.13 (2.23)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5.82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49,840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34,780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9,215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70,235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47,935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13,940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2,270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 (Type 1 or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31,080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20,625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24,020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14,980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5,990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38,900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28,355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6,695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17,685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13,055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10,085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7,350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17,025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11,585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Dyslipidemia / 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37,975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27,900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5,890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58,900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40,545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11,380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4,695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16,630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13,085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830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11,295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8,120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Revascularization (PCI or CABG)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12,320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9,125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13,285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8,675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58,860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40,520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11,375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4,690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5,790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24,170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18,020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Non-Opioid Substance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13,835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9,325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8"/>
          </w:tcPr>
          <w:p>
            <w:pPr>
              <w:spacing w:before="0" w:after="60"/>
              <w:keepNext/>
            </w:pPr>
            <w:r>
              <w:rPr>
                <w:vertAlign w:val="superscript"/>
                <w:i/>
                <w:rFonts w:ascii="Calibri" w:hAnsi="Calibri"/>
                <w:sz w:val="20"/>
              </w:rPr>
              <w:t xml:space="default">1</w:t>
            </w:r>
            <w:r>
              <w:rPr>
                <w:rFonts w:ascii="Calibri" w:hAnsi="Calibri"/>
                <w:sz w:val="20"/>
              </w:rPr>
              <w:t xml:space="preserve">– denotes suppressed cells (n &lt; 11) per HCUP guidelines</w:t>
            </w:r>
          </w:p>
        </w:tc>
      </w:tr>
      <w:tr>
        <w:trPr>
          <w:cantSplit/>
        </w:trPr>
        <w:tc>
          <w:tcPr>
            <w:gridSpan w:val="8"/>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13"/>
    <w:bookmarkStart w:id="14" w:name="Xf9bda7479f5bd48b5703fd49cbd540b65edd52a"/>
    <w:p>
      <w:pPr>
        <w:pStyle w:val="Heading2"/>
      </w:pPr>
      <w:r>
        <w:t xml:space="preserve">Table 2A: Univariable Analysis, Stratified by Sex</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103,355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Male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59,675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Female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43,680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All-Cause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8,455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4,900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3,555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Cardiac Arrest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6,145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3,870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Kidney Injury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44,005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26,625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17,380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 / Respiratory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45,860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25,445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20,415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PCI Utilization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14,240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9,255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Non-Routine Discharge Disposition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39,915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22,780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17,135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Hospital Costs (2022 USD)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19,961 (11,294, 37,278)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20,065 (11,162, 38,156)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19,844 (11,453, 35,963)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14"/>
    <w:bookmarkStart w:id="15" w:name="X35b7755d8b3b38bece6101d8aae88c338f61995"/>
    <w:p>
      <w:pPr>
        <w:pStyle w:val="Heading2"/>
      </w:pPr>
      <w:r>
        <w:t xml:space="preserve">Table 2B: Univariable Analysis, Stratified by Race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100,795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White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70,810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Black</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17,325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Hispanic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8,455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Asian or Pacific Islander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3,510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All-Cause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8,195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5,885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4,165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Cardiac Arrest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5,950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Kidney Injury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42,845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29,400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7,940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 / Respiratory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44,580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32,675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6,460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PCI Utilization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13,855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10,460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Non-Routine Discharge Disposition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38,860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27,870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6,230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Hospital Costs (2022 USD)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19,934 (11,282, 37,198)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20,288 (11,562, 37,577)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17,981 (10,297, 33,183)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20,040 (11,387, 40,225)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23,829 (14,090, 42,839)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23,143 (11,215, 41,550)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8"/>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8"/>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15"/>
    <w:bookmarkStart w:id="16" w:name="Xb11b69bbe4bb5e4576c7a7fa005b4edb2adc538"/>
    <w:p>
      <w:pPr>
        <w:pStyle w:val="Heading2"/>
      </w:pPr>
      <w:r>
        <w:t xml:space="preserve">Primary Outcome: Temporal Trend in In-Hospital 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1.19, 2.52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Census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2.79, 3.86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0.34, 0.47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16"/>
    <w:bookmarkStart w:id="23" w:name="X48ab5ece7ce572ce383807c5f788afb1eb74d15"/>
    <w:p>
      <w:pPr>
        <w:pStyle w:val="Heading2"/>
      </w:pPr>
      <w:r>
        <w:t xml:space="preserve">Secondary Outcomes - Multivariable Logistic Regression</w:t>
      </w:r>
    </w:p>
    <w:bookmarkStart w:id="17" w:name="cardiogenic-shock"/>
    <w:p>
      <w:pPr>
        <w:pStyle w:val="Heading3"/>
      </w:pPr>
      <w:r>
        <w:t xml:space="preserve">Cardiogenic Shock:</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3.36, 4.69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Census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3.18, 4.59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2.19, 3.15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17"/>
    <w:bookmarkStart w:id="18" w:name="cardiac-arrest"/>
    <w:p>
      <w:pPr>
        <w:pStyle w:val="Heading3"/>
      </w:pPr>
      <w:r>
        <w:t xml:space="preserve">Cardiac Arrest: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1.87, 2.64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1.20, 2.73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Census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0.053</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18"/>
    <w:bookmarkStart w:id="19" w:name="acute-kidney-injury"/>
    <w:p>
      <w:pPr>
        <w:pStyle w:val="Heading3"/>
      </w:pPr>
      <w:r>
        <w:t xml:space="preserve">Acute Kidney Injury: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Census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2.87, 3.55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19"/>
    <w:bookmarkStart w:id="20" w:name="Xd8b8a5372a92b795530594b2ddbc879db800331"/>
    <w:p>
      <w:pPr>
        <w:pStyle w:val="Heading3"/>
      </w:pPr>
      <w:r>
        <w:t xml:space="preserve">Mechanical Ventilation / Respiratory Failure: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Census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2.22, 2.79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0"/>
    <w:bookmarkStart w:id="21" w:name="pci-utilization"/>
    <w:p>
      <w:pPr>
        <w:pStyle w:val="Heading3"/>
      </w:pPr>
      <w:r>
        <w:t xml:space="preserve">PCI Utilization: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5.90, 7.43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Census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1.68, 2.18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1"/>
    <w:bookmarkStart w:id="22" w:name="non-home-discharge"/>
    <w:p>
      <w:pPr>
        <w:pStyle w:val="Heading3"/>
      </w:pPr>
      <w:r>
        <w:t xml:space="preserve">Non-Home Discharge: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Census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2"/>
    <w:bookmarkEnd w:id="23"/>
    <w:bookmarkStart w:id="26" w:name="multivariable-linear-regression"/>
    <w:p>
      <w:pPr>
        <w:pStyle w:val="Heading2"/>
      </w:pPr>
      <w:r>
        <w:t xml:space="preserve">Multivariable Linear Regression</w:t>
      </w:r>
    </w:p>
    <w:bookmarkStart w:id="24" w:name="length-of-stay-days"/>
    <w:p>
      <w:pPr>
        <w:pStyle w:val="Heading3"/>
      </w:pPr>
      <w:r>
        <w:t xml:space="preserve">Length of Stay (days):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Census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gridSpan w:val="4"/>
          </w:tcPr>
          <w:p>
            <w:pPr>
              <w:spacing w:before="0" w:after="60"/>
              <w:keepNext/>
            </w:pPr>
            <w:r>
              <w:rPr>
                <w:rFonts w:ascii="Calibri" w:hAnsi="Calibri"/>
                <w:sz w:val="20"/>
              </w:rPr>
              <w:t xml:space="preserve">Abbreviation: CI = Confidence Interval</w:t>
            </w:r>
          </w:p>
        </w:tc>
      </w:tr>
    </w:tbl>
    <w:bookmarkEnd w:id="24"/>
    <w:bookmarkStart w:id="25" w:name="inflation-adjusted-hospital-costs"/>
    <w:p>
      <w:pPr>
        <w:pStyle w:val="Heading3"/>
      </w:pPr>
      <w:r>
        <w:t xml:space="preserve">Inflation-Adjusted Hospital Costs: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-3,341,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-4,072, 1,288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-3,741, 2,816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-12,394, 31,687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-3,611, 7,823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340, 1,251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STEMI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7,099, 11,832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1,378, 5,048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1,191, 5,349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2,489, 8,397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-1,375, 3,351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-373, 4,290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Self-pay/Uninsured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-6,806, -587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-2,106, 5,744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Census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-2,262, 2,736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-4,900, -309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1,296, 6,914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-6,181, -2,400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-11,577, -7,598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-11,933, -7,337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-8,865, -5,306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5,794, 8,871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-6,579, -2,322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-752, 2,474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-856, 3,135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8,146, 13,532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Lung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-1,030, 2,340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Psychiatric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-3,090, 347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-1,435, 3,094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-14,377, -10,533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-5,244, -557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gridSpan w:val="4"/>
          </w:tcPr>
          <w:p>
            <w:pPr>
              <w:spacing w:before="0" w:after="60"/>
              <w:keepNext/>
            </w:pPr>
            <w:r>
              <w:rPr>
                <w:rFonts w:ascii="Calibri" w:hAnsi="Calibri"/>
                <w:sz w:val="20"/>
              </w:rPr>
              <w:t xml:space="preserve">Abbreviation: CI = Confidence Interval</w:t>
            </w:r>
          </w:p>
        </w:tc>
      </w:tr>
    </w:tbl>
    <w:p>
      <w:r>
        <w:pict>
          <v:rect style="width:0;height:1.5pt" o:hralign="center" o:hrstd="t" o:hr="t"/>
        </w:pict>
      </w:r>
    </w:p>
    <w:bookmarkEnd w:id="25"/>
    <w:bookmarkEnd w:id="26"/>
    <w:bookmarkStart w:id="30" w:name="Xc2f27b2169214fa2b327ab58825725f47183e34"/>
    <w:p>
      <w:pPr>
        <w:pStyle w:val="Heading2"/>
      </w:pPr>
      <w:r>
        <w:t xml:space="preserve">Figure 1A — Stacked bar: weighted OUD-AMI volume by year and sex</w:t>
      </w:r>
    </w:p>
    <w:p>
      <w:pPr>
        <w:pStyle w:val="FirstParagraph"/>
      </w:pPr>
      <w:r>
        <w:drawing>
          <wp:inline>
            <wp:extent cx="5334000" cy="3810000"/>
            <wp:effectExtent b="0" l="0" r="0" t="0"/>
            <wp:docPr descr="" title="" id="28" name="Picture"/>
            <a:graphic>
              <a:graphicData uri="http://schemas.openxmlformats.org/drawingml/2006/picture">
                <pic:pic>
                  <pic:nvPicPr>
                    <pic:cNvPr descr="index_files/figure-docx/fig1a_volume-1.png" id="29" name="Picture"/>
                    <pic:cNvPicPr>
                      <a:picLocks noChangeArrowheads="1" noChangeAspect="1"/>
                    </pic:cNvPicPr>
                  </pic:nvPicPr>
                  <pic:blipFill>
                    <a:blip r:embed="rId27"/>
                    <a:stretch>
                      <a:fillRect/>
                    </a:stretch>
                  </pic:blipFill>
                  <pic:spPr bwMode="auto">
                    <a:xfrm>
                      <a:off x="0" y="0"/>
                      <a:ext cx="5334000" cy="3810000"/>
                    </a:xfrm>
                    <a:prstGeom prst="rect">
                      <a:avLst/>
                    </a:prstGeom>
                    <a:noFill/>
                    <a:ln w="9525">
                      <a:noFill/>
                      <a:headEnd/>
                      <a:tailEnd/>
                    </a:ln>
                  </pic:spPr>
                </pic:pic>
              </a:graphicData>
            </a:graphic>
          </wp:inline>
        </w:drawing>
      </w:r>
    </w:p>
    <w:bookmarkEnd w:id="30"/>
    <w:bookmarkStart w:id="34" w:name="Xb489dbec258294e40dd92346f36b6dd156b13c1"/>
    <w:p>
      <w:pPr>
        <w:pStyle w:val="Heading2"/>
      </w:pPr>
      <w:r>
        <w:t xml:space="preserve">Figure 1B — Line plot: OUD prevalence among AMI by year and sex</w:t>
      </w:r>
    </w:p>
    <w:p>
      <w:pPr>
        <w:pStyle w:val="FirstParagraph"/>
      </w:pPr>
      <w:r>
        <w:drawing>
          <wp:inline>
            <wp:extent cx="5334000" cy="2667000"/>
            <wp:effectExtent b="0" l="0" r="0" t="0"/>
            <wp:docPr descr="" title="" id="32" name="Picture"/>
            <a:graphic>
              <a:graphicData uri="http://schemas.openxmlformats.org/drawingml/2006/picture">
                <pic:pic>
                  <pic:nvPicPr>
                    <pic:cNvPr descr="index_files/figure-docx/fig1b_plot-1.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bookmarkEnd w:id="34"/>
    <w:bookmarkStart w:id="38" w:name="X38eb93ecd358febed3608d1803216c3f57f7a8d"/>
    <w:p>
      <w:pPr>
        <w:pStyle w:val="Heading2"/>
      </w:pPr>
      <w:r>
        <w:t xml:space="preserve">Figure 2A — Stacked bar: weighted OUD-AMI volume by year and race</w:t>
      </w:r>
    </w:p>
    <w:p>
      <w:pPr>
        <w:pStyle w:val="FirstParagraph"/>
      </w:pPr>
      <w:r>
        <w:drawing>
          <wp:inline>
            <wp:extent cx="5334000" cy="3810000"/>
            <wp:effectExtent b="0" l="0" r="0" t="0"/>
            <wp:docPr descr="" title="" id="36" name="Picture"/>
            <a:graphic>
              <a:graphicData uri="http://schemas.openxmlformats.org/drawingml/2006/picture">
                <pic:pic>
                  <pic:nvPicPr>
                    <pic:cNvPr descr="index_files/figure-docx/fig2a_volume-1.png" id="37" name="Picture"/>
                    <pic:cNvPicPr>
                      <a:picLocks noChangeArrowheads="1" noChangeAspect="1"/>
                    </pic:cNvPicPr>
                  </pic:nvPicPr>
                  <pic:blipFill>
                    <a:blip r:embed="rId35"/>
                    <a:stretch>
                      <a:fillRect/>
                    </a:stretch>
                  </pic:blipFill>
                  <pic:spPr bwMode="auto">
                    <a:xfrm>
                      <a:off x="0" y="0"/>
                      <a:ext cx="5334000" cy="3810000"/>
                    </a:xfrm>
                    <a:prstGeom prst="rect">
                      <a:avLst/>
                    </a:prstGeom>
                    <a:noFill/>
                    <a:ln w="9525">
                      <a:noFill/>
                      <a:headEnd/>
                      <a:tailEnd/>
                    </a:ln>
                  </pic:spPr>
                </pic:pic>
              </a:graphicData>
            </a:graphic>
          </wp:inline>
        </w:drawing>
      </w:r>
    </w:p>
    <w:bookmarkEnd w:id="38"/>
    <w:bookmarkStart w:id="42" w:name="X0bf1ecf8edf9aef68676b44317cc5e75ca64f51"/>
    <w:p>
      <w:pPr>
        <w:pStyle w:val="Heading2"/>
      </w:pPr>
      <w:r>
        <w:t xml:space="preserve">Figure 2B — Line plot: OUD prevalence among AMI by year and race</w:t>
      </w:r>
    </w:p>
    <w:p>
      <w:pPr>
        <w:pStyle w:val="FirstParagraph"/>
      </w:pPr>
      <w:r>
        <w:drawing>
          <wp:inline>
            <wp:extent cx="5334000" cy="2667000"/>
            <wp:effectExtent b="0" l="0" r="0" t="0"/>
            <wp:docPr descr="" title="" id="40" name="Picture"/>
            <a:graphic>
              <a:graphicData uri="http://schemas.openxmlformats.org/drawingml/2006/picture">
                <pic:pic>
                  <pic:nvPicPr>
                    <pic:cNvPr descr="index_files/figure-docx/fig2b_plot-1.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bookmarkEnd w:id="42"/>
    <w:bookmarkStart w:id="46" w:name="X9b00ba0f3dce7c7948400f90c81cf14e452fefa"/>
    <w:p>
      <w:pPr>
        <w:pStyle w:val="Heading2"/>
      </w:pPr>
      <w:r>
        <w:t xml:space="preserve">Figure 3 - Outcome trends stratified by sex (OUD patients)</w:t>
      </w:r>
    </w:p>
    <w:p>
      <w:pPr>
        <w:pStyle w:val="FirstParagraph"/>
      </w:pPr>
      <w:r>
        <w:drawing>
          <wp:inline>
            <wp:extent cx="5334000" cy="1933575"/>
            <wp:effectExtent b="0" l="0" r="0" t="0"/>
            <wp:docPr descr="" title="" id="44" name="Picture"/>
            <a:graphic>
              <a:graphicData uri="http://schemas.openxmlformats.org/drawingml/2006/picture">
                <pic:pic>
                  <pic:nvPicPr>
                    <pic:cNvPr descr="index_files/figure-docx/fig3_outcomes-1.png" id="45" name="Picture"/>
                    <pic:cNvPicPr>
                      <a:picLocks noChangeArrowheads="1" noChangeAspect="1"/>
                    </pic:cNvPicPr>
                  </pic:nvPicPr>
                  <pic:blipFill>
                    <a:blip r:embed="rId43"/>
                    <a:stretch>
                      <a:fillRect/>
                    </a:stretch>
                  </pic:blipFill>
                  <pic:spPr bwMode="auto">
                    <a:xfrm>
                      <a:off x="0" y="0"/>
                      <a:ext cx="5334000" cy="1933575"/>
                    </a:xfrm>
                    <a:prstGeom prst="rect">
                      <a:avLst/>
                    </a:prstGeom>
                    <a:noFill/>
                    <a:ln w="9525">
                      <a:noFill/>
                      <a:headEnd/>
                      <a:tailEnd/>
                    </a:ln>
                  </pic:spPr>
                </pic:pic>
              </a:graphicData>
            </a:graphic>
          </wp:inline>
        </w:drawing>
      </w:r>
    </w:p>
    <w:bookmarkEnd w:id="46"/>
    <w:bookmarkStart w:id="50" w:name="Xdda9dcb5bac4aab213539736c9efe088ce29e46"/>
    <w:p>
      <w:pPr>
        <w:pStyle w:val="Heading2"/>
      </w:pPr>
      <w:r>
        <w:t xml:space="preserve">Figure 4 - Outcome trends stratified by race (OUD patients)</w:t>
      </w:r>
    </w:p>
    <w:p>
      <w:pPr>
        <w:pStyle w:val="FirstParagraph"/>
      </w:pPr>
      <w:r>
        <w:drawing>
          <wp:inline>
            <wp:extent cx="5334000" cy="1933575"/>
            <wp:effectExtent b="0" l="0" r="0" t="0"/>
            <wp:docPr descr="" title="" id="48" name="Picture"/>
            <a:graphic>
              <a:graphicData uri="http://schemas.openxmlformats.org/drawingml/2006/picture">
                <pic:pic>
                  <pic:nvPicPr>
                    <pic:cNvPr descr="index_files/figure-docx/fig4_outcomes-1.png" id="49" name="Picture"/>
                    <pic:cNvPicPr>
                      <a:picLocks noChangeArrowheads="1" noChangeAspect="1"/>
                    </pic:cNvPicPr>
                  </pic:nvPicPr>
                  <pic:blipFill>
                    <a:blip r:embed="rId47"/>
                    <a:stretch>
                      <a:fillRect/>
                    </a:stretch>
                  </pic:blipFill>
                  <pic:spPr bwMode="auto">
                    <a:xfrm>
                      <a:off x="0" y="0"/>
                      <a:ext cx="5334000" cy="1933575"/>
                    </a:xfrm>
                    <a:prstGeom prst="rect">
                      <a:avLst/>
                    </a:prstGeom>
                    <a:noFill/>
                    <a:ln w="9525">
                      <a:noFill/>
                      <a:headEnd/>
                      <a:tailEnd/>
                    </a:ln>
                  </pic:spPr>
                </pic:pic>
              </a:graphicData>
            </a:graphic>
          </wp:inline>
        </w:drawing>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9" Target="https://doi.org/10.1016/j.amjcard.2020.12.077" TargetMode="External" /><Relationship Type="http://schemas.openxmlformats.org/officeDocument/2006/relationships/hyperlink" Id="rId10" Target="https://doi.org/10.1016/j.clineuro.2023.107747"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1016/j.amjcard.2020.12.077" TargetMode="External" /><Relationship Type="http://schemas.openxmlformats.org/officeDocument/2006/relationships/hyperlink" Id="rId10" Target="https://doi.org/10.1016/j.clineuro.2023.1077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Trends in Acute Myocardial Infarction Outcomes Among Patients With Opioid Use Disorder: An Analysis of Sex and Racial Disparities Using the Nationwide Inpatient Sample (2017–2022)</dc:title>
  <dc:creator>Dua Ali</dc:creator>
  <cp:keywords/>
  <dcterms:created xsi:type="dcterms:W3CDTF">2026-06-08T16:08:28Z</dcterms:created>
  <dcterms:modified xsi:type="dcterms:W3CDTF">2026-06-08T16:08:28Z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Analysis for RCOP NIS Cardio-3</vt:lpwstr>
  </property>
  <property fmtid="{D5CDD505-2E9C-101B-9397-08002B2CF9AE}" pid="13" name="toc-title">
    <vt:lpwstr>Table of contents</vt:lpwstr>
  </property>
</Properties>
</file>