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In-Hospital Outcomes of Variceal Haemorrhage in Patients With and Without Myeloproliferative Neoplasms (NIS 2017–2022)</w:t>
      </w:r>
    </w:p>
    <w:p>
      <w:pPr>
        <w:pStyle w:val="Subtitle"/>
      </w:pPr>
      <w:r>
        <w:t xml:space="preserve">Analysis for RCOP NIS IM4</w:t>
      </w:r>
    </w:p>
    <w:p>
      <w:pPr>
        <w:pStyle w:val="Author"/>
      </w:pPr>
      <w:r>
        <w:t xml:space="preserve">Dua Ali</w:t>
      </w:r>
    </w:p>
    <w:bookmarkStart w:id="11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Papers: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Leiva et al. 2023</w:t>
        </w:r>
      </w:hyperlink>
    </w:p>
    <w:p>
      <w:pPr>
        <w:pStyle w:val="Compact"/>
        <w:numPr>
          <w:ilvl w:val="1"/>
          <w:numId w:val="1002"/>
        </w:numPr>
      </w:pPr>
      <w:hyperlink r:id="rId10">
        <w:r>
          <w:rPr>
            <w:rStyle w:val="Hyperlink"/>
          </w:rPr>
          <w:t xml:space="preserve">Yan et al. 2015</w:t>
        </w:r>
      </w:hyperlink>
    </w:p>
    <w:p>
      <w:pPr>
        <w:pStyle w:val="FirstParagraph"/>
      </w:pPr>
      <w:r>
        <w:rPr>
          <w:b/>
          <w:bCs/>
        </w:rPr>
        <w:t xml:space="preserve">Study Objective:</w:t>
      </w:r>
      <w:r>
        <w:t xml:space="preserve"> </w:t>
      </w:r>
      <w:r>
        <w:t xml:space="preserve">To compare in-hospital outcomes and complications between variceal hemorrhage patients with and without myeloproliferative neoplasms (MPNs) in U.S. hospitals, adjusting for demographic, socioeconomic, clinical, and hospital-related factors.</w:t>
      </w:r>
    </w:p>
    <w:p>
      <w:pPr>
        <w:pStyle w:val="BodyText"/>
      </w:pPr>
      <w:r>
        <w:rPr>
          <w:b/>
          <w:bCs/>
        </w:rPr>
        <w:t xml:space="preserve">Data Source:</w:t>
      </w:r>
      <w:r>
        <w:t xml:space="preserve"> </w:t>
      </w:r>
      <w:r>
        <w:t xml:space="preserve">Cross-sectional analysis using the National Inpatient Sample (NIS) database, a representative sample of all-payer inpatient hospitalizations in the U.S., from 2017 to 2022.</w:t>
      </w:r>
    </w:p>
    <w:p>
      <w:pPr>
        <w:pStyle w:val="BodyText"/>
      </w:pPr>
      <w:r>
        <w:rPr>
          <w:b/>
          <w:bCs/>
        </w:rPr>
        <w:t xml:space="preserve">Patient Selection:</w:t>
      </w:r>
      <w:r>
        <w:t xml:space="preserve"> </w:t>
      </w:r>
      <w:r>
        <w:t xml:space="preserve">Included all inpatient admissions for patients 18 years or older with a primary or secondary diagnosis of variceal hemorrhage, identified using ICD-10-CM diagnosis codes (I85.11 and I85.01). From this cohort, patients were categorized into two groups based on the presence or absence of myeloproliferative neoplasms. Patients with essential thrombocythemia (ICD-10 D47.3), polycythemia vera (ICD-10 D45), and primary myelofibrosis (ICD-10 D47.1, D75.81, and D47.4) were identified using ICD-10 codes.</w:t>
      </w:r>
    </w:p>
    <w:p>
      <w:pPr>
        <w:pStyle w:val="BodyText"/>
      </w:pPr>
      <w:r>
        <w:rPr>
          <w:b/>
          <w:bCs/>
        </w:rPr>
        <w:t xml:space="preserve">Outcomes of Interest:</w:t>
      </w:r>
    </w:p>
    <w:p>
      <w:pPr>
        <w:numPr>
          <w:ilvl w:val="0"/>
          <w:numId w:val="1003"/>
        </w:numPr>
      </w:pPr>
      <w:r>
        <w:t xml:space="preserve">In-hospital Mortality</w:t>
      </w:r>
    </w:p>
    <w:p>
      <w:pPr>
        <w:numPr>
          <w:ilvl w:val="0"/>
          <w:numId w:val="1003"/>
        </w:numPr>
      </w:pPr>
      <w:r>
        <w:t xml:space="preserve">Blood Transfusion</w:t>
      </w:r>
    </w:p>
    <w:p>
      <w:pPr>
        <w:numPr>
          <w:ilvl w:val="0"/>
          <w:numId w:val="1003"/>
        </w:numPr>
      </w:pPr>
      <w:r>
        <w:t xml:space="preserve">ICU Admission</w:t>
      </w:r>
    </w:p>
    <w:p>
      <w:pPr>
        <w:numPr>
          <w:ilvl w:val="0"/>
          <w:numId w:val="1003"/>
        </w:numPr>
      </w:pPr>
      <w:r>
        <w:t xml:space="preserve">TIPS Procedure</w:t>
      </w:r>
    </w:p>
    <w:p>
      <w:pPr>
        <w:numPr>
          <w:ilvl w:val="0"/>
          <w:numId w:val="1003"/>
        </w:numPr>
      </w:pPr>
      <w:r>
        <w:t xml:space="preserve">Length of Stay (days)</w:t>
      </w:r>
    </w:p>
    <w:p>
      <w:pPr>
        <w:numPr>
          <w:ilvl w:val="0"/>
          <w:numId w:val="1003"/>
        </w:numPr>
      </w:pPr>
      <w:r>
        <w:t xml:space="preserve">Inflation-adjusted total hospitalisation costs (2022 USD, CPI-adjusted)</w:t>
      </w:r>
    </w:p>
    <w:p>
      <w:pPr>
        <w:pStyle w:val="FirstParagraph"/>
      </w:pPr>
      <w:r>
        <w:rPr>
          <w:b/>
          <w:bCs/>
        </w:rPr>
        <w:t xml:space="preserve">Statistical Analysis:</w:t>
      </w:r>
      <w:r>
        <w:t xml:space="preserve"> </w:t>
      </w:r>
      <w:r>
        <w:t xml:space="preserve">Univariable and multivariable analyses were conducted to evaluate the association between myeloproliferative neoplasms and inpatient outcomes among variceal hemorrhage hospitalizations: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Univariable Analysis:</w:t>
      </w:r>
    </w:p>
    <w:p>
      <w:pPr>
        <w:numPr>
          <w:ilvl w:val="1"/>
          <w:numId w:val="1005"/>
        </w:numPr>
      </w:pPr>
      <w:r>
        <w:t xml:space="preserve">Continuous variables: Design-based Kruskal-Wallis test.</w:t>
      </w:r>
    </w:p>
    <w:p>
      <w:pPr>
        <w:numPr>
          <w:ilvl w:val="1"/>
          <w:numId w:val="1005"/>
        </w:numPr>
      </w:pPr>
      <w:r>
        <w:t xml:space="preserve">Categorical variables: Pearson’s X² test with Rao &amp; Scott adjustment to account for survey design.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Multivariable Analysis:</w:t>
      </w:r>
    </w:p>
    <w:p>
      <w:pPr>
        <w:numPr>
          <w:ilvl w:val="1"/>
          <w:numId w:val="1006"/>
        </w:numPr>
      </w:pPr>
      <w:r>
        <w:t xml:space="preserve">Logistic regression for binary outcomes (e.g., mortality, blood transfusion, ICU admission, and TIPS procedure).</w:t>
      </w:r>
    </w:p>
    <w:p>
      <w:pPr>
        <w:numPr>
          <w:ilvl w:val="1"/>
          <w:numId w:val="1006"/>
        </w:numPr>
      </w:pPr>
      <w:r>
        <w:t xml:space="preserve">Linear regression for continuous outcomes (e.g., length of stay, total charges).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Adjustments:</w:t>
      </w:r>
      <w:r>
        <w:t xml:space="preserve"> </w:t>
      </w:r>
      <w:r>
        <w:t xml:space="preserve">Models controlled for the following covariates: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Demographics and Socioeconomic Factors</w:t>
      </w:r>
      <w:r>
        <w:t xml:space="preserve">: Calendar year (continuous, 2017–2022), age (years), sex, race/ethnicity, median household income quartile, and primary expected payer.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Clinical Factors:</w:t>
      </w:r>
      <w:r>
        <w:t xml:space="preserve"> </w:t>
      </w:r>
      <w:r>
        <w:t xml:space="preserve">A summary measure of comorbidity (Elixhauser comorbidity index), Hepatic encephalopathy, Ascites, and Splenomegaly.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Hospital-Level Factors:</w:t>
      </w:r>
      <w:r>
        <w:t xml:space="preserve"> </w:t>
      </w:r>
      <w:r>
        <w:t xml:space="preserve">Hospital bed size, Hospital location and teaching status.</w:t>
      </w:r>
    </w:p>
    <w:p>
      <w:pPr>
        <w:pStyle w:val="FirstParagraph"/>
      </w:pPr>
      <w:r>
        <w:rPr>
          <w:b/>
          <w:bCs/>
        </w:rPr>
        <w:t xml:space="preserve">Software:</w:t>
      </w:r>
      <w:r>
        <w:t xml:space="preserve"> </w:t>
      </w:r>
      <w:r>
        <w:t xml:space="preserve">All analyses were performed using R Statistical Language (Version 4.5.0; R Foundation for Statistical Computing, Vienna, Austria), incorporating survey-weighted procedures via the</w:t>
      </w:r>
      <w:r>
        <w:t xml:space="preserve"> </w:t>
      </w:r>
      <w:r>
        <w:rPr>
          <w:i/>
          <w:iCs/>
        </w:rPr>
        <w:t xml:space="preserve">survey</w:t>
      </w:r>
      <w:r>
        <w:t xml:space="preserve"> </w:t>
      </w:r>
      <w:r>
        <w:t xml:space="preserve">package to account for the complex sampling design of NIS.</w:t>
      </w:r>
    </w:p>
    <w:bookmarkEnd w:id="11"/>
    <w:bookmarkStart w:id="12" w:name="baseline-table"/>
    <w:p>
      <w:pPr>
        <w:pStyle w:val="Heading2"/>
      </w:pPr>
      <w:r>
        <w:t xml:space="preserve">Baseline Table: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290,495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Variceal Haemorrhage without MPN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289,235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Variceal Haemorrhage with MPN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1,260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Calendar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40,365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40,200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44,640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44,360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47,595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47,370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49,445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49,205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54,245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54,060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54,205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54,040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194,815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194,070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745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95,655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95,140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177,460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176,655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805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7,025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6,970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19,395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19,290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62,675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62,500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16,765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16,690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86,020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85,795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93,790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93,190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600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38,335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38,225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71,690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71,370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93,475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93,155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76,425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76,130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66,300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65,985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46,630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46,335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 residence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 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148,045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147,335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710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27,615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27,465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19,835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19,770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 metro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92,160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91,835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14,320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14,265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55,225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54,980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220,950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219,990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960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152,310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151,635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675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84,160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83,740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420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54,025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53,860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54,380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54,160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40,240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40,035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118,640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118,075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77,235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76,965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5.18 (1.89)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5.19 (1.89)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4.58 (2.15)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252,220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251,435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785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Portal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198,125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197,265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860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Hepatic encephalopathy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58,755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58,625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Ascites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137,755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137,235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Splenomegaly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14,440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14,210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Thrombocytopenia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119,815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119,645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39,275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39,190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Portal/splenic vein thrombosis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18,520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18,165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VTE (DVT/PE)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7,565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7,405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Anticoagulation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9,095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8,875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MPN subtype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Polycythaemia vera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Essential thrombocythaemia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Primary myelofibrosis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27,850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27,670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10,340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10,275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7,365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7,270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125,610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125,145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465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lung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24,120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24,055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Mean (SD)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12"/>
    <w:bookmarkStart w:id="13" w:name="univariable-analysis"/>
    <w:p>
      <w:pPr>
        <w:pStyle w:val="Heading2"/>
      </w:pPr>
      <w:r>
        <w:t xml:space="preserve">Univariable Analysis: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290,495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Variceal Haemorrhage without MPN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289,235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Variceal Haemorrhage with MPN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1,260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28,155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28,070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 transfusion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112,405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111,925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ICU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57,640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57,420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TIPS procedure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13,425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13,365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Hospital Costs (2022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25,339 (40,684)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25,327 (40,687)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28,106 (39,921)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Mean (SD)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13"/>
    <w:bookmarkStart w:id="18" w:name="multivariable-logistic-regression"/>
    <w:p>
      <w:pPr>
        <w:pStyle w:val="Heading2"/>
      </w:pPr>
      <w:r>
        <w:t xml:space="preserve">Multivariable Logistic Regression:</w:t>
      </w:r>
    </w:p>
    <w:bookmarkStart w:id="14" w:name="in-hospital-mortality"/>
    <w:p>
      <w:pPr>
        <w:pStyle w:val="Heading3"/>
      </w:pPr>
      <w:r>
        <w:t xml:space="preserve">In-hospital Mortality: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MPN_any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without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(continuous)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1.30, 1.60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Splenomegaly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0.31, 0.46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Ascites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1.52, 1.72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Hepatic encephalopathy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1.75, 2.00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14"/>
    <w:bookmarkStart w:id="15" w:name="blood-transfusion"/>
    <w:p>
      <w:pPr>
        <w:pStyle w:val="Heading3"/>
      </w:pPr>
      <w:r>
        <w:t xml:space="preserve">Blood Transfusion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MPN_any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without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(continuous)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1.40, 1.78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1.21, 1.42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1.40, 1.58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Splenomegaly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Ascites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Hepatic encephalopathy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15"/>
    <w:bookmarkStart w:id="16" w:name="icu-admission"/>
    <w:p>
      <w:pPr>
        <w:pStyle w:val="Heading3"/>
      </w:pPr>
      <w:r>
        <w:t xml:space="preserve">ICU admission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MPN_any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without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(continuous)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1.48, 1.91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Splenomegaly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Ascites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Hepatic encephalopathy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2.02, 2.23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16"/>
    <w:bookmarkStart w:id="17" w:name="tips-procedure"/>
    <w:p>
      <w:pPr>
        <w:pStyle w:val="Heading3"/>
      </w:pPr>
      <w:r>
        <w:t xml:space="preserve">TIPS procedure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MPN_any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without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0.53, 1.89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(continuous)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1.39, 3.53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3.44, 8.44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0.27, 0.36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Splenomegaly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Ascites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Hepatic encephalopathy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1.56, 1.87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17"/>
    <w:bookmarkEnd w:id="18"/>
    <w:bookmarkStart w:id="21" w:name="multivariable-linear-regression"/>
    <w:p>
      <w:pPr>
        <w:pStyle w:val="Heading2"/>
      </w:pPr>
      <w:r>
        <w:t xml:space="preserve">Multivariable Linear Regression:</w:t>
      </w:r>
    </w:p>
    <w:bookmarkStart w:id="19" w:name="length-of-stay"/>
    <w:p>
      <w:pPr>
        <w:pStyle w:val="Heading3"/>
      </w:pPr>
      <w:r>
        <w:t xml:space="preserve">Length of Stay: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MPN_any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without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(continuous)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0.02, 0.12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-0.02, 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-0.06, 0.21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-0.19, 0.64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-0.20, 0.19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-0.47, 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-0.63, -0.21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-0.51, 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1.5, 2.0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-0.97, -0.62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-1.6, 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-0.09, 0.27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-0.19, 0.16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0.17, 0.59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Splenomegaly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-0.69, 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Ascites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1.8, 2.0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Hepatic encephalopathy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1.3, 1.7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19"/>
    <w:bookmarkStart w:id="20" w:name="inflation-adjusted-total-cost"/>
    <w:p>
      <w:pPr>
        <w:pStyle w:val="Heading3"/>
      </w:pPr>
      <w:r>
        <w:t xml:space="preserve">Inflation-adjusted Total Cost: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MPN_any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without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1,583, 11,604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(continuous)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31, 600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-228, -148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-1,124, 432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2,483, 7,616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2,422, 4,973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1,667, 3,713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2,402, 6,576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-2,365, -280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-5,020, -3,207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-1,054, 1,127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856, 2,763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6,506, 8,598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-6,002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-7,004, -4,999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-8,513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-9,554, -7,473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1,529, 3,308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2,160, 3,800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6,861, 9,583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2,674, 3,090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Splenomegaly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-4,349, -2,042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Ascites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7,150, 8,583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Hepatic encephalopathy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5,424, 7,304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doi.org/10.1016/j.clml.2014.04.004" TargetMode="External" /><Relationship Type="http://schemas.openxmlformats.org/officeDocument/2006/relationships/hyperlink" Id="rId9" Target="https://doi.org/10.1016/j.jaccao.2023.03.01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oi.org/10.1016/j.clml.2014.04.004" TargetMode="External" /><Relationship Type="http://schemas.openxmlformats.org/officeDocument/2006/relationships/hyperlink" Id="rId9" Target="https://doi.org/10.1016/j.jaccao.2023.03.01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In-Hospital Outcomes of Variceal Haemorrhage in Patients With and Without Myeloproliferative Neoplasms (NIS 2017–2022)</dc:title>
  <dc:creator>Dua Ali</dc:creator>
  <cp:keywords/>
  <dcterms:created xsi:type="dcterms:W3CDTF">2026-06-04T12:58:34Z</dcterms:created>
  <dcterms:modified xsi:type="dcterms:W3CDTF">2026-06-04T12:58:34Z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Analysis for RCOP NIS IM4</vt:lpwstr>
  </property>
  <property fmtid="{D5CDD505-2E9C-101B-9397-08002B2CF9AE}" pid="13" name="toc-title">
    <vt:lpwstr>Table of contents</vt:lpwstr>
  </property>
</Properties>
</file>