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Inpatient Outcomes of Adrenal Insufficiency in Patients Hospitalized for Sepsis: A Retrospective Analysis of the Nationwide Inpatient Sample (NIS), 2017-2022</w:t>
      </w:r>
    </w:p>
    <w:p>
      <w:pPr>
        <w:pStyle w:val="Subtitle"/>
      </w:pPr>
      <w:r>
        <w:t xml:space="preserve">Analysis for NIS IM-6</w:t>
      </w:r>
    </w:p>
    <w:p>
      <w:pPr>
        <w:pStyle w:val="Author"/>
      </w:pPr>
      <w:r>
        <w:t xml:space="preserve">Dua Ali</w:t>
      </w:r>
    </w:p>
    <w:bookmarkStart w:id="22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Papers: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Lyu et al. 2024</w:t>
        </w:r>
      </w:hyperlink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Salman et al. 2025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compare in-hospital outcomes and complications between sepsis patients with and without adrenal insufficiency in U.S. hospitals, adjusting for demographic, socioeconomic, clinical, and hospital-related factors.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using the National Inpatient Sample (NIS) database, a representative sample of all-payer inpatient hospitalizations in the U.S., from 2017 to 2022.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Patient Selection</w:t>
      </w:r>
      <w:r>
        <w:t xml:space="preserve">: Included all inpatient admissions for patients 18 years or older with a primary diagnosis of sepsis, identified using ICD-10-CM diagnosis codes (A021, A207, A227, A267, A327, A392–A394, A40x, A41x, A427, A5486, B377, R6520–R6521). From this cohort, patients were categorized into two groups based on the presence or absence of a secondary diagnosis of adrenal insufficiency, identified using ICD-10-CM diagnosis codes (A391, E271–E273, E2740, E2749, E896).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2"/>
        </w:numPr>
      </w:pPr>
      <w:r>
        <w:t xml:space="preserve">In-hospital Mortality</w:t>
      </w:r>
    </w:p>
    <w:p>
      <w:pPr>
        <w:numPr>
          <w:ilvl w:val="1"/>
          <w:numId w:val="1002"/>
        </w:numPr>
      </w:pPr>
      <w:r>
        <w:t xml:space="preserve">Septic Shock</w:t>
      </w:r>
    </w:p>
    <w:p>
      <w:pPr>
        <w:numPr>
          <w:ilvl w:val="1"/>
          <w:numId w:val="1002"/>
        </w:numPr>
      </w:pPr>
      <w:r>
        <w:t xml:space="preserve">Acute Kidney Injury (AKI)</w:t>
      </w:r>
    </w:p>
    <w:p>
      <w:pPr>
        <w:numPr>
          <w:ilvl w:val="1"/>
          <w:numId w:val="1002"/>
        </w:numPr>
      </w:pPr>
      <w:r>
        <w:t xml:space="preserve">Length of Stay (days)</w:t>
      </w:r>
    </w:p>
    <w:p>
      <w:pPr>
        <w:numPr>
          <w:ilvl w:val="1"/>
          <w:numId w:val="1002"/>
        </w:numPr>
      </w:pPr>
      <w:r>
        <w:t xml:space="preserve">Inflation-adjusted Total Charge ($) [adjusted to 2022 dollars, using CPI data by the U.S. Bureau of Labor Statistics]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Analysis</w:t>
      </w:r>
      <w:r>
        <w:t xml:space="preserve">: Univariable and multivariable analyses were conducted to evaluate the association between adrenal insufficiency and inpatient outcomes among sepsis hospitalizations: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Univariable Analysis:</w:t>
      </w:r>
    </w:p>
    <w:p>
      <w:pPr>
        <w:numPr>
          <w:ilvl w:val="1"/>
          <w:numId w:val="1003"/>
        </w:numPr>
      </w:pPr>
      <w:r>
        <w:t xml:space="preserve">Categorical variables: Pearson’s X² test with Rao &amp; Scott adjustment to account for survey design.</w:t>
      </w:r>
    </w:p>
    <w:p>
      <w:pPr>
        <w:numPr>
          <w:ilvl w:val="1"/>
          <w:numId w:val="1003"/>
        </w:numPr>
      </w:pPr>
      <w:r>
        <w:t xml:space="preserve">Continuous variables: Design-based Kruskal-Wallis test, a non-parametric alternative suitable for survey-weighted data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Multivariable Analysis:</w:t>
      </w:r>
    </w:p>
    <w:p>
      <w:pPr>
        <w:numPr>
          <w:ilvl w:val="1"/>
          <w:numId w:val="1003"/>
        </w:numPr>
      </w:pPr>
      <w:r>
        <w:t xml:space="preserve">Binary outcomes (in-hospital mortality, discharge disposition, prolonged mechanical ventilation, pneumonia): Survey-weighted logistic regression using the</w:t>
      </w:r>
      <w:r>
        <w:t xml:space="preserve"> </w:t>
      </w:r>
      <w:r>
        <w:rPr>
          <w:i/>
          <w:iCs/>
        </w:rPr>
        <w:t xml:space="preserve">quasibinomial</w:t>
      </w:r>
      <w:r>
        <w:t xml:space="preserve"> </w:t>
      </w:r>
      <w:r>
        <w:t xml:space="preserve">family.</w:t>
      </w:r>
    </w:p>
    <w:p>
      <w:pPr>
        <w:numPr>
          <w:ilvl w:val="1"/>
          <w:numId w:val="1003"/>
        </w:numPr>
      </w:pPr>
      <w:r>
        <w:t xml:space="preserve">Continuous outcomes (length of stay): Survey-weighted linear regression using the</w:t>
      </w:r>
      <w:r>
        <w:t xml:space="preserve"> </w:t>
      </w:r>
      <w:r>
        <w:rPr>
          <w:i/>
          <w:iCs/>
        </w:rPr>
        <w:t xml:space="preserve">gaussian</w:t>
      </w:r>
      <w:r>
        <w:t xml:space="preserve"> </w:t>
      </w:r>
      <w:r>
        <w:t xml:space="preserve">family.</w:t>
      </w:r>
    </w:p>
    <w:p>
      <w:pPr>
        <w:numPr>
          <w:ilvl w:val="1"/>
          <w:numId w:val="1003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Adjustments:</w:t>
      </w:r>
      <w:r>
        <w:t xml:space="preserve"> </w:t>
      </w:r>
      <w:r>
        <w:t xml:space="preserve">Models controlled for the following covariates: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Demographics and Socioeconomic Factors</w:t>
      </w:r>
      <w:r>
        <w:t xml:space="preserve">: Age, Sex, Race, Residential income, Expected primary payer.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A summary measure of comorbidity (Elixhauser comorbidity index)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region, Hospital bedsize, Hospital location and teaching status.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Indicators of Disease Severity:</w:t>
      </w:r>
      <w:r>
        <w:t xml:space="preserve"> </w:t>
      </w:r>
      <w:r>
        <w:t xml:space="preserve">Mechanical Ventilation, and Vasopressor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performed using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2"/>
    <w:bookmarkStart w:id="23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16,701,259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Sepsis Without Adrenal Insufficiency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16,478,644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Sepsis With Adrenal Insufficiency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222,615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8,100,357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7,985,747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114,610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8,599,402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8,491,427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107,975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10,882,206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10,734,311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147,895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508,110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500,740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7,370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2,361,720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2,330,145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31,575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1,950,549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1,928,574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21,975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601,820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593,920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7,900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4.67 (2.31)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(2.31)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5.55 (2.21)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5,133,169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5,073,074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60,095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4,309,829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4,254,234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55,595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3,844,543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3,789,438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55,105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3,099,663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3,051,228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48,435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2,521,239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2,491,374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29,865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9,947,086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9,804,646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142,440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1,118,510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1,109,760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3,092,014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3,050,704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41,310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3,351,350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3,298,970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52,380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2,718,133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2,676,328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41,805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6,781,151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6,703,176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77,975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3,850,626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3,800,171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50,455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7,971,149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7,848,699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122,450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4,999,516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4,939,856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59,660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3,730,593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3,690,088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40,505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1,490,579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1,477,044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13,535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3,462,444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3,428,864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33,580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11,748,236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11,572,736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175,500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1,846,334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1,812,094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34,240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6,079,878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6,011,763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68,115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5,706,908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5,653,233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53,675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2,806,254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2,740,389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65,865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873,965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842,105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31,860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3"/>
    <w:bookmarkStart w:id="24" w:name="univariable-analysis"/>
    <w:p>
      <w:pPr>
        <w:pStyle w:val="Heading2"/>
      </w:pPr>
      <w:r>
        <w:t xml:space="preserve">Univariable Analysis: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16,701,259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Sepsis Without Adrenal Insufficiency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16,478,644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Sepsis With Adrenal Insufficiency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222,615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2,102,944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2,062,089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40,855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3,900,359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3,784,814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115,545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7,182,608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7,063,833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118,775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(4,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63,952 (33,586, 133,275)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63,573 (33,446, 132,184)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104,128 (49,947, 247,012)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4"/>
    <w:bookmarkStart w:id="28" w:name="multivariable-logistic-regression"/>
    <w:p>
      <w:pPr>
        <w:pStyle w:val="Heading2"/>
      </w:pPr>
      <w:r>
        <w:t xml:space="preserve">Multivariable Logistic Regression:</w:t>
      </w:r>
    </w:p>
    <w:bookmarkStart w:id="25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Without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10.6, 10.8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2.22, 2.31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septic-shock"/>
    <w:p>
      <w:pPr>
        <w:pStyle w:val="Heading3"/>
      </w:pPr>
      <w:r>
        <w:t xml:space="preserve">Septic 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Without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2.86, 3.01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7.89, 8.08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11.9, 12.5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Without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2.27, 2.31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End w:id="28"/>
    <w:bookmarkStart w:id="31" w:name="multivariable-linear-regression"/>
    <w:p>
      <w:pPr>
        <w:pStyle w:val="Heading2"/>
      </w:pPr>
      <w:r>
        <w:t xml:space="preserve">Multivariable Linear Regression:</w:t>
      </w:r>
    </w:p>
    <w:bookmarkStart w:id="29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Without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3.2, 3.6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-0.03, 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-0.04, 0.05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-0.09, 0.01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-1.3, 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-1.3, 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-0.81, -0.68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1.6, 1.8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-1.5, 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2.4, 2.6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7.3, 7.5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9"/>
    <w:bookmarkStart w:id="30" w:name="inflation-adjusted-total-charge"/>
    <w:p>
      <w:pPr>
        <w:pStyle w:val="Heading3"/>
      </w:pPr>
      <w:r>
        <w:t xml:space="preserve">Inflation-adjusted Total 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Without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Sepsis With Adrenal Insufficiency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59,785, 70,690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-803, -735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14,017, 15,218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20,868, 28,904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9,757, 13,253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29,978, 35,309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24,111, 31,768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1,884, 4,626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1,508, 5,035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10,225, 15,856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-8,662, -5,967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-9,487, -5,643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7,326, 11,039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35,531, 45,644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28,114, 33,521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53,104, 62,635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-28,392, -21,528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-38,280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-41,599, -34,961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29,243, 34,264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50,118, 54,862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11,466, 12,114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203,766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200,017, 207,514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17,894, 28,975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oi.org/10.1097/MCA.0000000000001479" TargetMode="External" /><Relationship Type="http://schemas.openxmlformats.org/officeDocument/2006/relationships/hyperlink" Id="rId20" Target="https://www.mdpi.com/2077-0383/13/19/57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97/MCA.0000000000001479" TargetMode="External" /><Relationship Type="http://schemas.openxmlformats.org/officeDocument/2006/relationships/hyperlink" Id="rId20" Target="https://www.mdpi.com/2077-0383/13/19/57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Inpatient Outcomes of Adrenal Insufficiency in Patients Hospitalized for Sepsis: A Retrospective Analysis of the Nationwide Inpatient Sample (NIS), 2017-2022</dc:title>
  <dc:creator>Dua Ali</dc:creator>
  <cp:keywords/>
  <dcterms:created xsi:type="dcterms:W3CDTF">2026-05-26T21:09:19Z</dcterms:created>
  <dcterms:modified xsi:type="dcterms:W3CDTF">2026-05-26T21:09:19Z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NIS IM-6</vt:lpwstr>
  </property>
  <property fmtid="{D5CDD505-2E9C-101B-9397-08002B2CF9AE}" pid="12" name="toc-title">
    <vt:lpwstr>Table of contents</vt:lpwstr>
  </property>
</Properties>
</file>