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Predictors, Causes, and Outcomes of 30-Day Readmissions Following Mechanical Thrombectomy in Patients With Chronic Kidney Disease</w:t>
      </w:r>
    </w:p>
    <w:p>
      <w:pPr>
        <w:pStyle w:val="Subtitle"/>
      </w:pPr>
      <w:r>
        <w:t xml:space="preserve">RCOP C1 - Nationwide Readmissions Database, 2016–2022</w:t>
      </w:r>
    </w:p>
    <w:p>
      <w:pPr>
        <w:pStyle w:val="Author"/>
      </w:pPr>
      <w:r>
        <w:t xml:space="preserve">Dua Ali</w:t>
      </w:r>
    </w:p>
    <w:bookmarkStart w:id="10" w:name="preamble"/>
    <w:p>
      <w:pPr>
        <w:pStyle w:val="Heading2"/>
      </w:pPr>
      <w:r>
        <w:t xml:space="preserve">Preamble</w:t>
      </w:r>
    </w:p>
    <w:p>
      <w:pPr>
        <w:numPr>
          <w:ilvl w:val="0"/>
          <w:numId w:val="1001"/>
        </w:numPr>
      </w:pPr>
      <w:r>
        <w:rPr>
          <w:b/>
          <w:bCs/>
        </w:rPr>
        <w:t xml:space="preserve">Reference Studies:</w:t>
      </w:r>
    </w:p>
    <w:p>
      <w:pPr>
        <w:pStyle w:val="Compact"/>
        <w:numPr>
          <w:ilvl w:val="1"/>
          <w:numId w:val="1002"/>
        </w:numPr>
      </w:pPr>
      <w:hyperlink r:id="rId9">
        <w:r>
          <w:rPr>
            <w:rStyle w:val="Hyperlink"/>
          </w:rPr>
          <w:t xml:space="preserve">Morita et al., 2019</w:t>
        </w:r>
      </w:hyperlink>
    </w:p>
    <w:p>
      <w:pPr>
        <w:numPr>
          <w:ilvl w:val="0"/>
          <w:numId w:val="1001"/>
        </w:numPr>
      </w:pPr>
      <w:r>
        <w:rPr>
          <w:b/>
          <w:bCs/>
        </w:rPr>
        <w:t xml:space="preserve">Objective:</w:t>
      </w:r>
      <w:r>
        <w:t xml:space="preserve"> </w:t>
      </w:r>
      <w:r>
        <w:t xml:space="preserve">Estimate the national incidence of, and independent</w:t>
      </w:r>
      <w:r>
        <w:t xml:space="preserve"> </w:t>
      </w:r>
      <w:r>
        <w:t xml:space="preserve">predictors of, 30-day unplanned readmission among adults</w:t>
      </w:r>
      <w:r>
        <w:t xml:space="preserve"> </w:t>
      </w:r>
      <w:r>
        <w:t xml:space="preserve">with chronic kidney disease (CKD, stages 1-5) who undergo mechanical</w:t>
      </w:r>
      <w:r>
        <w:t xml:space="preserve"> </w:t>
      </w:r>
      <w:r>
        <w:t xml:space="preserve">thrombectomy (EVT) for acute ischemic stroke, and characterize the most</w:t>
      </w:r>
      <w:r>
        <w:t xml:space="preserve"> </w:t>
      </w:r>
      <w:r>
        <w:t xml:space="preserve">common causes and outcomes of those readmissions.</w:t>
      </w:r>
    </w:p>
    <w:p>
      <w:pPr>
        <w:numPr>
          <w:ilvl w:val="0"/>
          <w:numId w:val="1001"/>
        </w:numPr>
      </w:pPr>
      <w:r>
        <w:rPr>
          <w:b/>
          <w:bCs/>
        </w:rPr>
        <w:t xml:space="preserve">Data source:</w:t>
      </w:r>
      <w:r>
        <w:t xml:space="preserve"> </w:t>
      </w:r>
      <w:r>
        <w:t xml:space="preserve">HCUP Nationwide Readmissions Database (NRD), 2016–2022 — a</w:t>
      </w:r>
      <w:r>
        <w:t xml:space="preserve"> </w:t>
      </w:r>
      <w:r>
        <w:t xml:space="preserve">nationally representative, all-payer database that links a patient’s</w:t>
      </w:r>
      <w:r>
        <w:t xml:space="preserve"> </w:t>
      </w:r>
      <w:r>
        <w:t xml:space="preserve">hospitalizations within a calendar year.</w:t>
      </w:r>
    </w:p>
    <w:p>
      <w:pPr>
        <w:numPr>
          <w:ilvl w:val="0"/>
          <w:numId w:val="1001"/>
        </w:numPr>
      </w:pPr>
      <w:r>
        <w:rPr>
          <w:b/>
          <w:bCs/>
        </w:rPr>
        <w:t xml:space="preserve">Cohort:</w:t>
      </w:r>
      <w:r>
        <w:t xml:space="preserve"> </w:t>
      </w:r>
      <w:r>
        <w:t xml:space="preserve">Every qualifying index event is a non-elective admission among</w:t>
      </w:r>
      <w:r>
        <w:t xml:space="preserve"> </w:t>
      </w:r>
      <w:r>
        <w:t xml:space="preserve">adults aged ≥ 18 with acute ischemic stroke in the principal or secondary</w:t>
      </w:r>
      <w:r>
        <w:t xml:space="preserve"> </w:t>
      </w:r>
      <w:r>
        <w:t xml:space="preserve">diagnosis position, a mechanical thrombectomy procedure performed on the</w:t>
      </w:r>
      <w:r>
        <w:t xml:space="preserve"> </w:t>
      </w:r>
      <w:r>
        <w:t xml:space="preserve">same stay, and chronic kidney disease (stages 1-5) present on the index</w:t>
      </w:r>
      <w:r>
        <w:t xml:space="preserve"> </w:t>
      </w:r>
      <w:r>
        <w:t xml:space="preserve">admission. Dialysis-dependent end-stage kidney disease (ESKD) is modeled as a predictor.</w:t>
      </w:r>
    </w:p>
    <w:p>
      <w:pPr>
        <w:numPr>
          <w:ilvl w:val="0"/>
          <w:numId w:val="1001"/>
        </w:numPr>
      </w:pPr>
      <w:r>
        <w:rPr>
          <w:b/>
          <w:bCs/>
        </w:rPr>
        <w:t xml:space="preserve">Primary outcome:</w:t>
      </w:r>
      <w:r>
        <w:t xml:space="preserve"> </w:t>
      </w:r>
      <w:r>
        <w:t xml:space="preserve">30-day all-cause unplanned (non-elective) readmission,</w:t>
      </w:r>
      <w:r>
        <w:t xml:space="preserve"> </w:t>
      </w:r>
      <w:r>
        <w:t xml:space="preserve">causes and costs for index admissions and 30-day readmissions.</w:t>
      </w:r>
    </w:p>
    <w:p>
      <w:pPr>
        <w:numPr>
          <w:ilvl w:val="0"/>
          <w:numId w:val="1001"/>
        </w:numPr>
      </w:pPr>
      <w:r>
        <w:rPr>
          <w:b/>
          <w:bCs/>
        </w:rPr>
        <w:t xml:space="preserve">Cost:</w:t>
      </w:r>
      <w:r>
        <w:t xml:space="preserve"> </w:t>
      </w:r>
      <w:r>
        <w:t xml:space="preserve">Hospital costs were estimated by applying HCUP hospital-specific cost-to-charge ratios to reported charges, then adjusting to 2022 dollars using the Consumer Price Index (medical care component). All reported dollar figures represent estimated hospital costs, not billed charges, and refer to the readmission encounter itself.</w:t>
      </w:r>
    </w:p>
    <w:bookmarkEnd w:id="10"/>
    <w:bookmarkStart w:id="11" w:name="methods"/>
    <w:p>
      <w:pPr>
        <w:pStyle w:val="Heading2"/>
      </w:pPr>
      <w:r>
        <w:t xml:space="preserve">Methods</w:t>
      </w:r>
    </w:p>
    <w:p>
      <w:pPr>
        <w:pStyle w:val="FirstParagraph"/>
      </w:pPr>
      <w:r>
        <w:t xml:space="preserve">All analyses accounted for the NRD complex survey design. Because NRD strata and</w:t>
      </w:r>
      <w:r>
        <w:t xml:space="preserve"> </w:t>
      </w:r>
      <w:r>
        <w:t xml:space="preserve">hospital identifiers reset each year, the design used year-qualified strata</w:t>
      </w:r>
      <w:r>
        <w:t xml:space="preserve"> </w:t>
      </w:r>
      <w:r>
        <w:t xml:space="preserve">(interaction of YEAR and NRD_STRATUM) and year-qualified primary sampling units</w:t>
      </w:r>
      <w:r>
        <w:t xml:space="preserve"> </w:t>
      </w:r>
      <w:r>
        <w:t xml:space="preserve">(interaction of YEAR and HOSP_NRD), with DISCWT weights and a nested design;</w:t>
      </w:r>
      <w:r>
        <w:t xml:space="preserve"> </w:t>
      </w:r>
      <w:r>
        <w:rPr>
          <w:rStyle w:val="VerbatimChar"/>
        </w:rPr>
        <w:t xml:space="preserve">survey.lonely.psu = "adjust"</w:t>
      </w:r>
      <w:r>
        <w:t xml:space="preserve"> </w:t>
      </w:r>
      <w:r>
        <w:t xml:space="preserve">was set before the design was built.</w:t>
      </w:r>
    </w:p>
    <w:p>
      <w:pPr>
        <w:pStyle w:val="BodyText"/>
      </w:pPr>
      <w:r>
        <w:t xml:space="preserve">Baseline characteristics were summarized by 30-day readmission status as</w:t>
      </w:r>
      <w:r>
        <w:t xml:space="preserve"> </w:t>
      </w:r>
      <w:r>
        <w:t xml:space="preserve">median (IQR) for continuous variables and n (weighted %) for categorical</w:t>
      </w:r>
      <w:r>
        <w:t xml:space="preserve"> </w:t>
      </w:r>
      <w:r>
        <w:t xml:space="preserve">variables, with design-based Rao-Scott chi-square (categorical) or survey</w:t>
      </w:r>
      <w:r>
        <w:t xml:space="preserve"> </w:t>
      </w:r>
      <w:r>
        <w:t xml:space="preserve">t-test (continuous) comparisons. Predictors of 30-day readmission were</w:t>
      </w:r>
      <w:r>
        <w:t xml:space="preserve"> </w:t>
      </w:r>
      <w:r>
        <w:t xml:space="preserve">estimated with a survey-weighted logistic (quasibinomial) model including demographic and</w:t>
      </w:r>
      <w:r>
        <w:t xml:space="preserve"> </w:t>
      </w:r>
      <w:r>
        <w:t xml:space="preserve">hospital covariates, discharge year as a fixed effect, index-admission</w:t>
      </w:r>
      <w:r>
        <w:t xml:space="preserve"> </w:t>
      </w:r>
      <w:r>
        <w:t xml:space="preserve">clinical covariates (IV thrombolysis, intracranial hemorrhage/hemorrhagic</w:t>
      </w:r>
      <w:r>
        <w:t xml:space="preserve"> </w:t>
      </w:r>
      <w:r>
        <w:t xml:space="preserve">transformation), and a pre-specified comorbidity panel, with</w:t>
      </w:r>
      <w:r>
        <w:t xml:space="preserve"> </w:t>
      </w:r>
      <w:r>
        <w:t xml:space="preserve">no stepwise selection; adjusted odds ratios with 95% confidence intervals</w:t>
      </w:r>
      <w:r>
        <w:t xml:space="preserve"> </w:t>
      </w:r>
      <w:r>
        <w:t xml:space="preserve">are reported. Readmission diagnoses were ranked by weighted frequency using</w:t>
      </w:r>
      <w:r>
        <w:t xml:space="preserve"> </w:t>
      </w:r>
      <w:r>
        <w:t xml:space="preserve">raw (leaf-level) ICD-10-CM principal diagnosis codes; diagnoses appearing in</w:t>
      </w:r>
      <w:r>
        <w:t xml:space="preserve"> </w:t>
      </w:r>
      <w:r>
        <w:t xml:space="preserve">fewer than 11 unweighted discharges are suppressed per HCUP small-cell</w:t>
      </w:r>
      <w:r>
        <w:t xml:space="preserve"> </w:t>
      </w:r>
      <w:r>
        <w:t xml:space="preserve">rules. Index-admission outcomes (non-home discharge, length of stay,</w:t>
      </w:r>
      <w:r>
        <w:t xml:space="preserve"> </w:t>
      </w:r>
      <w:r>
        <w:t xml:space="preserve">inflation-adjusted cost) were compared between patients with and without a</w:t>
      </w:r>
      <w:r>
        <w:t xml:space="preserve"> </w:t>
      </w:r>
      <w:r>
        <w:t xml:space="preserve">30-day readmission using design-based Rao-Scott chi-square (categorical) or</w:t>
      </w:r>
      <w:r>
        <w:t xml:space="preserve"> </w:t>
      </w:r>
      <w:r>
        <w:t xml:space="preserve">Wilcoxon rank-sum (continuous, via svyranktest); in-hospital mortality at</w:t>
      </w:r>
      <w:r>
        <w:t xml:space="preserve"> </w:t>
      </w:r>
      <w:r>
        <w:t xml:space="preserve">index admission is not reported, as survival to discharge is a cohort</w:t>
      </w:r>
      <w:r>
        <w:t xml:space="preserve"> </w:t>
      </w:r>
      <w:r>
        <w:t xml:space="preserve">inclusion criterion. Analyses used R with the survey, srvyr,</w:t>
      </w:r>
      <w:r>
        <w:t xml:space="preserve"> </w:t>
      </w:r>
      <w:r>
        <w:t xml:space="preserve">and gtsummary packages.</w:t>
      </w:r>
    </w:p>
    <w:bookmarkEnd w:id="11"/>
    <w:bookmarkStart w:id="12" w:name="Xf2fbb633f2117a0ab0018891778271db55e316e"/>
    <w:p>
      <w:pPr>
        <w:pStyle w:val="Heading2"/>
      </w:pPr>
      <w:r>
        <w:t xml:space="preserve">Table 1 — Baseline Characteristics by 30-Day Readmission Status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xmlns:w="http://schemas.openxmlformats.org/wordprocessingml/2006/main">
              <w:rPr>
                <w:rFonts w:ascii="Calibri" w:hAnsi="Calibri"/>
                <w:sz w:val="20"/>
              </w:rPr>
              <w:t xml:space="preserve"> </w:t>
            </w:r>
            <w:r>
              <w:rPr>
                <w:rFonts w:ascii="Calibri" w:hAnsi="Calibri"/>
                <w:sz w:val="20"/>
              </w:rPr>
              <w:t xml:space="preserve">Weighted N = 24,950; Unweighted n = 13701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Not Readmitted</w:t>
            </w:r>
            <w:r xmlns:w="http://schemas.openxmlformats.org/wordprocessingml/2006/main">
              <w:rPr>
                <w:rFonts w:ascii="Calibri" w:hAnsi="Calibri"/>
                <w:sz w:val="20"/>
              </w:rPr>
              <w:t xml:space="preserve"> </w:t>
            </w:r>
            <w:r>
              <w:rPr>
                <w:rFonts w:ascii="Calibri" w:hAnsi="Calibri"/>
                <w:sz w:val="20"/>
              </w:rPr>
              <w:t xml:space="preserve">Weighted N = 21,059; Unweighted n = 11529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Readmitted</w:t>
            </w:r>
            <w:r xmlns:w="http://schemas.openxmlformats.org/wordprocessingml/2006/main">
              <w:rPr>
                <w:rFonts w:ascii="Calibri" w:hAnsi="Calibri"/>
                <w:sz w:val="20"/>
              </w:rPr>
              <w:t xml:space="preserve"> </w:t>
            </w:r>
            <w:r>
              <w:rPr>
                <w:rFonts w:ascii="Calibri" w:hAnsi="Calibri"/>
                <w:sz w:val="20"/>
              </w:rPr>
              <w:t xml:space="preserve">Weighted N = 3,892; Unweighted n = 2172</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(67,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(67, 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76 (66,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12,455 (49.9%)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10,498 (49.9%)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1,957 (50.3%)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12,495 (50.1%)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10,561 (50.1%)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1,935 (49.7%)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2,637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2,276 (10.8%)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361 (9.3%)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1,747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1,465 (7.0%)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 (7.3%)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19,677 (78.9%)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16,555 (78.7%)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3,122 (80.4%)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 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536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457 (2.2%)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79 (2.0%)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329 (1.3%)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288 (1.4%)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 (1.1%)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0-25th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6,748 (27.0%)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5,546 (26.3%)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1,202 (30.9%)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26th to 50th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6,864 (27.5%)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5,830 (27.7%)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1,033 (26.6%)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51st to 75th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6,272 (25.1%)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5,408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864 (22.2%)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76th to 100th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4,851 (19.4%)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4,098 (19.5%)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753 (19.3%)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216 (0.9%)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176 (0.8%)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39 (1.0%)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Admission Day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Weekday (Mon-Fri)</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18,481 (74.1%)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15,640 (74.3%)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2,841 (73.0%)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Weekend (Sat-Sun)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6,470 (25.9%)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5,419 (25.7%)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1,051 (27.0%)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Discharge Year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1,597 (6.4%)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1,285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312 (8.0%)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2,055 (8.2%)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1,696 (8.1%)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359 (9.2%)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2,895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2,443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452 (11.6%)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3,770 (15.1%)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3,169 (15.0%)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601 (15.4%)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4,424 (17.7%)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3,701 (17.6%)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723 (18.6%)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4,860 (19.5%)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4,153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707 (18.2%)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2022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5,349 (21.4%)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4,612 (21.9%)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738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1,512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1,276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236 (6.1%)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18,594 (74.5%)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15,680 (74.5%)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2,915 (74.9%)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4,844 (19.4%)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4,103 (19.5%)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741 (19.0%)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1,950 (7.8%)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1,627 (7.7%)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322 (8.3%)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22,858 (91.6%)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19,307 (91.7%)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3,552 (91.3%)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Non-metropolitan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143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125 (0.6%)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 (0.5%)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 Thrombolysis During Index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5,030 (20.2%)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4,227 (20.1%)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803 (20.6%)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Intracranial Hemorrhage / Hemorrhagic Transformation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5,317 (21.3%)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4,442 (21.1%)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875 (22.5%)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Dialysis-Dependent End-Stage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1,102 (4.4%)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808 (3.8%)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294 (7.6%)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Coronary Artery Disease / Prior Myocardial Infarction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10,946 (43.9%)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9,113 (43.3%)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1,833 (47.1%)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12,107 (48.5%)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9,999 (47.5%)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2,108 (54.2%)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Atrial Fibrillation / Flutter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14,143 (56.7%)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11,895 (56.5%)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2,249 (57.8%)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23,720 (95.1%)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20,029 (95.1%)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3,691 (94.8%)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11,366 (45.6%)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9,398 (44.6%)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1,968 (50.6%)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Hyperlipidemia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16,757 (67.2%)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14,225 (67.5%)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2,533 (65.1%)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Peripheral Vascular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4,177 (16.7%)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3,478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699 (17.9%)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Valvular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4,363 (17.5%)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3,634 (17.3%)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729 (18.7%)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Prior Stroke / 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8,101 (32.5%)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6,860 (32.6%)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1,242 (31.9%)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Carotid Artery Stenosis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3,814 (15.3%)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3,298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516 (13.3%)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Pulmonary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5,122 (20.5%)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4,176 (19.8%)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946 (24.3%)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Coagulopathy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3,099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2,557 (12.1%)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542 (13.9%)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Anemia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8,079 (32.4%)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6,617 (31.4%)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1,461 (37.6%)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Chronic Liver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810 (3.2%)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647 (3.1%)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163 (4.2%)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Dementia</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2,273 (9.1%)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1,901 (9.0%)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372 (9.6%)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Depression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3,042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2,603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440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Smoking / Tobacco Use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2,825 (11.3%)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2,358 (11.2%)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467 (12.0%)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Alcohol Use Disorder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831 (3.3%)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733 (3.5%)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97 (2.5%)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0.033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Obesity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4,912 (19.7%)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4,212 (20.0%)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699 (18.0%)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0.042</w: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Weighted N = nationally representative estimate (DISCWT survey weights). Unweighted n = actual NRD sample size. Categorical: n (weighted %); continuous: median (IQR). P-values: design-based Rao-Scott chi-square (categorical) or survey t-test (continuous). – denotes suppressed cells (unweighted n &lt; 11) per HCUP guidelines.</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Design-based t-test; Pearson's X^2: Rao &amp; Scott adjustment</w:t>
            </w:r>
          </w:p>
        </w:tc>
      </w:tr>
    </w:tbl>
    <w:bookmarkEnd w:id="12"/>
    <w:bookmarkStart w:id="13" w:name="Xa24547e294b63a570b6fc7a59c5f5ba3a8b11ea"/>
    <w:p>
      <w:pPr>
        <w:pStyle w:val="Heading2"/>
      </w:pPr>
      <w:r>
        <w:t xml:space="preserve">Table 2 — Cause of Readmission (Top Principal Diagnoses)</w:t>
      </w:r>
    </w:p>
    <w:p>
      <w:pPr>
        <w:pStyle w:val="TableCaption"/>
      </w:pPr>
      <w:r>
        <w:rPr>
          <w:b/>
          <w:bCs/>
        </w:rPr>
        <w:t xml:space="preserve">Table 2. Top Principal Diagnoses at 30-Day Readmission</w:t>
      </w:r>
      <w:r>
        <w:t xml:space="preserve">, weighted % of all 30-day readmissions.</w:t>
      </w:r>
    </w:p>
    <w:tbl>
      <w:tblPr>
        <w:tblStyle w:val="Table"/>
        <w:tblW w:type="pct" w:w="5000"/>
        <w:tblLayout w:type="fixed"/>
        <w:tblLook w:firstRow="1" w:lastRow="0" w:firstColumn="0" w:lastColumn="0" w:noHBand="0" w:noVBand="0" w:val="0020"/>
        <w:tblCaption w:val="Table 2. Top Principal Diagnoses at 30-Day Readmission, weighted % of all 30-day readmissions."/>
      </w:tblPr>
      <w:tblGrid>
        <w:gridCol w:w="1280"/>
        <w:gridCol w:w="6200"/>
        <w:gridCol w:w="440"/>
      </w:tblGrid>
      <w:tr>
        <w:trPr>
          <w:tblHeader w:val="on"/>
        </w:trPr>
        <w:tc>
          <w:tcPr/>
          <w:p>
            <w:pPr>
              <w:pStyle w:val="Compact"/>
              <w:jc w:val="left"/>
            </w:pPr>
            <w:r>
              <w:t xml:space="preserve">Principal Diagnosis (ICD-10-CM)</w:t>
            </w:r>
          </w:p>
        </w:tc>
        <w:tc>
          <w:tcPr/>
          <w:p>
            <w:pPr>
              <w:pStyle w:val="Compact"/>
              <w:jc w:val="left"/>
            </w:pPr>
            <w:r>
              <w:t xml:space="preserve">Diagnosis Name</w:t>
            </w:r>
          </w:p>
        </w:tc>
        <w:tc>
          <w:tcPr/>
          <w:p>
            <w:pPr>
              <w:pStyle w:val="Compact"/>
              <w:jc w:val="left"/>
            </w:pPr>
            <w:r>
              <w:t xml:space="preserve">Weighted %</w:t>
            </w:r>
          </w:p>
        </w:tc>
      </w:tr>
      <w:tr>
        <w:tc>
          <w:tcPr/>
          <w:p>
            <w:pPr>
              <w:pStyle w:val="Compact"/>
              <w:jc w:val="left"/>
            </w:pPr>
            <w:r>
              <w:t xml:space="preserve">A419</w:t>
            </w:r>
          </w:p>
        </w:tc>
        <w:tc>
          <w:tcPr/>
          <w:p>
            <w:pPr>
              <w:pStyle w:val="Compact"/>
              <w:jc w:val="left"/>
            </w:pPr>
            <w:r>
              <w:t xml:space="preserve">Sepsis, unspecified organism</w:t>
            </w:r>
          </w:p>
        </w:tc>
        <w:tc>
          <w:tcPr/>
          <w:p>
            <w:pPr>
              <w:pStyle w:val="Compact"/>
              <w:jc w:val="left"/>
            </w:pPr>
            <w:r>
              <w:t xml:space="preserve">12.5%</w:t>
            </w:r>
          </w:p>
        </w:tc>
      </w:tr>
      <w:tr>
        <w:tc>
          <w:tcPr/>
          <w:p>
            <w:pPr>
              <w:pStyle w:val="Compact"/>
              <w:jc w:val="left"/>
            </w:pPr>
            <w:r>
              <w:t xml:space="preserve">I130</w:t>
            </w:r>
          </w:p>
        </w:tc>
        <w:tc>
          <w:tcPr/>
          <w:p>
            <w:pPr>
              <w:pStyle w:val="Compact"/>
              <w:jc w:val="left"/>
            </w:pPr>
            <w:r>
              <w:t xml:space="preserve">Hypertensive heart and chronic kidney disease with heart failure and stage 1 through stage 4 chronic kidney disease, or unspecified chronic kidney disease</w:t>
            </w:r>
          </w:p>
        </w:tc>
        <w:tc>
          <w:tcPr/>
          <w:p>
            <w:pPr>
              <w:pStyle w:val="Compact"/>
              <w:jc w:val="left"/>
            </w:pPr>
            <w:r>
              <w:t xml:space="preserve">5.6%</w:t>
            </w:r>
          </w:p>
        </w:tc>
      </w:tr>
      <w:tr>
        <w:tc>
          <w:tcPr/>
          <w:p>
            <w:pPr>
              <w:pStyle w:val="Compact"/>
              <w:jc w:val="left"/>
            </w:pPr>
            <w:r>
              <w:t xml:space="preserve">N179</w:t>
            </w:r>
          </w:p>
        </w:tc>
        <w:tc>
          <w:tcPr/>
          <w:p>
            <w:pPr>
              <w:pStyle w:val="Compact"/>
              <w:jc w:val="left"/>
            </w:pPr>
            <w:r>
              <w:t xml:space="preserve">Acute kidney failure, unspecified</w:t>
            </w:r>
          </w:p>
        </w:tc>
        <w:tc>
          <w:tcPr/>
          <w:p>
            <w:pPr>
              <w:pStyle w:val="Compact"/>
              <w:jc w:val="left"/>
            </w:pPr>
            <w:r>
              <w:t xml:space="preserve">3.9%</w:t>
            </w:r>
          </w:p>
        </w:tc>
      </w:tr>
      <w:tr>
        <w:tc>
          <w:tcPr/>
          <w:p>
            <w:pPr>
              <w:pStyle w:val="Compact"/>
              <w:jc w:val="left"/>
            </w:pPr>
            <w:r>
              <w:t xml:space="preserve">J690</w:t>
            </w:r>
          </w:p>
        </w:tc>
        <w:tc>
          <w:tcPr/>
          <w:p>
            <w:pPr>
              <w:pStyle w:val="Compact"/>
              <w:jc w:val="left"/>
            </w:pPr>
            <w:r>
              <w:t xml:space="preserve">Pneumonitis due to inhalation of food and vomit</w:t>
            </w:r>
          </w:p>
        </w:tc>
        <w:tc>
          <w:tcPr/>
          <w:p>
            <w:pPr>
              <w:pStyle w:val="Compact"/>
              <w:jc w:val="left"/>
            </w:pPr>
            <w:r>
              <w:t xml:space="preserve">2.7%</w:t>
            </w:r>
          </w:p>
        </w:tc>
      </w:tr>
      <w:tr>
        <w:tc>
          <w:tcPr/>
          <w:p>
            <w:pPr>
              <w:pStyle w:val="Compact"/>
              <w:jc w:val="left"/>
            </w:pPr>
            <w:r>
              <w:t xml:space="preserve">I639</w:t>
            </w:r>
          </w:p>
        </w:tc>
        <w:tc>
          <w:tcPr/>
          <w:p>
            <w:pPr>
              <w:pStyle w:val="Compact"/>
              <w:jc w:val="left"/>
            </w:pPr>
            <w:r>
              <w:t xml:space="preserve">Cerebral infarction, unspecified</w:t>
            </w:r>
          </w:p>
        </w:tc>
        <w:tc>
          <w:tcPr/>
          <w:p>
            <w:pPr>
              <w:pStyle w:val="Compact"/>
              <w:jc w:val="left"/>
            </w:pPr>
            <w:r>
              <w:t xml:space="preserve">1.8%</w:t>
            </w:r>
          </w:p>
        </w:tc>
      </w:tr>
      <w:tr>
        <w:tc>
          <w:tcPr/>
          <w:p>
            <w:pPr>
              <w:pStyle w:val="Compact"/>
              <w:jc w:val="left"/>
            </w:pPr>
            <w:r>
              <w:t xml:space="preserve">N390</w:t>
            </w:r>
          </w:p>
        </w:tc>
        <w:tc>
          <w:tcPr/>
          <w:p>
            <w:pPr>
              <w:pStyle w:val="Compact"/>
              <w:jc w:val="left"/>
            </w:pPr>
            <w:r>
              <w:t xml:space="preserve">Urinary tract infection, site not specified</w:t>
            </w:r>
          </w:p>
        </w:tc>
        <w:tc>
          <w:tcPr/>
          <w:p>
            <w:pPr>
              <w:pStyle w:val="Compact"/>
              <w:jc w:val="left"/>
            </w:pPr>
            <w:r>
              <w:t xml:space="preserve">1.5%</w:t>
            </w:r>
          </w:p>
        </w:tc>
      </w:tr>
      <w:tr>
        <w:tc>
          <w:tcPr/>
          <w:p>
            <w:pPr>
              <w:pStyle w:val="Compact"/>
              <w:jc w:val="left"/>
            </w:pPr>
            <w:r>
              <w:t xml:space="preserve">J189</w:t>
            </w:r>
          </w:p>
        </w:tc>
        <w:tc>
          <w:tcPr/>
          <w:p>
            <w:pPr>
              <w:pStyle w:val="Compact"/>
              <w:jc w:val="left"/>
            </w:pPr>
            <w:r>
              <w:t xml:space="preserve">Pneumonia, unspecified organism</w:t>
            </w:r>
          </w:p>
        </w:tc>
        <w:tc>
          <w:tcPr/>
          <w:p>
            <w:pPr>
              <w:pStyle w:val="Compact"/>
              <w:jc w:val="left"/>
            </w:pPr>
            <w:r>
              <w:t xml:space="preserve">1.4%</w:t>
            </w:r>
          </w:p>
        </w:tc>
      </w:tr>
      <w:tr>
        <w:tc>
          <w:tcPr/>
          <w:p>
            <w:pPr>
              <w:pStyle w:val="Compact"/>
              <w:jc w:val="left"/>
            </w:pPr>
            <w:r>
              <w:t xml:space="preserve">I63512</w:t>
            </w:r>
          </w:p>
        </w:tc>
        <w:tc>
          <w:tcPr/>
          <w:p>
            <w:pPr>
              <w:pStyle w:val="Compact"/>
              <w:jc w:val="left"/>
            </w:pPr>
            <w:r>
              <w:t xml:space="preserve">Cerebral infarction due to unspecified occlusion or stenosis of left middle cerebral artery</w:t>
            </w:r>
          </w:p>
        </w:tc>
        <w:tc>
          <w:tcPr/>
          <w:p>
            <w:pPr>
              <w:pStyle w:val="Compact"/>
              <w:jc w:val="left"/>
            </w:pPr>
            <w:r>
              <w:t xml:space="preserve">1.4%</w:t>
            </w:r>
          </w:p>
        </w:tc>
      </w:tr>
      <w:tr>
        <w:tc>
          <w:tcPr/>
          <w:p>
            <w:pPr>
              <w:pStyle w:val="Compact"/>
              <w:jc w:val="left"/>
            </w:pPr>
            <w:r>
              <w:t xml:space="preserve">I132</w:t>
            </w:r>
          </w:p>
        </w:tc>
        <w:tc>
          <w:tcPr/>
          <w:p>
            <w:pPr>
              <w:pStyle w:val="Compact"/>
              <w:jc w:val="left"/>
            </w:pPr>
            <w:r>
              <w:t xml:space="preserve">Hypertensive heart and chronic kidney disease with heart failure and with stage 5 chronic kidney disease, or end stage renal disease</w:t>
            </w:r>
          </w:p>
        </w:tc>
        <w:tc>
          <w:tcPr/>
          <w:p>
            <w:pPr>
              <w:pStyle w:val="Compact"/>
              <w:jc w:val="left"/>
            </w:pPr>
            <w:r>
              <w:t xml:space="preserve">1.2%</w:t>
            </w:r>
          </w:p>
        </w:tc>
      </w:tr>
      <w:tr>
        <w:tc>
          <w:tcPr/>
          <w:p>
            <w:pPr>
              <w:pStyle w:val="Compact"/>
              <w:jc w:val="left"/>
            </w:pPr>
            <w:r>
              <w:t xml:space="preserve">I110</w:t>
            </w:r>
          </w:p>
        </w:tc>
        <w:tc>
          <w:tcPr/>
          <w:p>
            <w:pPr>
              <w:pStyle w:val="Compact"/>
              <w:jc w:val="left"/>
            </w:pPr>
            <w:r>
              <w:t xml:space="preserve">Hypertensive heart disease with heart failure</w:t>
            </w:r>
          </w:p>
        </w:tc>
        <w:tc>
          <w:tcPr/>
          <w:p>
            <w:pPr>
              <w:pStyle w:val="Compact"/>
              <w:jc w:val="left"/>
            </w:pPr>
            <w:r>
              <w:t xml:space="preserve">1.2%</w:t>
            </w:r>
          </w:p>
        </w:tc>
      </w:tr>
    </w:tbl>
    <w:bookmarkEnd w:id="13"/>
    <w:bookmarkStart w:id="14" w:name="Xdfa4110665f6466bcaa278790a962b4390765bb"/>
    <w:p>
      <w:pPr>
        <w:pStyle w:val="Heading2"/>
      </w:pPr>
      <w:r>
        <w:t xml:space="preserve">Table 3 — Adjusted Predictors of 30-Day Readmission</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OR</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95% CI</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Age (years)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0.99, 1.00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Sex</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Female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0.90, 1.10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Primary Expected Payer</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Private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Medicaid</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0.86, 1.44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Medicare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1.09, 1.57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0.004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Other/no charge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0.78, 1.72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Self-pay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0.54, 1.48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Median Household Income Quartile (ZIP)</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0-25th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26th to 50th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0.73, 0.97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51st to 75th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0.66, 0.89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76th to 100th percentile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Missing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0.64, 1.65</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&gt;0.9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Bed Size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Small</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Large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0.77, 1.24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Medium</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0.73, 1.23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Hospital Location / Teaching Status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non-teaching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Metropolitan, teaching</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0.79, 1.06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Non-metropolitan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0.27, 1.93</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IV Thrombolysis During Index Stay</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0.91, 1.17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Intracranial Hemorrhage / Hemorrhagic Transformation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0.96, 1.24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Dialysis-Dependent End-Stage Kidney Disease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1.51, 2.30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Diabetes Mellitus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1.09, 1.34</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Hypertension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0.86</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0.69, 1.07</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Congestive Heart Failure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Yes</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1.28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1.16, 1.42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gridSpan w:val="4"/>
          </w:tcPr>
          <w:p>
            <w:pPr>
              <w:spacing w:before="0" w:after="60"/>
              <w:keepNext/>
            </w:pPr>
            <w:r>
              <w:rPr>
                <w:vertAlign w:val="superscript"/>
                <w:i/>
                <w:rFonts w:ascii="Calibri" w:hAnsi="Calibri"/>
                <w:sz w:val="20"/>
              </w:rPr>
              <w:t xml:space="default">1</w:t>
            </w:r>
            <w:r>
              <w:rPr>
                <w:rFonts w:ascii="Calibri" w:hAnsi="Calibri"/>
                <w:sz w:val="20"/>
              </w:rPr>
              <w:t xml:space="preserve">Odds ratios adjusted for all listed covariates. Survey-weighted (NRD complex design). Comorbidity adjustment limited to dialysis-dependent ESKD, diabetes, hypertension, and CHF (primary comorbidities for this cohort).</w:t>
            </w:r>
          </w:p>
        </w:tc>
      </w:tr>
      <w:tr>
        <w:trPr>
          <w:cantSplit/>
        </w:trPr>
        <w:tc>
          <w:tcPr>
            <w:gridSpan w:val="4"/>
          </w:tcPr>
          <w:p>
            <w:pPr>
              <w:spacing w:before="0" w:after="60"/>
              <w:keepNext/>
            </w:pPr>
            <w:r>
              <w:rPr>
                <w:rFonts w:ascii="Calibri" w:hAnsi="Calibri"/>
                <w:sz w:val="20"/>
              </w:rPr>
              <w:t xml:space="preserve">Abbreviations: CI = Confidence Interval, OR = Odds Ratio</w:t>
            </w:r>
          </w:p>
        </w:tc>
      </w:tr>
    </w:tbl>
    <w:bookmarkEnd w:id="14"/>
    <w:bookmarkStart w:id="15" w:name="X9ec7c3f9fdf466a74988e134c1a6ffe117526bf"/>
    <w:p>
      <w:pPr>
        <w:pStyle w:val="Heading2"/>
      </w:pPr>
      <w:r>
        <w:t xml:space="preserve">Table 4 — Index-Admission Outcomes by 30-Day Readmission Status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b w:val="true"/>
                <w:rFonts w:ascii="Calibri" w:hAnsi="Calibri"/>
                <w:sz w:val="20"/>
              </w:rPr>
              <w:t xml:space="preserve">Characteristic</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Overall</w:t>
            </w:r>
            <w:r xmlns:w="http://schemas.openxmlformats.org/wordprocessingml/2006/main">
              <w:rPr>
                <w:rFonts w:ascii="Calibri" w:hAnsi="Calibri"/>
                <w:sz w:val="20"/>
              </w:rPr>
              <w:t xml:space="preserve"> </w:t>
            </w:r>
            <w:r>
              <w:rPr>
                <w:rFonts w:ascii="Calibri" w:hAnsi="Calibri"/>
                <w:sz w:val="20"/>
              </w:rPr>
              <w:t xml:space="preserve">Weighted N = 24,950; Unweighted n = 13701</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Not Readmitted</w:t>
            </w:r>
            <w:r xmlns:w="http://schemas.openxmlformats.org/wordprocessingml/2006/main">
              <w:rPr>
                <w:rFonts w:ascii="Calibri" w:hAnsi="Calibri"/>
                <w:sz w:val="20"/>
              </w:rPr>
              <w:t xml:space="preserve"> </w:t>
            </w:r>
            <w:r>
              <w:rPr>
                <w:rFonts w:ascii="Calibri" w:hAnsi="Calibri"/>
                <w:sz w:val="20"/>
              </w:rPr>
              <w:t xml:space="preserve">Weighted N = 21,059; Unweighted n = 11529</w:t>
            </w:r>
            <w:r>
              <w:rPr>
                <w:vertAlign w:val="superscript"/>
                <w:i/>
                <w:rFonts w:ascii="Calibri" w:hAnsi="Calibri"/>
                <w:sz w:val="20"/>
              </w:rPr>
              <w:t xml:space="default">1</w:t>
            </w:r>
          </w:p>
        </w:tc>
        <w:tc>
          <w:tcPr>
            <w:tcBorders>
              <w:top w:val="single" w:sz="16" w:space="0" w:color="D3D3D3"/>
              <w:bottom w:val="single" w:sz="16" w:space="0" w:color="D3D3D3"/>
            </w:tcBorders>
          </w:tcPr>
          <w:p>
            <w:pPr>
              <w:spacing w:before="0" w:after="60"/>
              <w:keepNext/>
              <w:jc w:val="center"/>
            </w:pPr>
            <w:r>
              <w:rPr>
                <w:b w:val="true"/>
                <w:rFonts w:ascii="Calibri" w:hAnsi="Calibri"/>
                <w:sz w:val="20"/>
              </w:rPr>
              <w:t xml:space="preserve">Readmitted</w:t>
            </w:r>
            <w:r xmlns:w="http://schemas.openxmlformats.org/wordprocessingml/2006/main">
              <w:rPr>
                <w:rFonts w:ascii="Calibri" w:hAnsi="Calibri"/>
                <w:sz w:val="20"/>
              </w:rPr>
              <w:t xml:space="preserve"> </w:t>
            </w:r>
            <w:r>
              <w:rPr>
                <w:rFonts w:ascii="Calibri" w:hAnsi="Calibri"/>
                <w:sz w:val="20"/>
              </w:rPr>
              <w:t xml:space="preserve">Weighted N = 3,892; Unweighted n = 2172</w:t>
            </w:r>
            <w:r>
              <w:rPr>
                <w:vertAlign w:val="superscript"/>
                <w:i/>
                <w:rFonts w:ascii="Calibri" w:hAnsi="Calibri"/>
                <w:sz w:val="20"/>
              </w:rPr>
              <w:t xml:space="default">1</w:t>
            </w:r>
          </w:p>
        </w:tc>
        <w:tc>
          <w:tcPr>
            <w:tcBorders>
              <w:top w:val="single" w:sz="16" w:space="0" w:color="D3D3D3"/>
              <w:bottom w:val="single" w:sz="16" w:space="0" w:color="D3D3D3"/>
              <w:end w:val="single" w:space="0" w:color="D3D3D3"/>
            </w:tcBorders>
          </w:tcPr>
          <w:p>
            <w:pPr>
              <w:spacing w:before="0" w:after="60"/>
              <w:keepNext/>
              <w:jc w:val="center"/>
            </w:pPr>
            <w:r>
              <w:rPr>
                <w:b w:val="true"/>
                <w:rFonts w:ascii="Calibri" w:hAnsi="Calibri"/>
                <w:sz w:val="20"/>
              </w:rPr>
              <w:t xml:space="preserve">p-value</w:t>
            </w:r>
            <w:r>
              <w:rPr>
                <w:vertAlign w:val="superscript"/>
                <w:i/>
                <w:rFonts w:ascii="Calibri" w:hAnsi="Calibri"/>
                <w:sz w:val="20"/>
              </w:rPr>
              <w:t xml:space="default">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Non-Home Discharge at Index Admission</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10,866 (95.0%)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9,512 (96.1%)</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1,354 (87.8%)</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Non-home</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576 (5.0%)</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387 (3.9%)</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188 (12.2%)</w:t>
            </w:r>
          </w:p>
        </w:tc>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
            </w:r>
          </w:p>
        </w:tc>
      </w:tr>
      <w:tr>
        <w:trPr>
          <w:cantSplit/>
        </w:trPr>
        <w:tc>
          <w:tcPr>
            <w:gridSpan w:val="5"/>
          </w:tcPr>
          <w:p>
            <w:pPr>
              <w:spacing w:before="0" w:after="60"/>
              <w:keepNext/>
            </w:pPr>
            <w:r>
              <w:rPr>
                <w:vertAlign w:val="superscript"/>
                <w:i/>
                <w:rFonts w:ascii="Calibri" w:hAnsi="Calibri"/>
                <w:sz w:val="20"/>
              </w:rPr>
              <w:t xml:space="default">1</w:t>
            </w:r>
            <w:r>
              <w:rPr>
                <w:rFonts w:ascii="Calibri" w:hAnsi="Calibri"/>
                <w:sz w:val="20"/>
              </w:rPr>
              <w:t xml:space="preserve">Weighted N = nationally representative estimate (DISCWT survey weights). Unweighted n = actual NRD sample size. n (weighted %); p-value: design-based Rao-Scott chi-square.</w:t>
            </w:r>
          </w:p>
        </w:tc>
      </w:tr>
      <w:tr>
        <w:trPr>
          <w:cantSplit/>
        </w:trPr>
        <w:tc>
          <w:tcPr>
            <w:gridSpan w:val="5"/>
          </w:tcPr>
          <w:p>
            <w:pPr>
              <w:spacing w:before="0" w:after="60"/>
              <w:keepNext/>
            </w:pPr>
            <w:r>
              <w:rPr>
                <w:vertAlign w:val="superscript"/>
                <w:i/>
                <w:rFonts w:ascii="Calibri" w:hAnsi="Calibri"/>
                <w:sz w:val="20"/>
              </w:rPr>
              <w:t xml:space="default">2</w:t>
            </w:r>
            <w:r>
              <w:rPr>
                <w:rFonts w:ascii="Calibri" w:hAnsi="Calibri"/>
                <w:sz w:val="20"/>
              </w:rPr>
              <w:t xml:space="preserve">Pearson's X^2: Rao &amp; Scott adjustment</w:t>
            </w:r>
          </w:p>
        </w:tc>
      </w:tr>
    </w:tbl>
    <w:p>
      <w:pPr>
        <w:pStyle w:val="TableCaption"/>
      </w:pPr>
      <w:r>
        <w:rPr>
          <w:b/>
          <w:bCs/>
        </w:rPr>
        <w:t xml:space="preserve">Table 4b. Index Length of Stay and Inflation-Adjusted Cost by 30-Day Readmission Status</w:t>
      </w:r>
      <w:r>
        <w:t xml:space="preserve">, weighted median (IQR); p-value from a design-based Wilcoxon rank-sum test (svyranktest).</w:t>
      </w:r>
    </w:p>
    <w:tbl>
      <w:tblPr>
        <w:tblStyle w:val="Table"/>
        <w:tblW w:type="pct" w:w="5000"/>
        <w:tblLayout w:type="fixed"/>
        <w:tblLook w:firstRow="1" w:lastRow="0" w:firstColumn="0" w:lastColumn="0" w:noHBand="0" w:noVBand="0" w:val="0020"/>
        <w:tblCaption w:val="Table 4b. Index Length of Stay and Inflation-Adjusted Cost by 30-Day Readmission Status, weighted median (IQR); p-value from a design-based Wilcoxon rank-sum test (svyranktest)."/>
      </w:tblPr>
      <w:tblGrid>
        <w:gridCol w:w="1431"/>
        <w:gridCol w:w="3053"/>
        <w:gridCol w:w="3435"/>
      </w:tblGrid>
      <w:tr>
        <w:trPr>
          <w:tblHeader w:val="on"/>
        </w:trPr>
        <w:tc>
          <w:tcPr/>
          <w:p>
            <w:pPr>
              <w:pStyle w:val="Compact"/>
              <w:jc w:val="left"/>
            </w:pPr>
            <w:r>
              <w:t xml:space="preserve">Group</w:t>
            </w:r>
          </w:p>
        </w:tc>
        <w:tc>
          <w:tcPr/>
          <w:p>
            <w:pPr>
              <w:pStyle w:val="Compact"/>
              <w:jc w:val="left"/>
            </w:pPr>
            <w:r>
              <w:t xml:space="preserve">Index LOS, days – median (IQR)</w:t>
            </w:r>
          </w:p>
        </w:tc>
        <w:tc>
          <w:tcPr/>
          <w:p>
            <w:pPr>
              <w:pStyle w:val="Compact"/>
              <w:jc w:val="left"/>
            </w:pPr>
            <w:r>
              <w:t xml:space="preserve">Index Cost (2022 $) – median (IQR)</w:t>
            </w:r>
          </w:p>
        </w:tc>
      </w:tr>
      <w:tr>
        <w:tc>
          <w:tcPr/>
          <w:p>
            <w:pPr>
              <w:pStyle w:val="Compact"/>
              <w:jc w:val="left"/>
            </w:pPr>
            <w:r>
              <w:t xml:space="preserve">Overall</w:t>
            </w:r>
          </w:p>
        </w:tc>
        <w:tc>
          <w:tcPr/>
          <w:p>
            <w:pPr>
              <w:pStyle w:val="Compact"/>
              <w:jc w:val="left"/>
            </w:pPr>
            <w:r>
              <w:t xml:space="preserve">9.0 (5.0-18.0)</w:t>
            </w:r>
          </w:p>
        </w:tc>
        <w:tc>
          <w:tcPr/>
          <w:p>
            <w:pPr>
              <w:pStyle w:val="Compact"/>
              <w:jc w:val="left"/>
            </w:pPr>
            <w:r>
              <w:t xml:space="preserve">$47,995 ($33,726-$72,143)</w:t>
            </w:r>
          </w:p>
        </w:tc>
      </w:tr>
      <w:tr>
        <w:tc>
          <w:tcPr/>
          <w:p>
            <w:pPr>
              <w:pStyle w:val="Compact"/>
              <w:jc w:val="left"/>
            </w:pPr>
            <w:r>
              <w:t xml:space="preserve">Not Readmitted</w:t>
            </w:r>
          </w:p>
        </w:tc>
        <w:tc>
          <w:tcPr/>
          <w:p>
            <w:pPr>
              <w:pStyle w:val="Compact"/>
              <w:jc w:val="left"/>
            </w:pPr>
            <w:r>
              <w:t xml:space="preserve">9.0 (5.0-17.0)</w:t>
            </w:r>
          </w:p>
        </w:tc>
        <w:tc>
          <w:tcPr/>
          <w:p>
            <w:pPr>
              <w:pStyle w:val="Compact"/>
              <w:jc w:val="left"/>
            </w:pPr>
            <w:r>
              <w:t xml:space="preserve">$47,217 ($33,283-$70,608)</w:t>
            </w:r>
          </w:p>
        </w:tc>
      </w:tr>
      <w:tr>
        <w:tc>
          <w:tcPr/>
          <w:p>
            <w:pPr>
              <w:pStyle w:val="Compact"/>
              <w:jc w:val="left"/>
            </w:pPr>
            <w:r>
              <w:t xml:space="preserve">Readmitted</w:t>
            </w:r>
          </w:p>
        </w:tc>
        <w:tc>
          <w:tcPr/>
          <w:p>
            <w:pPr>
              <w:pStyle w:val="Compact"/>
              <w:jc w:val="left"/>
            </w:pPr>
            <w:r>
              <w:t xml:space="preserve">11.0 (6.0-20.0)</w:t>
            </w:r>
          </w:p>
        </w:tc>
        <w:tc>
          <w:tcPr/>
          <w:p>
            <w:pPr>
              <w:pStyle w:val="Compact"/>
              <w:jc w:val="left"/>
            </w:pPr>
            <w:r>
              <w:t xml:space="preserve">$52,859 ($36,783-$80,769)</w:t>
            </w:r>
          </w:p>
        </w:tc>
      </w:tr>
      <w:tr>
        <w:tc>
          <w:tcPr/>
          <w:p>
            <w:pPr>
              <w:pStyle w:val="Compact"/>
              <w:jc w:val="left"/>
            </w:pPr>
            <w:r>
              <w:t xml:space="preserve">p-value</w:t>
            </w:r>
          </w:p>
        </w:tc>
        <w:tc>
          <w:tcPr/>
          <w:p>
            <w:pPr>
              <w:pStyle w:val="Compact"/>
              <w:jc w:val="left"/>
            </w:pPr>
            <w:r>
              <w:t xml:space="preserve">&lt;0.001</w:t>
            </w:r>
          </w:p>
        </w:tc>
        <w:tc>
          <w:tcPr/>
          <w:p>
            <w:pPr>
              <w:pStyle w:val="Compact"/>
              <w:jc w:val="left"/>
            </w:pPr>
            <w:r>
              <w:t xml:space="preserve">&lt;0.001</w:t>
            </w:r>
          </w:p>
        </w:tc>
      </w:tr>
    </w:tbl>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doi.org/10.1016/j.resuscitation.2018.12.001"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1016/j.resuscitation.2018.12.00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Predictors, Causes, and Outcomes of 30-Day Readmissions Following Mechanical Thrombectomy in Patients With Chronic Kidney Disease</dc:title>
  <dc:creator>Dua Ali</dc:creator>
  <cp:keywords/>
  <dcterms:created xsi:type="dcterms:W3CDTF">2026-08-31T12:29:26Z</dcterms:created>
  <dcterms:modified xsi:type="dcterms:W3CDTF">2026-08-31T12:29:26Z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RCOP C1 - Nationwide Readmissions Database, 2016–2022</vt:lpwstr>
  </property>
  <property fmtid="{D5CDD505-2E9C-101B-9397-08002B2CF9AE}" pid="13" name="toc-title">
    <vt:lpwstr>Table of contents</vt:lpwstr>
  </property>
</Properties>
</file>