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Predictors, Causes, and Outcomes of 30-Day Readmissions Following Mechanical Thrombectomy in Patients With End-Stage Kidney Disease Requiring Dialysis</w:t>
      </w:r>
    </w:p>
    <w:p>
      <w:pPr>
        <w:pStyle w:val="Subtitle"/>
      </w:pPr>
      <w:r>
        <w:t xml:space="preserve">RCOP C1 - Nationwide Readmissions Database, 2016–2022</w:t>
      </w:r>
    </w:p>
    <w:p>
      <w:pPr>
        <w:pStyle w:val="Author"/>
      </w:pPr>
      <w:r>
        <w:t xml:space="preserve">Dua Ali</w:t>
      </w:r>
    </w:p>
    <w:bookmarkStart w:id="10" w:name="preamble"/>
    <w:p>
      <w:pPr>
        <w:pStyle w:val="Heading2"/>
      </w:pPr>
      <w:r>
        <w:t xml:space="preserve">Preamble</w:t>
      </w:r>
    </w:p>
    <w:p>
      <w:pPr>
        <w:numPr>
          <w:ilvl w:val="0"/>
          <w:numId w:val="1001"/>
        </w:numPr>
      </w:pPr>
      <w:r>
        <w:rPr>
          <w:b/>
          <w:bCs/>
        </w:rPr>
        <w:t xml:space="preserve">Reference Studies:</w:t>
      </w:r>
    </w:p>
    <w:p>
      <w:pPr>
        <w:pStyle w:val="Compact"/>
        <w:numPr>
          <w:ilvl w:val="1"/>
          <w:numId w:val="1002"/>
        </w:numPr>
      </w:pPr>
      <w:hyperlink r:id="rId9">
        <w:r>
          <w:rPr>
            <w:rStyle w:val="Hyperlink"/>
          </w:rPr>
          <w:t xml:space="preserve">Morita et al., 2019</w:t>
        </w:r>
      </w:hyperlink>
    </w:p>
    <w:p>
      <w:pPr>
        <w:numPr>
          <w:ilvl w:val="0"/>
          <w:numId w:val="1001"/>
        </w:numPr>
      </w:pPr>
      <w:r>
        <w:rPr>
          <w:b/>
          <w:bCs/>
        </w:rPr>
        <w:t xml:space="preserve">Objective:</w:t>
      </w:r>
      <w:r>
        <w:t xml:space="preserve"> </w:t>
      </w:r>
      <w:r>
        <w:t xml:space="preserve">Estimate the national incidence of, and independent</w:t>
      </w:r>
      <w:r>
        <w:t xml:space="preserve"> </w:t>
      </w:r>
      <w:r>
        <w:t xml:space="preserve">predictors of, 30-day unplanned (non-elective) readmission among</w:t>
      </w:r>
      <w:r>
        <w:t xml:space="preserve"> </w:t>
      </w:r>
      <w:r>
        <w:t xml:space="preserve">dialysis-dependent end-stage kidney disease (ESKD) patients who undergo</w:t>
      </w:r>
      <w:r>
        <w:t xml:space="preserve"> </w:t>
      </w:r>
      <w:r>
        <w:t xml:space="preserve">mechanical thrombectomy (EVT) for acute ischemic stroke, and characterize</w:t>
      </w:r>
      <w:r>
        <w:t xml:space="preserve"> </w:t>
      </w:r>
      <w:r>
        <w:t xml:space="preserve">the most common causes and outcomes of those readmissions.</w:t>
      </w:r>
    </w:p>
    <w:p>
      <w:pPr>
        <w:numPr>
          <w:ilvl w:val="0"/>
          <w:numId w:val="1001"/>
        </w:numPr>
      </w:pPr>
      <w:r>
        <w:rPr>
          <w:b/>
          <w:bCs/>
        </w:rPr>
        <w:t xml:space="preserve">Data source:</w:t>
      </w:r>
      <w:r>
        <w:t xml:space="preserve"> </w:t>
      </w:r>
      <w:r>
        <w:t xml:space="preserve">HCUP Nationwide Readmissions Database (NRD), 2016–2022 — a</w:t>
      </w:r>
      <w:r>
        <w:t xml:space="preserve"> </w:t>
      </w:r>
      <w:r>
        <w:t xml:space="preserve">nationally representative, all-payer database that links a patient’s</w:t>
      </w:r>
      <w:r>
        <w:t xml:space="preserve"> </w:t>
      </w:r>
      <w:r>
        <w:t xml:space="preserve">hospitalizations within a calendar year.</w:t>
      </w:r>
    </w:p>
    <w:p>
      <w:pPr>
        <w:numPr>
          <w:ilvl w:val="0"/>
          <w:numId w:val="1001"/>
        </w:numPr>
      </w:pPr>
      <w:r>
        <w:rPr>
          <w:b/>
          <w:bCs/>
        </w:rPr>
        <w:t xml:space="preserve">Cohort:</w:t>
      </w:r>
      <w:r>
        <w:t xml:space="preserve"> </w:t>
      </w:r>
      <w:r>
        <w:t xml:space="preserve">Every qualifying index event is a non-elective admission among</w:t>
      </w:r>
      <w:r>
        <w:t xml:space="preserve"> </w:t>
      </w:r>
      <w:r>
        <w:t xml:space="preserve">adults aged ≥ 18 with acute ischemic stroke in the principal diagnosis</w:t>
      </w:r>
      <w:r>
        <w:t xml:space="preserve"> </w:t>
      </w:r>
      <w:r>
        <w:t xml:space="preserve">position, a mechanical thrombectomy procedure, and dialysis dependence</w:t>
      </w:r>
      <w:r>
        <w:t xml:space="preserve"> </w:t>
      </w:r>
      <w:r>
        <w:t xml:space="preserve">present on the index admission.</w:t>
      </w:r>
    </w:p>
    <w:p>
      <w:pPr>
        <w:numPr>
          <w:ilvl w:val="0"/>
          <w:numId w:val="1001"/>
        </w:numPr>
      </w:pPr>
      <w:r>
        <w:rPr>
          <w:b/>
          <w:bCs/>
        </w:rPr>
        <w:t xml:space="preserve">Primary outcome:</w:t>
      </w:r>
      <w:r>
        <w:t xml:space="preserve"> </w:t>
      </w:r>
      <w:r>
        <w:t xml:space="preserve">30-day all-cause unplanned (non-elective) readmission,</w:t>
      </w:r>
      <w:r>
        <w:t xml:space="preserve"> </w:t>
      </w:r>
      <w:r>
        <w:t xml:space="preserve">causes and costs for index admissions and 30-day readmissions.</w:t>
      </w:r>
    </w:p>
    <w:p>
      <w:pPr>
        <w:numPr>
          <w:ilvl w:val="0"/>
          <w:numId w:val="1001"/>
        </w:numPr>
      </w:pPr>
      <w:r>
        <w:rPr>
          <w:b/>
          <w:bCs/>
        </w:rPr>
        <w:t xml:space="preserve">Cost:</w:t>
      </w:r>
      <w:r>
        <w:t xml:space="preserve"> </w:t>
      </w:r>
      <w:r>
        <w:t xml:space="preserve">Hospital costs were estimated by applying HCUP hospital-specific cost-to-charge ratios to reported charges, then adjusting to 2022 dollars using the Consumer Price Index (medical care component). All reported dollar figures represent estimated hospital costs, not billed charges, and refer to the readmission encounter itself.</w:t>
      </w:r>
    </w:p>
    <w:bookmarkEnd w:id="10"/>
    <w:bookmarkStart w:id="11" w:name="methods"/>
    <w:p>
      <w:pPr>
        <w:pStyle w:val="Heading2"/>
      </w:pPr>
      <w:r>
        <w:t xml:space="preserve">Methods</w:t>
      </w:r>
    </w:p>
    <w:p>
      <w:pPr>
        <w:pStyle w:val="FirstParagraph"/>
      </w:pPr>
      <w:r>
        <w:t xml:space="preserve">All analyses accounted for the NRD complex survey design. Because NRD strata and</w:t>
      </w:r>
      <w:r>
        <w:t xml:space="preserve"> </w:t>
      </w:r>
      <w:r>
        <w:t xml:space="preserve">hospital identifiers reset each year, the design used year-qualified strata</w:t>
      </w:r>
      <w:r>
        <w:t xml:space="preserve"> </w:t>
      </w:r>
      <w:r>
        <w:t xml:space="preserve">(interaction of YEAR and NRD_STRATUM) and year-qualified primary sampling units</w:t>
      </w:r>
      <w:r>
        <w:t xml:space="preserve"> </w:t>
      </w:r>
      <w:r>
        <w:t xml:space="preserve">(interaction of YEAR and HOSP_NRD), with DISCWT weights and a nested design;</w:t>
      </w:r>
      <w:r>
        <w:t xml:space="preserve"> </w:t>
      </w:r>
      <w:r>
        <w:rPr>
          <w:rStyle w:val="VerbatimChar"/>
        </w:rPr>
        <w:t xml:space="preserve">survey.lonely.psu = "adjust"</w:t>
      </w:r>
      <w:r>
        <w:t xml:space="preserve"> </w:t>
      </w:r>
      <w:r>
        <w:t xml:space="preserve">was set before the design was built.</w:t>
      </w:r>
    </w:p>
    <w:p>
      <w:pPr>
        <w:pStyle w:val="BodyText"/>
      </w:pPr>
      <w:r>
        <w:t xml:space="preserve">Baseline characteristics were summarized by 30-day readmission status as</w:t>
      </w:r>
      <w:r>
        <w:t xml:space="preserve"> </w:t>
      </w:r>
      <w:r>
        <w:t xml:space="preserve">median (IQR) for continuous variables and n (weighted %) for categorical</w:t>
      </w:r>
      <w:r>
        <w:t xml:space="preserve"> </w:t>
      </w:r>
      <w:r>
        <w:t xml:space="preserve">variables, with design-based Rao-Scott chi-square (categorical) or survey</w:t>
      </w:r>
      <w:r>
        <w:t xml:space="preserve"> </w:t>
      </w:r>
      <w:r>
        <w:t xml:space="preserve">t-test (continuous) comparisons. Predictors of 30-day readmission were</w:t>
      </w:r>
      <w:r>
        <w:t xml:space="preserve"> </w:t>
      </w:r>
      <w:r>
        <w:t xml:space="preserve">estimated with a</w:t>
      </w:r>
      <w:r>
        <w:t xml:space="preserve"> </w:t>
      </w:r>
      <w:r>
        <w:t xml:space="preserve">survey-weighted logistic (quasibinomial) model including demographic and</w:t>
      </w:r>
      <w:r>
        <w:t xml:space="preserve"> </w:t>
      </w:r>
      <w:r>
        <w:t xml:space="preserve">hospital covariates, discharge year as a fixed effect, index-admission</w:t>
      </w:r>
      <w:r>
        <w:t xml:space="preserve"> </w:t>
      </w:r>
      <w:r>
        <w:t xml:space="preserve">clinical covariates (IV thrombolysis, intracranial hemorrhage/hemorrhagic</w:t>
      </w:r>
      <w:r>
        <w:t xml:space="preserve"> </w:t>
      </w:r>
      <w:r>
        <w:t xml:space="preserve">transformation), and a pre-specified comorbidity panel, with</w:t>
      </w:r>
      <w:r>
        <w:t xml:space="preserve"> </w:t>
      </w:r>
      <w:r>
        <w:t xml:space="preserve">no stepwise selection; adjusted odds ratios with 95% confidence intervals</w:t>
      </w:r>
      <w:r>
        <w:t xml:space="preserve"> </w:t>
      </w:r>
      <w:r>
        <w:t xml:space="preserve">are reported. Readmission diagnoses were ranked by weighted frequency using</w:t>
      </w:r>
      <w:r>
        <w:t xml:space="preserve"> </w:t>
      </w:r>
      <w:r>
        <w:t xml:space="preserve">raw (leaf-level) ICD-10-CM principal diagnosis codes; diagnoses appearing in</w:t>
      </w:r>
      <w:r>
        <w:t xml:space="preserve"> </w:t>
      </w:r>
      <w:r>
        <w:t xml:space="preserve">fewer than 11 unweighted discharges are suppressed per HCUP small-cell</w:t>
      </w:r>
      <w:r>
        <w:t xml:space="preserve"> </w:t>
      </w:r>
      <w:r>
        <w:t xml:space="preserve">rules. Index-admission outcomes (non-home discharge, length of stay,</w:t>
      </w:r>
      <w:r>
        <w:t xml:space="preserve"> </w:t>
      </w:r>
      <w:r>
        <w:t xml:space="preserve">inflation-adjusted cost) were compared between patients with and without a</w:t>
      </w:r>
      <w:r>
        <w:t xml:space="preserve"> </w:t>
      </w:r>
      <w:r>
        <w:t xml:space="preserve">30-day readmission using design-based Rao-Scott chi-square (categorical) or</w:t>
      </w:r>
      <w:r>
        <w:t xml:space="preserve"> </w:t>
      </w:r>
      <w:r>
        <w:t xml:space="preserve">Wilcoxon rank-sum (continuous, via svyranktest); in-hospital mortality at</w:t>
      </w:r>
      <w:r>
        <w:t xml:space="preserve"> </w:t>
      </w:r>
      <w:r>
        <w:t xml:space="preserve">index admission is not reported, as survival to discharge is a cohort</w:t>
      </w:r>
      <w:r>
        <w:t xml:space="preserve"> </w:t>
      </w:r>
      <w:r>
        <w:t xml:space="preserve">inclusion criterion. Analyses used R with the survey, srvyr,</w:t>
      </w:r>
      <w:r>
        <w:t xml:space="preserve"> </w:t>
      </w:r>
      <w:r>
        <w:t xml:space="preserve">and gtsummary packages.</w:t>
      </w:r>
    </w:p>
    <w:bookmarkEnd w:id="11"/>
    <w:bookmarkStart w:id="12" w:name="Xf2fbb633f2117a0ab0018891778271db55e316e"/>
    <w:p>
      <w:pPr>
        <w:pStyle w:val="Heading2"/>
      </w:pPr>
      <w:r>
        <w:t xml:space="preserve">Table 1 — Baseline Characteristics by 30-Day Readmission Status</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b w:val="true"/>
                <w:rFonts w:ascii="Calibri" w:hAnsi="Calibri"/>
                <w:sz w:val="20"/>
              </w:rPr>
              <w:t xml:space="preserve">Characteristic</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Overall</w:t>
            </w:r>
            <w:r xmlns:w="http://schemas.openxmlformats.org/wordprocessingml/2006/main">
              <w:rPr>
                <w:rFonts w:ascii="Calibri" w:hAnsi="Calibri"/>
                <w:sz w:val="20"/>
              </w:rPr>
              <w:t xml:space="preserve"> </w:t>
            </w:r>
            <w:r>
              <w:rPr>
                <w:rFonts w:ascii="Calibri" w:hAnsi="Calibri"/>
                <w:sz w:val="20"/>
              </w:rPr>
              <w:t xml:space="preserve">Weighted N = 980; Unweighted n = 537</w:t>
            </w:r>
            <w:r>
              <w:rPr>
                <w:vertAlign w:val="superscript"/>
                <w:i/>
                <w:rFonts w:ascii="Calibri" w:hAnsi="Calibri"/>
                <w:sz w:val="20"/>
              </w:rPr>
              <w:t xml:space="default">1</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Not Readmitted</w:t>
            </w:r>
            <w:r xmlns:w="http://schemas.openxmlformats.org/wordprocessingml/2006/main">
              <w:rPr>
                <w:rFonts w:ascii="Calibri" w:hAnsi="Calibri"/>
                <w:sz w:val="20"/>
              </w:rPr>
              <w:t xml:space="preserve"> </w:t>
            </w:r>
            <w:r>
              <w:rPr>
                <w:rFonts w:ascii="Calibri" w:hAnsi="Calibri"/>
                <w:sz w:val="20"/>
              </w:rPr>
              <w:t xml:space="preserve">Weighted N = 723; Unweighted n = 392</w:t>
            </w:r>
            <w:r>
              <w:rPr>
                <w:vertAlign w:val="superscript"/>
                <w:i/>
                <w:rFonts w:ascii="Calibri" w:hAnsi="Calibri"/>
                <w:sz w:val="20"/>
              </w:rPr>
              <w:t xml:space="default">1</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Readmitted</w:t>
            </w:r>
            <w:r xmlns:w="http://schemas.openxmlformats.org/wordprocessingml/2006/main">
              <w:rPr>
                <w:rFonts w:ascii="Calibri" w:hAnsi="Calibri"/>
                <w:sz w:val="20"/>
              </w:rPr>
              <w:t xml:space="preserve"> </w:t>
            </w:r>
            <w:r>
              <w:rPr>
                <w:rFonts w:ascii="Calibri" w:hAnsi="Calibri"/>
                <w:sz w:val="20"/>
              </w:rPr>
              <w:t xml:space="preserve">Weighted N = 257; Unweighted n = 145</w:t>
            </w:r>
            <w:r>
              <w:rPr>
                <w:vertAlign w:val="superscript"/>
                <w:i/>
                <w:rFonts w:ascii="Calibri" w:hAnsi="Calibri"/>
                <w:sz w:val="20"/>
              </w:rPr>
              <w:t xml:space="default">1</w:t>
            </w:r>
          </w:p>
        </w:tc>
        <w:tc>
          <w:tcPr>
            <w:tcBorders>
              <w:top w:val="single" w:sz="16" w:space="0" w:color="D3D3D3"/>
              <w:bottom w:val="single" w:sz="16" w:space="0" w:color="D3D3D3"/>
              <w:end w:val="single" w:space="0" w:color="D3D3D3"/>
            </w:tcBorders>
          </w:tcPr>
          <w:p>
            <w:pPr>
              <w:spacing w:before="0" w:after="60"/>
              <w:keepNext/>
              <w:jc w:val="center"/>
            </w:pPr>
            <w:r>
              <w:rPr>
                <w:b w:val="true"/>
                <w:rFonts w:ascii="Calibri" w:hAnsi="Calibri"/>
                <w:sz w:val="20"/>
              </w:rPr>
              <w:t xml:space="preserve">p-value</w:t>
            </w:r>
            <w:r>
              <w:rPr>
                <w:vertAlign w:val="superscript"/>
                <w:i/>
                <w:rFonts w:ascii="Calibri" w:hAnsi="Calibri"/>
                <w:sz w:val="20"/>
              </w:rPr>
              <w:t xml:space="default">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Age (years)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71 (61, 77)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71 (61, 77)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71 (62, 77)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Sex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Male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418 (42.7%)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318 (44.0%)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100 (39.0%)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Female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562 (57.3%)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405 (56.0%)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157 (61.0%)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Primary Expected Payer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Private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107 (10.9%)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88 (12.1%)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19 (7.6%)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Medicaid</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66 (6.7%)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39 (5.4%)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27 (10.4%)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Medicare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795 (81.1%)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586 (80.9%)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209 (81.5%)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Other/no charge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Self-pay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Median Household Income Quartile (ZIP)</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0-25th percentile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325 (33.1%)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233 (32.3%)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91 (35.6%)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26th to 50th percentile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273 (27.8%)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195 (27.0%)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78 (30.3%)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51st to 75th percentile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220 (22.5%)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184 (25.4%)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37 (14.2%)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76th to 100th percentile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152 (15.5%)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102 (14.2%)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49 (19.2%)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Missing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 (1.1%)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Admission Day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Weekday (Mon-Fri)</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783 (79.8%)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573 (79.2%)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210 (81.8%)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Weekend (Sat-Sun)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198 (20.2%)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151 (20.8%)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47 (18.2%)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Discharge Year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2016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56 (5.7%)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42 (5.8%)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 (5.3%)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2017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103 (10.5%)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77 (10.6%)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26 (10.0%)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2018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116 (11.8%)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85 (11.7%)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31 (12.1%)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2019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149 (15.2%)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109 (15.1%)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39 (15.4%)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2020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189 (19.3%)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122 (16.8%)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68 (26.4%)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2021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185 (18.9%)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147 (20.3%)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38 (14.9%)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2022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183 (18.7%)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142 (19.6%)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41 (15.9%)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Hospital Bed Size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Small</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59 (6.0%)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37 (5.1%)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22 (8.5%)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Large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730 (74.5%)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541 (74.8%)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190 (73.9%)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Medium</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191 (19.4%)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145 (20.1%)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45 (17.6%)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Hospital Location / Teaching Status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Metropolitan, non-teaching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67 (6.8%)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41 (5.7%)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26 (10.0%)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Metropolitan, teaching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913 (93.2%)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682 (94.3%)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231 (90.0%)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IV Thrombolysis During Index Stay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232 (23.7%)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184 (25.4%)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48 (18.9%)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Intracranial Hemorrhage / Hemorrhagic Transformation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201 (20.5%)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155 (21.4%)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46 (17.9%)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Coronary Artery Disease / Prior Myocardial Infarction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487 (49.7%)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361 (49.9%)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126 (49.1%)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Congestive Heart Failure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521 (53.2%)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377 (52.2%)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144 (56.1%)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Atrial Fibrillation / Flutter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518 (52.9%)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377 (52.1%)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141 (54.9%)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Hypertension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953 (97.3%)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704 (97.4%)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249 (96.9%)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Diabetes Mellitus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636 (64.9%)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471 (65.1%)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165 (64.3%)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Hyperlipidemia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612 (62.4%)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458 (63.3%)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154 (59.9%)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Peripheral Vascular Disease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186 (19.0%)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136 (18.8%)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51 (19.7%)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Valvular Disease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164 (16.7%)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111 (15.3%)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53 (20.6%)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Prior Stroke / TIA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299 (30.5%)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221 (30.6%)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78 (30.3%)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&gt;0.9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Carotid Artery Stenosis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110 (11.2%)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80 (11.1%)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29 (11.4%)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&gt;0.9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Chronic Pulmonary Disease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227 (23.1%)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164 (22.6%)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63 (24.5%)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Coagulopathy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121 (12.3%)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92 (12.7%)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29 (11.2%)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Anemia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709 (72.4%)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522 (72.2%)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187 (72.8%)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Chronic Liver Disease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42 (4.3%)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33 (4.6%)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Dementia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58 (5.9%)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43 (6.0%)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 (5.7%)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Depression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100 (10.2%)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80 (11.1%)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20 (7.6%)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Smoking / Tobacco Use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86 (8.8%)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60 (8.3%)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26 (10.0%)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Alcohol Use Disorder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21 (2.2%)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19 (2.7%)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Obesity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226 (23.0%)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166 (22.9%)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60 (23.3%)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&gt;0.9</w:t>
            </w:r>
          </w:p>
        </w:tc>
      </w:tr>
      <w:tr>
        <w:trPr>
          <w:cantSplit/>
        </w:trPr>
        <w:tc>
          <w:tcPr>
            <w:gridSpan w:val="5"/>
          </w:tcPr>
          <w:p>
            <w:pPr>
              <w:spacing w:before="0" w:after="60"/>
              <w:keepNext/>
            </w:pPr>
            <w:r>
              <w:rPr>
                <w:vertAlign w:val="superscript"/>
                <w:i/>
                <w:rFonts w:ascii="Calibri" w:hAnsi="Calibri"/>
                <w:sz w:val="20"/>
              </w:rPr>
              <w:t xml:space="default">1</w:t>
            </w:r>
            <w:r>
              <w:rPr>
                <w:rFonts w:ascii="Calibri" w:hAnsi="Calibri"/>
                <w:sz w:val="20"/>
              </w:rPr>
              <w:t xml:space="preserve">Weighted N = nationally representative estimate (DISCWT survey weights). Unweighted n = actual NRD sample size. Categorical: n (weighted %); continuous: median (IQR). P-values: design-based Rao-Scott chi-square (categorical) or survey t-test (continuous). – denotes suppressed cells (unweighted n &lt; 11) per HCUP guidelines.</w:t>
            </w:r>
          </w:p>
        </w:tc>
      </w:tr>
      <w:tr>
        <w:trPr>
          <w:cantSplit/>
        </w:trPr>
        <w:tc>
          <w:tcPr>
            <w:gridSpan w:val="5"/>
          </w:tcPr>
          <w:p>
            <w:pPr>
              <w:spacing w:before="0" w:after="60"/>
              <w:keepNext/>
            </w:pPr>
            <w:r>
              <w:rPr>
                <w:vertAlign w:val="superscript"/>
                <w:i/>
                <w:rFonts w:ascii="Calibri" w:hAnsi="Calibri"/>
                <w:sz w:val="20"/>
              </w:rPr>
              <w:t xml:space="default">2</w:t>
            </w:r>
            <w:r>
              <w:rPr>
                <w:rFonts w:ascii="Calibri" w:hAnsi="Calibri"/>
                <w:sz w:val="20"/>
              </w:rPr>
              <w:t xml:space="preserve">Design-based t-test; Pearson's X^2: Rao &amp; Scott adjustment</w:t>
            </w:r>
          </w:p>
        </w:tc>
      </w:tr>
    </w:tbl>
    <w:bookmarkEnd w:id="12"/>
    <w:bookmarkStart w:id="13" w:name="Xa24547e294b63a570b6fc7a59c5f5ba3a8b11ea"/>
    <w:p>
      <w:pPr>
        <w:pStyle w:val="Heading2"/>
      </w:pPr>
      <w:r>
        <w:t xml:space="preserve">Table 2 — Cause of Readmission (Top Principal Diagnoses)</w:t>
      </w:r>
    </w:p>
    <w:p>
      <w:pPr>
        <w:pStyle w:val="TableCaption"/>
      </w:pPr>
      <w:r>
        <w:rPr>
          <w:b/>
          <w:bCs/>
        </w:rPr>
        <w:t xml:space="preserve">Table 2. Top Principal Diagnoses at 30-Day Readmission</w:t>
      </w:r>
      <w:r>
        <w:t xml:space="preserve">, weighted % of all 30-day readmissions.</w:t>
      </w:r>
    </w:p>
    <w:tbl>
      <w:tblPr>
        <w:tblStyle w:val="Table"/>
        <w:tblW w:type="pct" w:w="5000"/>
        <w:tblLayout w:type="fixed"/>
        <w:tblLook w:firstRow="1" w:lastRow="0" w:firstColumn="0" w:lastColumn="0" w:noHBand="0" w:noVBand="0" w:val="0020"/>
        <w:tblCaption w:val="Table 2. Top Principal Diagnoses at 30-Day Readmission, weighted % of all 30-day readmissions."/>
      </w:tblPr>
      <w:tblGrid>
        <w:gridCol w:w="1440"/>
        <w:gridCol w:w="5985"/>
        <w:gridCol w:w="495"/>
      </w:tblGrid>
      <w:tr>
        <w:trPr>
          <w:tblHeader w:val="on"/>
        </w:trPr>
        <w:tc>
          <w:tcPr/>
          <w:p>
            <w:pPr>
              <w:pStyle w:val="Compact"/>
              <w:jc w:val="left"/>
            </w:pPr>
            <w:r>
              <w:t xml:space="preserve">Principal Diagnosis (ICD-10-CM)</w:t>
            </w:r>
          </w:p>
        </w:tc>
        <w:tc>
          <w:tcPr/>
          <w:p>
            <w:pPr>
              <w:pStyle w:val="Compact"/>
              <w:jc w:val="left"/>
            </w:pPr>
            <w:r>
              <w:t xml:space="preserve">Diagnosis Name</w:t>
            </w:r>
          </w:p>
        </w:tc>
        <w:tc>
          <w:tcPr/>
          <w:p>
            <w:pPr>
              <w:pStyle w:val="Compact"/>
              <w:jc w:val="left"/>
            </w:pPr>
            <w:r>
              <w:t xml:space="preserve">Weighted %</w:t>
            </w:r>
          </w:p>
        </w:tc>
      </w:tr>
      <w:tr>
        <w:tc>
          <w:tcPr/>
          <w:p>
            <w:pPr>
              <w:pStyle w:val="Compact"/>
              <w:jc w:val="left"/>
            </w:pPr>
            <w:r>
              <w:t xml:space="preserve">A419</w:t>
            </w:r>
          </w:p>
        </w:tc>
        <w:tc>
          <w:tcPr/>
          <w:p>
            <w:pPr>
              <w:pStyle w:val="Compact"/>
              <w:jc w:val="left"/>
            </w:pPr>
            <w:r>
              <w:t xml:space="preserve">Sepsis, unspecified organism</w:t>
            </w:r>
          </w:p>
        </w:tc>
        <w:tc>
          <w:tcPr/>
          <w:p>
            <w:pPr>
              <w:pStyle w:val="Compact"/>
              <w:jc w:val="left"/>
            </w:pPr>
            <w:r>
              <w:t xml:space="preserve">12.3%</w:t>
            </w:r>
          </w:p>
        </w:tc>
      </w:tr>
      <w:tr>
        <w:tc>
          <w:tcPr/>
          <w:p>
            <w:pPr>
              <w:pStyle w:val="Compact"/>
              <w:jc w:val="left"/>
            </w:pPr>
            <w:r>
              <w:t xml:space="preserve">J189</w:t>
            </w:r>
          </w:p>
        </w:tc>
        <w:tc>
          <w:tcPr/>
          <w:p>
            <w:pPr>
              <w:pStyle w:val="Compact"/>
              <w:jc w:val="left"/>
            </w:pPr>
            <w:r>
              <w:t xml:space="preserve">Pneumonia, unspecified organism</w:t>
            </w:r>
          </w:p>
        </w:tc>
        <w:tc>
          <w:tcPr/>
          <w:p>
            <w:pPr>
              <w:pStyle w:val="Compact"/>
              <w:jc w:val="left"/>
            </w:pPr>
            <w:r>
              <w:t xml:space="preserve">2.9%</w:t>
            </w:r>
          </w:p>
        </w:tc>
      </w:tr>
      <w:tr>
        <w:tc>
          <w:tcPr/>
          <w:p>
            <w:pPr>
              <w:pStyle w:val="Compact"/>
              <w:jc w:val="left"/>
            </w:pPr>
            <w:r>
              <w:t xml:space="preserve">I132</w:t>
            </w:r>
          </w:p>
        </w:tc>
        <w:tc>
          <w:tcPr/>
          <w:p>
            <w:pPr>
              <w:pStyle w:val="Compact"/>
              <w:jc w:val="left"/>
            </w:pPr>
            <w:r>
              <w:t xml:space="preserve">Hypertensive heart and chronic kidney disease with heart failure and with stage 5 chronic kidney disease, or end stage renal disease</w:t>
            </w:r>
          </w:p>
        </w:tc>
        <w:tc>
          <w:tcPr/>
          <w:p>
            <w:pPr>
              <w:pStyle w:val="Compact"/>
              <w:jc w:val="left"/>
            </w:pPr>
            <w:r>
              <w:t xml:space="preserve">2.8%</w:t>
            </w:r>
          </w:p>
        </w:tc>
      </w:tr>
      <w:tr>
        <w:tc>
          <w:tcPr/>
          <w:p>
            <w:pPr>
              <w:pStyle w:val="Compact"/>
              <w:jc w:val="left"/>
            </w:pPr>
            <w:r>
              <w:t xml:space="preserve">I469</w:t>
            </w:r>
          </w:p>
        </w:tc>
        <w:tc>
          <w:tcPr/>
          <w:p>
            <w:pPr>
              <w:pStyle w:val="Compact"/>
              <w:jc w:val="left"/>
            </w:pPr>
            <w:r>
              <w:t xml:space="preserve">Cardiac arrest, cause unspecified</w:t>
            </w:r>
          </w:p>
        </w:tc>
        <w:tc>
          <w:tcPr/>
          <w:p>
            <w:pPr>
              <w:pStyle w:val="Compact"/>
              <w:jc w:val="left"/>
            </w:pPr>
            <w:r>
              <w:t xml:space="preserve">2.6%</w:t>
            </w:r>
          </w:p>
        </w:tc>
      </w:tr>
      <w:tr>
        <w:tc>
          <w:tcPr/>
          <w:p>
            <w:pPr>
              <w:pStyle w:val="Compact"/>
              <w:jc w:val="left"/>
            </w:pPr>
            <w:r>
              <w:t xml:space="preserve">I63511</w:t>
            </w:r>
          </w:p>
        </w:tc>
        <w:tc>
          <w:tcPr/>
          <w:p>
            <w:pPr>
              <w:pStyle w:val="Compact"/>
              <w:jc w:val="left"/>
            </w:pPr>
            <w:r>
              <w:t xml:space="preserve">Cerebral infarction due to unspecified occlusion or stenosis of right middle cerebral artery</w:t>
            </w:r>
          </w:p>
        </w:tc>
        <w:tc>
          <w:tcPr/>
          <w:p>
            <w:pPr>
              <w:pStyle w:val="Compact"/>
              <w:jc w:val="left"/>
            </w:pPr>
            <w:r>
              <w:t xml:space="preserve">2.2%</w:t>
            </w:r>
          </w:p>
        </w:tc>
      </w:tr>
      <w:tr>
        <w:tc>
          <w:tcPr/>
          <w:p>
            <w:pPr>
              <w:pStyle w:val="Compact"/>
              <w:jc w:val="left"/>
            </w:pPr>
            <w:r>
              <w:t xml:space="preserve">K922</w:t>
            </w:r>
          </w:p>
        </w:tc>
        <w:tc>
          <w:tcPr/>
          <w:p>
            <w:pPr>
              <w:pStyle w:val="Compact"/>
              <w:jc w:val="left"/>
            </w:pPr>
            <w:r>
              <w:t xml:space="preserve">Gastrointestinal hemorrhage, unspecified</w:t>
            </w:r>
          </w:p>
        </w:tc>
        <w:tc>
          <w:tcPr/>
          <w:p>
            <w:pPr>
              <w:pStyle w:val="Compact"/>
              <w:jc w:val="left"/>
            </w:pPr>
            <w:r>
              <w:t xml:space="preserve">2.2%</w:t>
            </w:r>
          </w:p>
        </w:tc>
      </w:tr>
      <w:tr>
        <w:tc>
          <w:tcPr/>
          <w:p>
            <w:pPr>
              <w:pStyle w:val="Compact"/>
              <w:jc w:val="left"/>
            </w:pPr>
            <w:r>
              <w:t xml:space="preserve">I120</w:t>
            </w:r>
          </w:p>
        </w:tc>
        <w:tc>
          <w:tcPr/>
          <w:p>
            <w:pPr>
              <w:pStyle w:val="Compact"/>
              <w:jc w:val="left"/>
            </w:pPr>
            <w:r>
              <w:t xml:space="preserve">Hypertensive chronic kidney disease with stage 5 chronic kidney disease or end stage renal disease</w:t>
            </w:r>
          </w:p>
        </w:tc>
        <w:tc>
          <w:tcPr/>
          <w:p>
            <w:pPr>
              <w:pStyle w:val="Compact"/>
              <w:jc w:val="left"/>
            </w:pPr>
            <w:r>
              <w:t xml:space="preserve">2.0%</w:t>
            </w:r>
          </w:p>
        </w:tc>
      </w:tr>
      <w:tr>
        <w:tc>
          <w:tcPr/>
          <w:p>
            <w:pPr>
              <w:pStyle w:val="Compact"/>
              <w:jc w:val="left"/>
            </w:pPr>
            <w:r>
              <w:t xml:space="preserve">I639</w:t>
            </w:r>
          </w:p>
        </w:tc>
        <w:tc>
          <w:tcPr/>
          <w:p>
            <w:pPr>
              <w:pStyle w:val="Compact"/>
              <w:jc w:val="left"/>
            </w:pPr>
            <w:r>
              <w:t xml:space="preserve">Cerebral infarction, unspecified</w:t>
            </w:r>
          </w:p>
        </w:tc>
        <w:tc>
          <w:tcPr/>
          <w:p>
            <w:pPr>
              <w:pStyle w:val="Compact"/>
              <w:jc w:val="left"/>
            </w:pPr>
            <w:r>
              <w:t xml:space="preserve">1.8%</w:t>
            </w:r>
          </w:p>
        </w:tc>
      </w:tr>
      <w:tr>
        <w:tc>
          <w:tcPr/>
          <w:p>
            <w:pPr>
              <w:pStyle w:val="Compact"/>
              <w:jc w:val="left"/>
            </w:pPr>
            <w:r>
              <w:t xml:space="preserve">K921</w:t>
            </w:r>
          </w:p>
        </w:tc>
        <w:tc>
          <w:tcPr/>
          <w:p>
            <w:pPr>
              <w:pStyle w:val="Compact"/>
              <w:jc w:val="left"/>
            </w:pPr>
            <w:r>
              <w:t xml:space="preserve">Melena</w:t>
            </w:r>
          </w:p>
        </w:tc>
        <w:tc>
          <w:tcPr/>
          <w:p>
            <w:pPr>
              <w:pStyle w:val="Compact"/>
              <w:jc w:val="left"/>
            </w:pPr>
            <w:r>
              <w:t xml:space="preserve">1.8%</w:t>
            </w:r>
          </w:p>
        </w:tc>
      </w:tr>
      <w:tr>
        <w:tc>
          <w:tcPr/>
          <w:p>
            <w:pPr>
              <w:pStyle w:val="Compact"/>
              <w:jc w:val="left"/>
            </w:pPr>
            <w:r>
              <w:t xml:space="preserve">L02811</w:t>
            </w:r>
          </w:p>
        </w:tc>
        <w:tc>
          <w:tcPr/>
          <w:p>
            <w:pPr>
              <w:pStyle w:val="Compact"/>
              <w:jc w:val="left"/>
            </w:pPr>
            <w:r>
              <w:t xml:space="preserve">Cutaneous abscess of head [any part, except face]</w:t>
            </w:r>
          </w:p>
        </w:tc>
        <w:tc>
          <w:tcPr/>
          <w:p>
            <w:pPr>
              <w:pStyle w:val="Compact"/>
              <w:jc w:val="left"/>
            </w:pPr>
            <w:r>
              <w:t xml:space="preserve">1.7%</w:t>
            </w:r>
          </w:p>
        </w:tc>
      </w:tr>
    </w:tbl>
    <w:bookmarkEnd w:id="13"/>
    <w:bookmarkStart w:id="14" w:name="Xdfa4110665f6466bcaa278790a962b4390765bb"/>
    <w:p>
      <w:pPr>
        <w:pStyle w:val="Heading2"/>
      </w:pPr>
      <w:r>
        <w:t xml:space="preserve">Table 3 — Adjusted Predictors of 30-Day Readmission</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b w:val="true"/>
                <w:rFonts w:ascii="Calibri" w:hAnsi="Calibri"/>
                <w:sz w:val="20"/>
              </w:rPr>
              <w:t xml:space="preserve">Characteristic</w:t>
            </w:r>
            <w:r>
              <w:rPr>
                <w:vertAlign w:val="superscript"/>
                <w:i/>
                <w:rFonts w:ascii="Calibri" w:hAnsi="Calibri"/>
                <w:sz w:val="20"/>
              </w:rPr>
              <w:t xml:space="default">1</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OR</w:t>
            </w:r>
            <w:r>
              <w:rPr>
                <w:vertAlign w:val="superscript"/>
                <w:i/>
                <w:rFonts w:ascii="Calibri" w:hAnsi="Calibri"/>
                <w:sz w:val="20"/>
              </w:rPr>
              <w:t xml:space="default">1</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95% CI</w:t>
            </w:r>
            <w:r>
              <w:rPr>
                <w:vertAlign w:val="superscript"/>
                <w:i/>
                <w:rFonts w:ascii="Calibri" w:hAnsi="Calibri"/>
                <w:sz w:val="20"/>
              </w:rPr>
              <w:t xml:space="default">1</w:t>
            </w:r>
          </w:p>
        </w:tc>
        <w:tc>
          <w:tcPr>
            <w:tcBorders>
              <w:top w:val="single" w:sz="16" w:space="0" w:color="D3D3D3"/>
              <w:bottom w:val="single" w:sz="16" w:space="0" w:color="D3D3D3"/>
              <w:end w:val="single" w:space="0" w:color="D3D3D3"/>
            </w:tcBorders>
          </w:tcPr>
          <w:p>
            <w:pPr>
              <w:spacing w:before="0" w:after="60"/>
              <w:keepNext/>
              <w:jc w:val="center"/>
            </w:pPr>
            <w:r>
              <w:rPr>
                <w:b w:val="true"/>
                <w:rFonts w:ascii="Calibri" w:hAnsi="Calibri"/>
                <w:sz w:val="20"/>
              </w:rPr>
              <w:t xml:space="preserve">p-value</w:t>
            </w:r>
            <w:r>
              <w:rPr>
                <w:vertAlign w:val="superscript"/>
                <w:i/>
                <w:rFonts w:ascii="Calibri" w:hAnsi="Calibri"/>
                <w:sz w:val="20"/>
              </w:rPr>
              <w:t xml:space="default">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Age (years)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0.97, 1.01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Sex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Male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Female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0.78, 1.94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Primary Expected Payer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Private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Medicaid</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2.91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1.03, 8.25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0.044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Medicare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0.66, 3.33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Other/no charge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0.00, 0.00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Self-pay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0.07, 30.3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Median Household Income Quartile (ZIP)</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0-25th percentile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26th to 50th percentile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0.57, 1.78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&gt;0.9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51st to 75th percentile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0.26, 0.95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0.034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76th to 100th percentile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0.73, 2.55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Missing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0.05, 4.16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Admission Day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Weekday (Mon-Fri)</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Weekend (Sat-Sun)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0.49, 1.33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Discharge Year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2016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2017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0.36, 3.84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2018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0.34, 3.18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&gt;0.9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2019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0.41, 3.79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2020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0.61, 5.22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2021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0.30, 2.89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&gt;0.9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2022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0.34, 3.29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&gt;0.9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Hospital Bed Size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Small</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Large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0.24, 1.57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Medium</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0.23, 1.67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Hospital Location / Teaching Status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Metropolitan, non-teaching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Metropolitan, teaching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0.23, 1.20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IV Thrombolysis During Index Stay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0.39, 1.12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Intracranial Hemorrhage / Hemorrhagic Transformation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0.53, 1.53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Coronary Artery Disease / Prior Myocardial Infarction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0.64, 1.52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&gt;0.9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Congestive Heart Failure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0.73, 1.79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Atrial Fibrillation / Flutter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0.78, 2.01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Hypertension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0.27, 2.96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Diabetes Mellitus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0.56, 1.36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Hyperlipidemia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0.50, 1.25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Peripheral Vascular Disease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0.60, 1.87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Valvular Disease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1.64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0.95, 2.83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0.078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Prior Stroke / TIA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0.68, 1.80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Carotid Artery Stenosis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0.55, 2.40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Chronic Pulmonary Disease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0.70, 2.03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Coagulopathy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0.38, 1.48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Anemia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0.62, 1.71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&gt;0.9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Chronic Liver Disease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0.27, 2.07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Dementia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0.32, 2.42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Depression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0.19, 1.26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Smoking / Tobacco Use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0.49, 2.21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&gt;0.9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Obesity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0.54, 1.77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&gt;0.9</w:t>
            </w:r>
          </w:p>
        </w:tc>
      </w:tr>
      <w:tr>
        <w:trPr>
          <w:cantSplit/>
        </w:trPr>
        <w:tc>
          <w:tcPr>
            <w:gridSpan w:val="4"/>
          </w:tcPr>
          <w:p>
            <w:pPr>
              <w:spacing w:before="0" w:after="60"/>
              <w:keepNext/>
            </w:pPr>
            <w:r>
              <w:rPr>
                <w:vertAlign w:val="superscript"/>
                <w:i/>
                <w:rFonts w:ascii="Calibri" w:hAnsi="Calibri"/>
                <w:sz w:val="20"/>
              </w:rPr>
              <w:t xml:space="default">1</w:t>
            </w:r>
            <w:r>
              <w:rPr>
                <w:rFonts w:ascii="Calibri" w:hAnsi="Calibri"/>
                <w:sz w:val="20"/>
              </w:rPr>
              <w:t xml:space="preserve">Odds ratios adjusted for all listed covariates. Survey-weighted (NRD complex design). Note: is_alcohol dropped due to a sparse cell in the index cohort.</w:t>
            </w:r>
          </w:p>
        </w:tc>
      </w:tr>
      <w:tr>
        <w:trPr>
          <w:cantSplit/>
        </w:trPr>
        <w:tc>
          <w:tcPr>
            <w:gridSpan w:val="4"/>
          </w:tcPr>
          <w:p>
            <w:pPr>
              <w:spacing w:before="0" w:after="60"/>
              <w:keepNext/>
            </w:pPr>
            <w:r>
              <w:rPr>
                <w:rFonts w:ascii="Calibri" w:hAnsi="Calibri"/>
                <w:sz w:val="20"/>
              </w:rPr>
              <w:t xml:space="preserve">Abbreviations: CI = Confidence Interval, OR = Odds Ratio</w:t>
            </w:r>
          </w:p>
        </w:tc>
      </w:tr>
    </w:tbl>
    <w:bookmarkEnd w:id="14"/>
    <w:bookmarkStart w:id="15" w:name="X9ec7c3f9fdf466a74988e134c1a6ffe117526bf"/>
    <w:p>
      <w:pPr>
        <w:pStyle w:val="Heading2"/>
      </w:pPr>
      <w:r>
        <w:t xml:space="preserve">Table 4 — Index-Admission Outcomes by 30-Day Readmission Status</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b w:val="true"/>
                <w:rFonts w:ascii="Calibri" w:hAnsi="Calibri"/>
                <w:sz w:val="20"/>
              </w:rPr>
              <w:t xml:space="preserve">Characteristic</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Overall</w:t>
            </w:r>
            <w:r xmlns:w="http://schemas.openxmlformats.org/wordprocessingml/2006/main">
              <w:rPr>
                <w:rFonts w:ascii="Calibri" w:hAnsi="Calibri"/>
                <w:sz w:val="20"/>
              </w:rPr>
              <w:t xml:space="preserve"> </w:t>
            </w:r>
            <w:r>
              <w:rPr>
                <w:rFonts w:ascii="Calibri" w:hAnsi="Calibri"/>
                <w:sz w:val="20"/>
              </w:rPr>
              <w:t xml:space="preserve">Weighted N = 980; Unweighted n = 537</w:t>
            </w:r>
            <w:r>
              <w:rPr>
                <w:vertAlign w:val="superscript"/>
                <w:i/>
                <w:rFonts w:ascii="Calibri" w:hAnsi="Calibri"/>
                <w:sz w:val="20"/>
              </w:rPr>
              <w:t xml:space="default">1</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Not Readmitted</w:t>
            </w:r>
            <w:r xmlns:w="http://schemas.openxmlformats.org/wordprocessingml/2006/main">
              <w:rPr>
                <w:rFonts w:ascii="Calibri" w:hAnsi="Calibri"/>
                <w:sz w:val="20"/>
              </w:rPr>
              <w:t xml:space="preserve"> </w:t>
            </w:r>
            <w:r>
              <w:rPr>
                <w:rFonts w:ascii="Calibri" w:hAnsi="Calibri"/>
                <w:sz w:val="20"/>
              </w:rPr>
              <w:t xml:space="preserve">Weighted N = 723; Unweighted n = 392</w:t>
            </w:r>
            <w:r>
              <w:rPr>
                <w:vertAlign w:val="superscript"/>
                <w:i/>
                <w:rFonts w:ascii="Calibri" w:hAnsi="Calibri"/>
                <w:sz w:val="20"/>
              </w:rPr>
              <w:t xml:space="default">1</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Readmitted</w:t>
            </w:r>
            <w:r xmlns:w="http://schemas.openxmlformats.org/wordprocessingml/2006/main">
              <w:rPr>
                <w:rFonts w:ascii="Calibri" w:hAnsi="Calibri"/>
                <w:sz w:val="20"/>
              </w:rPr>
              <w:t xml:space="preserve"> </w:t>
            </w:r>
            <w:r>
              <w:rPr>
                <w:rFonts w:ascii="Calibri" w:hAnsi="Calibri"/>
                <w:sz w:val="20"/>
              </w:rPr>
              <w:t xml:space="preserve">Weighted N = 257; Unweighted n = 145</w:t>
            </w:r>
            <w:r>
              <w:rPr>
                <w:vertAlign w:val="superscript"/>
                <w:i/>
                <w:rFonts w:ascii="Calibri" w:hAnsi="Calibri"/>
                <w:sz w:val="20"/>
              </w:rPr>
              <w:t xml:space="default">1</w:t>
            </w:r>
          </w:p>
        </w:tc>
        <w:tc>
          <w:tcPr>
            <w:tcBorders>
              <w:top w:val="single" w:sz="16" w:space="0" w:color="D3D3D3"/>
              <w:bottom w:val="single" w:sz="16" w:space="0" w:color="D3D3D3"/>
              <w:end w:val="single" w:space="0" w:color="D3D3D3"/>
            </w:tcBorders>
          </w:tcPr>
          <w:p>
            <w:pPr>
              <w:spacing w:before="0" w:after="60"/>
              <w:keepNext/>
              <w:jc w:val="center"/>
            </w:pPr>
            <w:r>
              <w:rPr>
                <w:b w:val="true"/>
                <w:rFonts w:ascii="Calibri" w:hAnsi="Calibri"/>
                <w:sz w:val="20"/>
              </w:rPr>
              <w:t xml:space="preserve">p-value</w:t>
            </w:r>
            <w:r>
              <w:rPr>
                <w:vertAlign w:val="superscript"/>
                <w:i/>
                <w:rFonts w:ascii="Calibri" w:hAnsi="Calibri"/>
                <w:sz w:val="20"/>
              </w:rPr>
              <w:t xml:space="default">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Non-Home Discharge at Index Admission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Home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418 (92.1%)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337 (94.5%)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80 (83.0%)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Non-home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36 (7.9%)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20 (5.5%)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16 (17.0%)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gridSpan w:val="5"/>
          </w:tcPr>
          <w:p>
            <w:pPr>
              <w:spacing w:before="0" w:after="60"/>
              <w:keepNext/>
            </w:pPr>
            <w:r>
              <w:rPr>
                <w:vertAlign w:val="superscript"/>
                <w:i/>
                <w:rFonts w:ascii="Calibri" w:hAnsi="Calibri"/>
                <w:sz w:val="20"/>
              </w:rPr>
              <w:t xml:space="default">1</w:t>
            </w:r>
            <w:r>
              <w:rPr>
                <w:rFonts w:ascii="Calibri" w:hAnsi="Calibri"/>
                <w:sz w:val="20"/>
              </w:rPr>
              <w:t xml:space="preserve">Weighted N = nationally representative estimate (DISCWT survey weights). Unweighted n = actual NRD sample size. n (weighted %); p-value: design-based Rao-Scott chi-square.</w:t>
            </w:r>
          </w:p>
        </w:tc>
      </w:tr>
      <w:tr>
        <w:trPr>
          <w:cantSplit/>
        </w:trPr>
        <w:tc>
          <w:tcPr>
            <w:gridSpan w:val="5"/>
          </w:tcPr>
          <w:p>
            <w:pPr>
              <w:spacing w:before="0" w:after="60"/>
              <w:keepNext/>
            </w:pPr>
            <w:r>
              <w:rPr>
                <w:vertAlign w:val="superscript"/>
                <w:i/>
                <w:rFonts w:ascii="Calibri" w:hAnsi="Calibri"/>
                <w:sz w:val="20"/>
              </w:rPr>
              <w:t xml:space="default">2</w:t>
            </w:r>
            <w:r>
              <w:rPr>
                <w:rFonts w:ascii="Calibri" w:hAnsi="Calibri"/>
                <w:sz w:val="20"/>
              </w:rPr>
              <w:t xml:space="preserve">Pearson's X^2: Rao &amp; Scott adjustment</w:t>
            </w:r>
          </w:p>
        </w:tc>
      </w:tr>
    </w:tbl>
    <w:p>
      <w:pPr>
        <w:pStyle w:val="TableCaption"/>
      </w:pPr>
      <w:r>
        <w:rPr>
          <w:b/>
          <w:bCs/>
        </w:rPr>
        <w:t xml:space="preserve">Table 4b. Index Length of Stay and Inflation-Adjusted Cost by 30-Day Readmission Status</w:t>
      </w:r>
      <w:r>
        <w:t xml:space="preserve">, weighted median (IQR); p-value from a design-based Wilcoxon rank-sum test (svyranktest).</w:t>
      </w:r>
    </w:p>
    <w:tbl>
      <w:tblPr>
        <w:tblStyle w:val="Table"/>
        <w:tblW w:type="pct" w:w="5000"/>
        <w:tblLayout w:type="fixed"/>
        <w:tblLook w:firstRow="1" w:lastRow="0" w:firstColumn="0" w:lastColumn="0" w:noHBand="0" w:noVBand="0" w:val="0020"/>
        <w:tblCaption w:val="Table 4b. Index Length of Stay and Inflation-Adjusted Cost by 30-Day Readmission Status, weighted median (IQR); p-value from a design-based Wilcoxon rank-sum test (svyranktest)."/>
      </w:tblPr>
      <w:tblGrid>
        <w:gridCol w:w="1431"/>
        <w:gridCol w:w="3053"/>
        <w:gridCol w:w="3435"/>
      </w:tblGrid>
      <w:tr>
        <w:trPr>
          <w:tblHeader w:val="on"/>
        </w:trPr>
        <w:tc>
          <w:tcPr/>
          <w:p>
            <w:pPr>
              <w:pStyle w:val="Compact"/>
              <w:jc w:val="left"/>
            </w:pPr>
            <w:r>
              <w:t xml:space="preserve">Group</w:t>
            </w:r>
          </w:p>
        </w:tc>
        <w:tc>
          <w:tcPr/>
          <w:p>
            <w:pPr>
              <w:pStyle w:val="Compact"/>
              <w:jc w:val="left"/>
            </w:pPr>
            <w:r>
              <w:t xml:space="preserve">Index LOS, days – median (IQR)</w:t>
            </w:r>
          </w:p>
        </w:tc>
        <w:tc>
          <w:tcPr/>
          <w:p>
            <w:pPr>
              <w:pStyle w:val="Compact"/>
              <w:jc w:val="left"/>
            </w:pPr>
            <w:r>
              <w:t xml:space="preserve">Index Cost (2022 $) – median (IQR)</w:t>
            </w:r>
          </w:p>
        </w:tc>
      </w:tr>
      <w:tr>
        <w:tc>
          <w:tcPr/>
          <w:p>
            <w:pPr>
              <w:pStyle w:val="Compact"/>
              <w:jc w:val="left"/>
            </w:pPr>
            <w:r>
              <w:t xml:space="preserve">Overall</w:t>
            </w:r>
          </w:p>
        </w:tc>
        <w:tc>
          <w:tcPr/>
          <w:p>
            <w:pPr>
              <w:pStyle w:val="Compact"/>
              <w:jc w:val="left"/>
            </w:pPr>
            <w:r>
              <w:t xml:space="preserve">9.0 (5.0-19.0)</w:t>
            </w:r>
          </w:p>
        </w:tc>
        <w:tc>
          <w:tcPr/>
          <w:p>
            <w:pPr>
              <w:pStyle w:val="Compact"/>
              <w:jc w:val="left"/>
            </w:pPr>
            <w:r>
              <w:t xml:space="preserve">$48,744 ($34,506-$77,752)</w:t>
            </w:r>
          </w:p>
        </w:tc>
      </w:tr>
      <w:tr>
        <w:tc>
          <w:tcPr/>
          <w:p>
            <w:pPr>
              <w:pStyle w:val="Compact"/>
              <w:jc w:val="left"/>
            </w:pPr>
            <w:r>
              <w:t xml:space="preserve">Not Readmitted</w:t>
            </w:r>
          </w:p>
        </w:tc>
        <w:tc>
          <w:tcPr/>
          <w:p>
            <w:pPr>
              <w:pStyle w:val="Compact"/>
              <w:jc w:val="left"/>
            </w:pPr>
            <w:r>
              <w:t xml:space="preserve">8.0 (5.0-19.0)</w:t>
            </w:r>
          </w:p>
        </w:tc>
        <w:tc>
          <w:tcPr/>
          <w:p>
            <w:pPr>
              <w:pStyle w:val="Compact"/>
              <w:jc w:val="left"/>
            </w:pPr>
            <w:r>
              <w:t xml:space="preserve">$48,744 ($33,999-$75,856)</w:t>
            </w:r>
          </w:p>
        </w:tc>
      </w:tr>
      <w:tr>
        <w:tc>
          <w:tcPr/>
          <w:p>
            <w:pPr>
              <w:pStyle w:val="Compact"/>
              <w:jc w:val="left"/>
            </w:pPr>
            <w:r>
              <w:t xml:space="preserve">Readmitted</w:t>
            </w:r>
          </w:p>
        </w:tc>
        <w:tc>
          <w:tcPr/>
          <w:p>
            <w:pPr>
              <w:pStyle w:val="Compact"/>
              <w:jc w:val="left"/>
            </w:pPr>
            <w:r>
              <w:t xml:space="preserve">10.0 (5.0-18.0)</w:t>
            </w:r>
          </w:p>
        </w:tc>
        <w:tc>
          <w:tcPr/>
          <w:p>
            <w:pPr>
              <w:pStyle w:val="Compact"/>
              <w:jc w:val="left"/>
            </w:pPr>
            <w:r>
              <w:t xml:space="preserve">$48,931 ($36,328-$84,420)</w:t>
            </w:r>
          </w:p>
        </w:tc>
      </w:tr>
      <w:tr>
        <w:tc>
          <w:tcPr/>
          <w:p>
            <w:pPr>
              <w:pStyle w:val="Compact"/>
              <w:jc w:val="left"/>
            </w:pPr>
            <w:r>
              <w:t xml:space="preserve">p-value</w:t>
            </w:r>
          </w:p>
        </w:tc>
        <w:tc>
          <w:tcPr/>
          <w:p>
            <w:pPr>
              <w:pStyle w:val="Compact"/>
              <w:jc w:val="left"/>
            </w:pPr>
            <w:r>
              <w:t xml:space="preserve">0.182</w:t>
            </w:r>
          </w:p>
        </w:tc>
        <w:tc>
          <w:tcPr/>
          <w:p>
            <w:pPr>
              <w:pStyle w:val="Compact"/>
              <w:jc w:val="left"/>
            </w:pPr>
            <w:r>
              <w:t xml:space="preserve">0.307</w:t>
            </w:r>
          </w:p>
        </w:tc>
      </w:tr>
    </w:tbl>
    <w:bookmarkEnd w:id="1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9" Target="https://doi.org/10.1016/j.resuscitation.2018.12.001" TargetMode="External" /></Relationships>
</file>

<file path=word/_rels/footnotes.xml.rels><?xml version="1.0" encoding="UTF-8"?><Relationships xmlns="http://schemas.openxmlformats.org/package/2006/relationships"><Relationship Type="http://schemas.openxmlformats.org/officeDocument/2006/relationships/hyperlink" Id="rId9" Target="https://doi.org/10.1016/j.resuscitation.2018.12.00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Predictors, Causes, and Outcomes of 30-Day Readmissions Following Mechanical Thrombectomy in Patients With End-Stage Kidney Disease Requiring Dialysis</dc:title>
  <dc:creator>Dua Ali</dc:creator>
  <cp:keywords/>
  <dcterms:created xsi:type="dcterms:W3CDTF">2026-07-30T00:23:55Z</dcterms:created>
  <dcterms:modified xsi:type="dcterms:W3CDTF">2026-07-30T00:23:55Z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y-affiliation">
    <vt:lpwstr/>
  </property>
  <property fmtid="{D5CDD505-2E9C-101B-9397-08002B2CF9AE}" pid="6" name="by-author">
    <vt:lpwstr/>
  </property>
  <property fmtid="{D5CDD505-2E9C-101B-9397-08002B2CF9AE}" pid="7" name="engine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subtitle">
    <vt:lpwstr>RCOP C1 - Nationwide Readmissions Database, 2016–2022</vt:lpwstr>
  </property>
  <property fmtid="{D5CDD505-2E9C-101B-9397-08002B2CF9AE}" pid="13" name="toc-title">
    <vt:lpwstr>Table of contents</vt:lpwstr>
  </property>
</Properties>
</file>