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46B3" w14:textId="77777777" w:rsidR="001D3B5C" w:rsidRDefault="00000000">
      <w:pPr>
        <w:jc w:val="center"/>
      </w:pPr>
      <w:r>
        <w:rPr>
          <w:b/>
          <w:sz w:val="48"/>
        </w:rPr>
        <w:t>PETRONAS — Sampang Social‑License Copilot</w:t>
      </w:r>
    </w:p>
    <w:p w14:paraId="0EBD146D" w14:textId="77777777" w:rsidR="001D3B5C" w:rsidRDefault="00000000">
      <w:pPr>
        <w:jc w:val="center"/>
      </w:pPr>
      <w:r>
        <w:rPr>
          <w:sz w:val="32"/>
        </w:rPr>
        <w:t>Blueprint &amp; Pilot Plan</w:t>
      </w:r>
    </w:p>
    <w:p w14:paraId="06C55372" w14:textId="77777777" w:rsidR="001D3B5C" w:rsidRDefault="00000000">
      <w:pPr>
        <w:jc w:val="center"/>
      </w:pPr>
      <w:r>
        <w:rPr>
          <w:sz w:val="20"/>
        </w:rPr>
        <w:t>Date: September 05, 2025  |  Location: East Java (Sampang)</w:t>
      </w:r>
    </w:p>
    <w:p w14:paraId="5B1EF895" w14:textId="77777777" w:rsidR="001D3B5C" w:rsidRDefault="00000000">
      <w:r>
        <w:br w:type="page"/>
      </w:r>
    </w:p>
    <w:p w14:paraId="4E33407F" w14:textId="77777777" w:rsidR="001D3B5C" w:rsidRDefault="00000000">
      <w:pPr>
        <w:pStyle w:val="Heading1"/>
      </w:pPr>
      <w:r>
        <w:lastRenderedPageBreak/>
        <w:t>1) Executive Summary</w:t>
      </w:r>
    </w:p>
    <w:p w14:paraId="1F3E3635" w14:textId="77777777" w:rsidR="001D3B5C" w:rsidRDefault="00000000">
      <w:r>
        <w:rPr>
          <w:b/>
        </w:rPr>
        <w:t xml:space="preserve">AHA in one line: </w:t>
      </w:r>
      <w:r>
        <w:t xml:space="preserve">We don’t slip because of engineering; we slip because of people. This copilot turns Sampang’s unwritten rules into a </w:t>
      </w:r>
      <w:r>
        <w:rPr>
          <w:b/>
        </w:rPr>
        <w:t>timed, scripted playbook</w:t>
      </w:r>
      <w:r>
        <w:t>—who to call, what to say, when to go—cutting unplanned nearshore standby and escalations, and leaving an audit-ready trail.</w:t>
      </w:r>
    </w:p>
    <w:p w14:paraId="30B26293" w14:textId="77777777" w:rsidR="001D3B5C" w:rsidRDefault="00000000">
      <w:r>
        <w:t>Business case in plain terms:</w:t>
      </w:r>
    </w:p>
    <w:p w14:paraId="467C7AA4" w14:textId="77777777" w:rsidR="001D3B5C" w:rsidRDefault="00000000">
      <w:r>
        <w:t>• Reduce unplanned standby hours tied to coastal/community interactions</w:t>
      </w:r>
    </w:p>
    <w:p w14:paraId="3079CC3B" w14:textId="77777777" w:rsidR="001D3B5C" w:rsidRDefault="00000000">
      <w:r>
        <w:t>• Speed up endorsements/approvals for nearshore work windows</w:t>
      </w:r>
    </w:p>
    <w:p w14:paraId="4B9CC76E" w14:textId="77777777" w:rsidR="001D3B5C" w:rsidRDefault="00000000">
      <w:r>
        <w:t>• Standardize contractor interactions to the PETRONAS way</w:t>
      </w:r>
    </w:p>
    <w:p w14:paraId="589B9230" w14:textId="77777777" w:rsidR="001D3B5C" w:rsidRDefault="00000000">
      <w:r>
        <w:t>• Produce attachable evidence for audits and incident close-outs</w:t>
      </w:r>
    </w:p>
    <w:p w14:paraId="6344235C" w14:textId="77777777" w:rsidR="001D3B5C" w:rsidRDefault="00000000">
      <w:r>
        <w:t>Pilot commitment:</w:t>
      </w:r>
    </w:p>
    <w:p w14:paraId="480D7E27" w14:textId="77777777" w:rsidR="001D3B5C" w:rsidRDefault="00000000">
      <w:r>
        <w:t>• Scope one nearshore/landfall-adjacent campaign touching Sampang (6–8 weeks)</w:t>
      </w:r>
    </w:p>
    <w:p w14:paraId="48AD7010" w14:textId="77777777" w:rsidR="001D3B5C" w:rsidRDefault="00000000">
      <w:r>
        <w:t>• Success gate: ≥25% reduction in standby hours + strong stakeholder score → scale</w:t>
      </w:r>
    </w:p>
    <w:p w14:paraId="40B1041B" w14:textId="77777777" w:rsidR="001D3B5C" w:rsidRDefault="00000000">
      <w:pPr>
        <w:pStyle w:val="Heading1"/>
      </w:pPr>
      <w:r>
        <w:t>2) Problem — Felt Pain</w:t>
      </w:r>
    </w:p>
    <w:p w14:paraId="61F76808" w14:textId="77777777" w:rsidR="001D3B5C" w:rsidRDefault="00000000">
      <w:r>
        <w:t>• Invisible social risk: fishing seasons, religious calendars, informal leadership chains aren’t in Primavera—so we plan in the dark and apologize later.</w:t>
      </w:r>
    </w:p>
    <w:p w14:paraId="6B5EEE25" w14:textId="77777777" w:rsidR="001D3B5C" w:rsidRDefault="00000000">
      <w:r>
        <w:t>• Tribal know‑how: what works with specific leaders lives in heads and WhatsApp; rotations force costly relearning.</w:t>
      </w:r>
    </w:p>
    <w:p w14:paraId="33E2E938" w14:textId="77777777" w:rsidR="001D3B5C" w:rsidRDefault="00000000">
      <w:r>
        <w:t>• Contractor roulette: one master gets it right, the next sparks a complaint → inconsistency triggers standbys.</w:t>
      </w:r>
    </w:p>
    <w:p w14:paraId="2319D2DA" w14:textId="77777777" w:rsidR="001D3B5C" w:rsidRDefault="00000000">
      <w:r>
        <w:t>• Reactive comms: we communicate after friction, not before it—burning vessel hours and goodwill.</w:t>
      </w:r>
    </w:p>
    <w:p w14:paraId="30BAAFF1" w14:textId="77777777" w:rsidR="001D3B5C" w:rsidRDefault="00000000">
      <w:r>
        <w:t>• No proof of ‘doing it right’: sequence, phrasing, and sign‑offs aren’t captured in an audit‑friendly way.</w:t>
      </w:r>
    </w:p>
    <w:p w14:paraId="04FC739E" w14:textId="77777777" w:rsidR="001D3B5C" w:rsidRDefault="00000000">
      <w:pPr>
        <w:pStyle w:val="Heading1"/>
      </w:pPr>
      <w:r>
        <w:t>3) The Solution — Social‑License Copilot (Sampang)</w:t>
      </w:r>
    </w:p>
    <w:p w14:paraId="63EC1750" w14:textId="77777777" w:rsidR="001D3B5C" w:rsidRDefault="00000000">
      <w:r>
        <w:t>What it is: a place‑specific decision support that converts local wisdom into clear, timed, and scripted moves.</w:t>
      </w:r>
    </w:p>
    <w:p w14:paraId="73474AA0" w14:textId="77777777" w:rsidR="001D3B5C" w:rsidRDefault="00000000">
      <w:r>
        <w:t>Core outputs:</w:t>
      </w:r>
    </w:p>
    <w:p w14:paraId="1106D1EA" w14:textId="77777777" w:rsidR="001D3B5C" w:rsidRDefault="00000000">
      <w:r>
        <w:t>• Stakeholder sequence &amp; timing (who to inform first, in what order)</w:t>
      </w:r>
    </w:p>
    <w:p w14:paraId="4DAFC62A" w14:textId="77777777" w:rsidR="001D3B5C" w:rsidRDefault="00000000">
      <w:r>
        <w:lastRenderedPageBreak/>
        <w:t>• Talk tracks (do/don’t phrasing; apology/closure templates)</w:t>
      </w:r>
    </w:p>
    <w:p w14:paraId="6B521006" w14:textId="77777777" w:rsidR="001D3B5C" w:rsidRDefault="00000000">
      <w:r>
        <w:t>• No‑work windows (events, prayer times, local ceremonies) mapped to plans</w:t>
      </w:r>
    </w:p>
    <w:p w14:paraId="463D9D0E" w14:textId="77777777" w:rsidR="001D3B5C" w:rsidRDefault="00000000">
      <w:r>
        <w:t>• Two‑speed guidance: quick rules for planners/masters; deeper guidance for sensitive cases</w:t>
      </w:r>
    </w:p>
    <w:p w14:paraId="44BF0B0F" w14:textId="77777777" w:rsidR="001D3B5C" w:rsidRDefault="00000000">
      <w:r>
        <w:t>• Audit‑ready trail of checks and engagements</w:t>
      </w:r>
    </w:p>
    <w:p w14:paraId="70182AA5" w14:textId="77777777" w:rsidR="001D3B5C" w:rsidRDefault="00000000">
      <w:r>
        <w:t>Guiding principles:</w:t>
      </w:r>
    </w:p>
    <w:p w14:paraId="6A28E0DE" w14:textId="77777777" w:rsidR="001D3B5C" w:rsidRDefault="00000000">
      <w:r>
        <w:t>• Depth over breadth (Sampang‑tuned, not generic)</w:t>
      </w:r>
    </w:p>
    <w:p w14:paraId="3D479843" w14:textId="77777777" w:rsidR="001D3B5C" w:rsidRDefault="00000000">
      <w:r>
        <w:t>• Frontline‑first (answers in under 2 minutes)</w:t>
      </w:r>
    </w:p>
    <w:p w14:paraId="7EA92697" w14:textId="77777777" w:rsidR="001D3B5C" w:rsidRDefault="00000000">
      <w:r>
        <w:t>• Augments human judgment; does not replace it</w:t>
      </w:r>
    </w:p>
    <w:p w14:paraId="3A3A7068" w14:textId="77777777" w:rsidR="001D3B5C" w:rsidRDefault="00000000">
      <w:r>
        <w:t>• Neutral and multi‑voice (not captured by any one faction)</w:t>
      </w:r>
    </w:p>
    <w:p w14:paraId="6EF721DE" w14:textId="77777777" w:rsidR="001D3B5C" w:rsidRDefault="00000000">
      <w:pPr>
        <w:pStyle w:val="Heading1"/>
      </w:pPr>
      <w:r>
        <w:t>4) Unique Value Proposition</w:t>
      </w:r>
    </w:p>
    <w:p w14:paraId="19DB248E" w14:textId="77777777" w:rsidR="001D3B5C" w:rsidRDefault="00000000">
      <w:r>
        <w:t>• From advice to schedule: “Tuesday 16:00: call A → then B; use this phrasing; avoid these hours.”</w:t>
      </w:r>
    </w:p>
    <w:p w14:paraId="07162C70" w14:textId="77777777" w:rsidR="001D3B5C" w:rsidRDefault="00000000">
      <w:r>
        <w:t>• Language that lands: local tone and titles that open doors, not defenses.</w:t>
      </w:r>
    </w:p>
    <w:p w14:paraId="78B377C9" w14:textId="77777777" w:rsidR="001D3B5C" w:rsidRDefault="00000000">
      <w:r>
        <w:t>• Operational fit: built for planners, masters, shorebase, and public affairs—usable in &lt;2 minutes.</w:t>
      </w:r>
    </w:p>
    <w:p w14:paraId="18075594" w14:textId="77777777" w:rsidR="001D3B5C" w:rsidRDefault="00000000">
      <w:r>
        <w:t>• Defensible record: attachable evidence for permits and close‑outs.</w:t>
      </w:r>
    </w:p>
    <w:p w14:paraId="6C6AD678" w14:textId="77777777" w:rsidR="001D3B5C" w:rsidRDefault="00000000">
      <w:pPr>
        <w:pStyle w:val="Heading1"/>
      </w:pPr>
      <w:r>
        <w:t>5) PETRONAS’ Unfair Advantage</w:t>
      </w:r>
    </w:p>
    <w:p w14:paraId="59B2B347" w14:textId="77777777" w:rsidR="001D3B5C" w:rsidRDefault="00000000">
      <w:r>
        <w:t>• We own the context: marine schedules + coastal touchpoints let us predict friction windows better than outsiders.</w:t>
      </w:r>
    </w:p>
    <w:p w14:paraId="37948409" w14:textId="77777777" w:rsidR="001D3B5C" w:rsidRDefault="00000000">
      <w:r>
        <w:t>• Standardization power: one playbook makes every contractor interact the PETRONAS way—reducing roulette.</w:t>
      </w:r>
    </w:p>
    <w:p w14:paraId="579A0D8F" w14:textId="77777777" w:rsidR="001D3B5C" w:rsidRDefault="00000000">
      <w:r>
        <w:t>• Trust stays inside: sensitive local intelligence remains ours, not a vendor’s case study.</w:t>
      </w:r>
    </w:p>
    <w:p w14:paraId="4C06FAF2" w14:textId="77777777" w:rsidR="001D3B5C" w:rsidRDefault="00000000">
      <w:r>
        <w:t>• Legitimacy on day one: co‑create with respected local voices we already engage.</w:t>
      </w:r>
    </w:p>
    <w:p w14:paraId="42D5E124" w14:textId="77777777" w:rsidR="001D3B5C" w:rsidRDefault="00000000">
      <w:pPr>
        <w:pStyle w:val="Heading1"/>
      </w:pPr>
      <w:r>
        <w:t>6) Why Now</w:t>
      </w:r>
    </w:p>
    <w:p w14:paraId="222B0A01" w14:textId="77777777" w:rsidR="001D3B5C" w:rsidRDefault="00000000">
      <w:r>
        <w:t>• East Java activity rising; Sampang touchpoints increasing.</w:t>
      </w:r>
    </w:p>
    <w:p w14:paraId="682B9FBA" w14:textId="77777777" w:rsidR="001D3B5C" w:rsidRDefault="00000000">
      <w:r>
        <w:t>• Standby hours are costly; post‑incident scrutiny is higher.</w:t>
      </w:r>
    </w:p>
    <w:p w14:paraId="6C9B9AD4" w14:textId="77777777" w:rsidR="001D3B5C" w:rsidRDefault="00000000">
      <w:r>
        <w:lastRenderedPageBreak/>
        <w:t>• Faster rotations → need a single source of truth to prevent repeat mistakes.</w:t>
      </w:r>
    </w:p>
    <w:p w14:paraId="288FA550" w14:textId="77777777" w:rsidR="001D3B5C" w:rsidRDefault="00000000">
      <w:pPr>
        <w:pStyle w:val="Heading1"/>
      </w:pPr>
      <w:r>
        <w:t>7) Where It Helps in the Upstream Value Chain</w:t>
      </w:r>
    </w:p>
    <w:p w14:paraId="29C5AFED" w14:textId="77777777" w:rsidR="001D3B5C" w:rsidRDefault="00000000">
      <w:r>
        <w:t>Exploration (seismic, geotech, site surveys): map fishing seasons/grounds and taboos to timing windows; who to inform and in what order; compensation framings for gear conflicts.</w:t>
      </w:r>
    </w:p>
    <w:p w14:paraId="1FFAE3FA" w14:textId="77777777" w:rsidR="001D3B5C" w:rsidRDefault="00000000">
      <w:r>
        <w:t>Drilling &amp; construction (nearshore landfalls, logistics): stakeholder routing (village heads → religious leaders → fishers’ reps) with do/don’t phrasing; community calendar overlays for no‑work windows.</w:t>
      </w:r>
    </w:p>
    <w:p w14:paraId="7708AF3B" w14:textId="77777777" w:rsidR="001D3B5C" w:rsidRDefault="00000000">
      <w:r>
        <w:t>Operations (marine traffic, maintenance): notice‑to‑mariners style comms in local tone; quick triggers that cause friction; apology/closure templates.</w:t>
      </w:r>
    </w:p>
    <w:p w14:paraId="23375A3B" w14:textId="77777777" w:rsidR="001D3B5C" w:rsidRDefault="00000000">
      <w:r>
        <w:t>CSR &amp; local content: programs communities actually value, fronted by the right messengers.</w:t>
      </w:r>
    </w:p>
    <w:p w14:paraId="1D8D3D36" w14:textId="364AFCC2" w:rsidR="001D3B5C" w:rsidRDefault="00000000">
      <w:pPr>
        <w:pStyle w:val="Heading1"/>
      </w:pPr>
      <w:r>
        <w:t xml:space="preserve">8) Pilot Plan </w:t>
      </w:r>
    </w:p>
    <w:p w14:paraId="4E7207CC" w14:textId="77777777" w:rsidR="001D3B5C" w:rsidRDefault="00000000">
      <w:r>
        <w:t>Scope: one nearshore/landfall‑adjacent campaign touching Sampang.</w:t>
      </w:r>
    </w:p>
    <w:p w14:paraId="07A20C62" w14:textId="77777777" w:rsidR="001D3B5C" w:rsidRDefault="00000000">
      <w:r>
        <w:t>Deliverables:</w:t>
      </w:r>
    </w:p>
    <w:p w14:paraId="6EC1B4F6" w14:textId="77777777" w:rsidR="001D3B5C" w:rsidRDefault="00000000">
      <w:r>
        <w:t>1) Stakeholder sequence &amp; timing (who/when/how)</w:t>
      </w:r>
    </w:p>
    <w:p w14:paraId="18482566" w14:textId="77777777" w:rsidR="001D3B5C" w:rsidRDefault="00000000">
      <w:r>
        <w:t>2) Marine etiquette pack for masters (10 rules; five phrases to use/avoid)</w:t>
      </w:r>
    </w:p>
    <w:p w14:paraId="22CF806A" w14:textId="77777777" w:rsidR="001D3B5C" w:rsidRDefault="00000000">
      <w:r>
        <w:t>3) Incident apology/closure templates</w:t>
      </w:r>
    </w:p>
    <w:p w14:paraId="0D7E2B7E" w14:textId="77777777" w:rsidR="001D3B5C" w:rsidRDefault="00000000">
      <w:r>
        <w:t>4) Lightweight action dashboard (what was checked, who was engaged, when)</w:t>
      </w:r>
    </w:p>
    <w:p w14:paraId="3C57311A" w14:textId="77777777" w:rsidR="001D3B5C" w:rsidRDefault="00000000">
      <w:r>
        <w:t>Roles: Sponsor (Ops + Public Affairs), Delivery (shorebase lead + PA focal + master rep), Advisory (plural local voices).</w:t>
      </w:r>
    </w:p>
    <w:p w14:paraId="7803925A" w14:textId="77777777" w:rsidR="001D3B5C" w:rsidRDefault="00000000">
      <w:r>
        <w:t>Decision gate: achieve ≥25% standby reduction + strong stakeholder score → standardize across East Java.</w:t>
      </w:r>
    </w:p>
    <w:p w14:paraId="3C1273B7" w14:textId="77777777" w:rsidR="001D3B5C" w:rsidRDefault="00000000">
      <w:pPr>
        <w:pStyle w:val="Heading1"/>
      </w:pPr>
      <w:r>
        <w:t>9) Success Metrics &amp; ROI Model</w:t>
      </w:r>
    </w:p>
    <w:p w14:paraId="2AEE1869" w14:textId="77777777" w:rsidR="001D3B5C" w:rsidRDefault="00000000">
      <w:r>
        <w:t>Primary KPIs:</w:t>
      </w:r>
    </w:p>
    <w:p w14:paraId="0B2B4153" w14:textId="77777777" w:rsidR="001D3B5C" w:rsidRDefault="00000000">
      <w:r>
        <w:t>• Unplanned standby hours linked to coastal/community interactions (target −30–50%)</w:t>
      </w:r>
    </w:p>
    <w:p w14:paraId="1575C414" w14:textId="77777777" w:rsidR="001D3B5C" w:rsidRDefault="00000000">
      <w:r>
        <w:t>• Escalations/complaints requiring management time (target −50%)</w:t>
      </w:r>
    </w:p>
    <w:p w14:paraId="61EFEC36" w14:textId="77777777" w:rsidR="001D3B5C" w:rsidRDefault="00000000">
      <w:r>
        <w:t>• Endorsement cycle time (request → green‑light) (faster)</w:t>
      </w:r>
    </w:p>
    <w:p w14:paraId="4C45AF41" w14:textId="77777777" w:rsidR="001D3B5C" w:rsidRDefault="00000000">
      <w:r>
        <w:t>• Audit readiness (clean, attachable trail)</w:t>
      </w:r>
    </w:p>
    <w:p w14:paraId="28613013" w14:textId="77777777" w:rsidR="001D3B5C" w:rsidRDefault="00000000">
      <w:r>
        <w:lastRenderedPageBreak/>
        <w:t>ROI formula:</w:t>
      </w:r>
    </w:p>
    <w:p w14:paraId="337E0C1D" w14:textId="77777777" w:rsidR="001D3B5C" w:rsidRDefault="00000000">
      <w:r>
        <w:t>Savings = (Standby hours avoided) × (Blended day rate of affected assets) + (Manager hours avoided × cost/hour) + (Schedule risk reduction in $ terms)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B5C" w14:paraId="1F4B0C88" w14:textId="77777777">
        <w:tc>
          <w:tcPr>
            <w:tcW w:w="2880" w:type="dxa"/>
          </w:tcPr>
          <w:p w14:paraId="05A38BC1" w14:textId="77777777" w:rsidR="001D3B5C" w:rsidRDefault="00000000">
            <w:r>
              <w:t>Variable</w:t>
            </w:r>
          </w:p>
        </w:tc>
        <w:tc>
          <w:tcPr>
            <w:tcW w:w="2880" w:type="dxa"/>
          </w:tcPr>
          <w:p w14:paraId="6E352F12" w14:textId="77777777" w:rsidR="001D3B5C" w:rsidRDefault="00000000">
            <w:r>
              <w:t>Value</w:t>
            </w:r>
          </w:p>
        </w:tc>
        <w:tc>
          <w:tcPr>
            <w:tcW w:w="2880" w:type="dxa"/>
          </w:tcPr>
          <w:p w14:paraId="095BBC14" w14:textId="77777777" w:rsidR="001D3B5C" w:rsidRDefault="00000000">
            <w:r>
              <w:t>Notes</w:t>
            </w:r>
          </w:p>
        </w:tc>
      </w:tr>
      <w:tr w:rsidR="001D3B5C" w14:paraId="236785B6" w14:textId="77777777">
        <w:tc>
          <w:tcPr>
            <w:tcW w:w="2880" w:type="dxa"/>
          </w:tcPr>
          <w:p w14:paraId="1D2C78E7" w14:textId="77777777" w:rsidR="001D3B5C" w:rsidRDefault="00000000">
            <w:r>
              <w:t>Baseline standby hours (recent comparable job)</w:t>
            </w:r>
          </w:p>
        </w:tc>
        <w:tc>
          <w:tcPr>
            <w:tcW w:w="2880" w:type="dxa"/>
          </w:tcPr>
          <w:p w14:paraId="4E26F1EF" w14:textId="77777777" w:rsidR="001D3B5C" w:rsidRDefault="001D3B5C"/>
        </w:tc>
        <w:tc>
          <w:tcPr>
            <w:tcW w:w="2880" w:type="dxa"/>
          </w:tcPr>
          <w:p w14:paraId="471C4A9F" w14:textId="77777777" w:rsidR="001D3B5C" w:rsidRDefault="001D3B5C"/>
        </w:tc>
      </w:tr>
      <w:tr w:rsidR="001D3B5C" w14:paraId="77F874B7" w14:textId="77777777">
        <w:tc>
          <w:tcPr>
            <w:tcW w:w="2880" w:type="dxa"/>
          </w:tcPr>
          <w:p w14:paraId="558169B0" w14:textId="77777777" w:rsidR="001D3B5C" w:rsidRDefault="00000000">
            <w:r>
              <w:t>Target reduction (%)</w:t>
            </w:r>
          </w:p>
        </w:tc>
        <w:tc>
          <w:tcPr>
            <w:tcW w:w="2880" w:type="dxa"/>
          </w:tcPr>
          <w:p w14:paraId="60C06538" w14:textId="77777777" w:rsidR="001D3B5C" w:rsidRDefault="001D3B5C"/>
        </w:tc>
        <w:tc>
          <w:tcPr>
            <w:tcW w:w="2880" w:type="dxa"/>
          </w:tcPr>
          <w:p w14:paraId="4FF7FED8" w14:textId="77777777" w:rsidR="001D3B5C" w:rsidRDefault="001D3B5C"/>
        </w:tc>
      </w:tr>
      <w:tr w:rsidR="001D3B5C" w14:paraId="72865ABE" w14:textId="77777777">
        <w:tc>
          <w:tcPr>
            <w:tcW w:w="2880" w:type="dxa"/>
          </w:tcPr>
          <w:p w14:paraId="11A27EEE" w14:textId="77777777" w:rsidR="001D3B5C" w:rsidRDefault="00000000">
            <w:r>
              <w:t>Blended day rate (USD/day)</w:t>
            </w:r>
          </w:p>
        </w:tc>
        <w:tc>
          <w:tcPr>
            <w:tcW w:w="2880" w:type="dxa"/>
          </w:tcPr>
          <w:p w14:paraId="21EC1A0C" w14:textId="77777777" w:rsidR="001D3B5C" w:rsidRDefault="001D3B5C"/>
        </w:tc>
        <w:tc>
          <w:tcPr>
            <w:tcW w:w="2880" w:type="dxa"/>
          </w:tcPr>
          <w:p w14:paraId="79B010ED" w14:textId="77777777" w:rsidR="001D3B5C" w:rsidRDefault="001D3B5C"/>
        </w:tc>
      </w:tr>
      <w:tr w:rsidR="001D3B5C" w14:paraId="3FA53063" w14:textId="77777777">
        <w:tc>
          <w:tcPr>
            <w:tcW w:w="2880" w:type="dxa"/>
          </w:tcPr>
          <w:p w14:paraId="27541499" w14:textId="77777777" w:rsidR="001D3B5C" w:rsidRDefault="00000000">
            <w:r>
              <w:t>Manager hours avoided</w:t>
            </w:r>
          </w:p>
        </w:tc>
        <w:tc>
          <w:tcPr>
            <w:tcW w:w="2880" w:type="dxa"/>
          </w:tcPr>
          <w:p w14:paraId="5FA708DF" w14:textId="77777777" w:rsidR="001D3B5C" w:rsidRDefault="001D3B5C"/>
        </w:tc>
        <w:tc>
          <w:tcPr>
            <w:tcW w:w="2880" w:type="dxa"/>
          </w:tcPr>
          <w:p w14:paraId="260C444E" w14:textId="77777777" w:rsidR="001D3B5C" w:rsidRDefault="001D3B5C"/>
        </w:tc>
      </w:tr>
      <w:tr w:rsidR="001D3B5C" w14:paraId="62C5608A" w14:textId="77777777">
        <w:tc>
          <w:tcPr>
            <w:tcW w:w="2880" w:type="dxa"/>
          </w:tcPr>
          <w:p w14:paraId="3F3E2DD1" w14:textId="77777777" w:rsidR="001D3B5C" w:rsidRDefault="00000000">
            <w:r>
              <w:t>Other quantifiable impacts</w:t>
            </w:r>
          </w:p>
        </w:tc>
        <w:tc>
          <w:tcPr>
            <w:tcW w:w="2880" w:type="dxa"/>
          </w:tcPr>
          <w:p w14:paraId="4F707B53" w14:textId="77777777" w:rsidR="001D3B5C" w:rsidRDefault="001D3B5C"/>
        </w:tc>
        <w:tc>
          <w:tcPr>
            <w:tcW w:w="2880" w:type="dxa"/>
          </w:tcPr>
          <w:p w14:paraId="2937F52C" w14:textId="77777777" w:rsidR="001D3B5C" w:rsidRDefault="001D3B5C"/>
        </w:tc>
      </w:tr>
    </w:tbl>
    <w:p w14:paraId="491579E1" w14:textId="77777777" w:rsidR="001D3B5C" w:rsidRDefault="00000000">
      <w:r>
        <w:t>Worked example (fill with real numbers):</w:t>
      </w:r>
    </w:p>
    <w:p w14:paraId="57F18E38" w14:textId="77777777" w:rsidR="001D3B5C" w:rsidRDefault="00000000">
      <w:r>
        <w:t>• Last landfall maintenance: 36 standby hours due to coastal friction.</w:t>
      </w:r>
    </w:p>
    <w:p w14:paraId="68E9E03E" w14:textId="77777777" w:rsidR="001D3B5C" w:rsidRDefault="00000000">
      <w:r>
        <w:t>• With copilot: 18 hours. Reduction = 18 hours.</w:t>
      </w:r>
    </w:p>
    <w:p w14:paraId="6F4CABEC" w14:textId="77777777" w:rsidR="001D3B5C" w:rsidRDefault="00000000">
      <w:r>
        <w:t>• Estimated savings = 18 × [blended day rate]. Add management hours avoided and faster endorsement value.</w:t>
      </w:r>
    </w:p>
    <w:p w14:paraId="6B6C712C" w14:textId="77777777" w:rsidR="001D3B5C" w:rsidRDefault="00000000">
      <w:pPr>
        <w:pStyle w:val="Heading1"/>
      </w:pPr>
      <w:r>
        <w:t>10) Adoption &amp; Change Management</w:t>
      </w:r>
    </w:p>
    <w:p w14:paraId="3A3E8950" w14:textId="77777777" w:rsidR="001D3B5C" w:rsidRDefault="00000000">
      <w:r>
        <w:t>• Two‑minute answers: concise outputs for frontline users; no long manuals.</w:t>
      </w:r>
    </w:p>
    <w:p w14:paraId="0C26A44C" w14:textId="77777777" w:rsidR="001D3B5C" w:rsidRDefault="00000000">
      <w:r>
        <w:t>• Fold into existing checklists (planning, marine notices, PA briefings).</w:t>
      </w:r>
    </w:p>
    <w:p w14:paraId="4179B01B" w14:textId="77777777" w:rsidR="001D3B5C" w:rsidRDefault="00000000">
      <w:r>
        <w:t>• Contractor onboarding: standardize ‘the PETRONAS way’ in kickoff packs.</w:t>
      </w:r>
    </w:p>
    <w:p w14:paraId="7465D3FF" w14:textId="77777777" w:rsidR="001D3B5C" w:rsidRDefault="00000000">
      <w:r>
        <w:t>• Feedback loop: quick capture of what worked/what didn’t to improve guidance.</w:t>
      </w:r>
    </w:p>
    <w:p w14:paraId="0182D5D3" w14:textId="77777777" w:rsidR="001D3B5C" w:rsidRDefault="00000000">
      <w:pPr>
        <w:pStyle w:val="Heading1"/>
      </w:pPr>
      <w:r>
        <w:t>11) Governance &amp; Content Legitimacy</w:t>
      </w:r>
    </w:p>
    <w:p w14:paraId="1351C09E" w14:textId="77777777" w:rsidR="001D3B5C" w:rsidRDefault="00000000">
      <w:r>
        <w:t>• Plural local voices: co‑create and review with respected representatives (avoid single‑faction bias).</w:t>
      </w:r>
    </w:p>
    <w:p w14:paraId="42573362" w14:textId="77777777" w:rsidR="001D3B5C" w:rsidRDefault="00000000">
      <w:r>
        <w:t>• Review cadence: quarterly refresh; event/leadership change triggers interim updates.</w:t>
      </w:r>
    </w:p>
    <w:p w14:paraId="265B0E9B" w14:textId="77777777" w:rsidR="001D3B5C" w:rsidRDefault="00000000">
      <w:r>
        <w:t>• Provenance: cite sources internally; log who approved changes and when.</w:t>
      </w:r>
    </w:p>
    <w:p w14:paraId="0E4C23EF" w14:textId="77777777" w:rsidR="001D3B5C" w:rsidRDefault="00000000">
      <w:r>
        <w:t>• Boundaries: decision support, not decision replacement.</w:t>
      </w:r>
    </w:p>
    <w:p w14:paraId="1A0B3037" w14:textId="77777777" w:rsidR="001D3B5C" w:rsidRDefault="00000000">
      <w:pPr>
        <w:pStyle w:val="Heading1"/>
      </w:pPr>
      <w:r>
        <w:lastRenderedPageBreak/>
        <w:t>12) Key Risks &amp; Mitigations</w:t>
      </w:r>
    </w:p>
    <w:p w14:paraId="3A455DC9" w14:textId="77777777" w:rsidR="001D3B5C" w:rsidRDefault="00000000">
      <w:r>
        <w:t>• Tokenism → Co‑creation with multiple local voices; show how guidance changed decisions.</w:t>
      </w:r>
    </w:p>
    <w:p w14:paraId="122BBD84" w14:textId="77777777" w:rsidR="001D3B5C" w:rsidRDefault="00000000">
      <w:r>
        <w:t>• Perceived bias → Multi‑party advisory inputs; transparent internal citations.</w:t>
      </w:r>
    </w:p>
    <w:p w14:paraId="33122E19" w14:textId="77777777" w:rsidR="001D3B5C" w:rsidRDefault="00000000">
      <w:r>
        <w:t>• Over‑reliance → Clear positioning and training that human judgment leads.</w:t>
      </w:r>
    </w:p>
    <w:p w14:paraId="5B7F30F3" w14:textId="77777777" w:rsidR="001D3B5C" w:rsidRDefault="00000000">
      <w:r>
        <w:t>• Change fatigue → Keep it pragmatic; embed in existing workflows.</w:t>
      </w:r>
    </w:p>
    <w:p w14:paraId="3985B923" w14:textId="77777777" w:rsidR="001D3B5C" w:rsidRDefault="00000000">
      <w:pPr>
        <w:pStyle w:val="Heading1"/>
      </w:pPr>
      <w:r>
        <w:t>13) Internal Competition Rubric — How We Score High</w:t>
      </w:r>
    </w:p>
    <w:p w14:paraId="5A1C4BE7" w14:textId="77777777" w:rsidR="001D3B5C" w:rsidRDefault="00000000">
      <w:r>
        <w:t>Impact: Money &amp; schedule first (−30–50% standby; faster endorsements).</w:t>
      </w:r>
    </w:p>
    <w:p w14:paraId="0A98D51B" w14:textId="77777777" w:rsidR="001D3B5C" w:rsidRDefault="00000000">
      <w:r>
        <w:t>Strategic fit: Safeguards social license for offshore ops; template for replication.</w:t>
      </w:r>
    </w:p>
    <w:p w14:paraId="24342DC6" w14:textId="77777777" w:rsidR="001D3B5C" w:rsidRDefault="00000000">
      <w:r>
        <w:t>Feasibility: Codifies and standardizes existing know‑how; low‑drama pilot.</w:t>
      </w:r>
    </w:p>
    <w:p w14:paraId="00CCCAEB" w14:textId="77777777" w:rsidR="001D3B5C" w:rsidRDefault="00000000">
      <w:r>
        <w:t>Differentiation: From advice to schedule; audit‑ready trail; two‑minute answers.</w:t>
      </w:r>
    </w:p>
    <w:p w14:paraId="4B913F82" w14:textId="77777777" w:rsidR="001D3B5C" w:rsidRDefault="00000000">
      <w:r>
        <w:t>Story: One crisp before/after story with planner/master quote.</w:t>
      </w:r>
    </w:p>
    <w:p w14:paraId="1E3E4987" w14:textId="77777777" w:rsidR="001D3B5C" w:rsidRDefault="00000000">
      <w:pPr>
        <w:pStyle w:val="Heading1"/>
      </w:pPr>
      <w:r>
        <w:t>14) Narrative &amp; Script</w:t>
      </w:r>
    </w:p>
    <w:p w14:paraId="5697832D" w14:textId="77777777" w:rsidR="001D3B5C" w:rsidRDefault="00000000">
      <w:r>
        <w:t>30‑second script:</w:t>
      </w:r>
    </w:p>
    <w:p w14:paraId="0D904BF6" w14:textId="77777777" w:rsidR="001D3B5C" w:rsidRDefault="00000000">
      <w:r>
        <w:t>“Every quarter we burn vessel hours not to engineering, but to coastal interactions we didn’t schedule. This Sampang copilot turns local unwritten rules into a timed playbook—who to call, what to say, when to go—cutting unplanned standby and escalations, and leaving an audit‑ready trail. We’ll prove it on the next nearshore window; if we don’t show a double‑digit standby reduction, we don’t scale it.”</w:t>
      </w:r>
    </w:p>
    <w:p w14:paraId="73BEE472" w14:textId="77777777" w:rsidR="001D3B5C" w:rsidRDefault="00000000">
      <w:r>
        <w:t>Taglines:</w:t>
      </w:r>
    </w:p>
    <w:p w14:paraId="7D4EDF93" w14:textId="77777777" w:rsidR="001D3B5C" w:rsidRDefault="00000000">
      <w:r>
        <w:t>• Plan once. Speak right. Move faster.</w:t>
      </w:r>
    </w:p>
    <w:p w14:paraId="55E3F579" w14:textId="77777777" w:rsidR="001D3B5C" w:rsidRDefault="00000000">
      <w:r>
        <w:t>• Local wisdom, operationalized.</w:t>
      </w:r>
    </w:p>
    <w:p w14:paraId="254D1287" w14:textId="77777777" w:rsidR="001D3B5C" w:rsidRDefault="00000000">
      <w:r>
        <w:t>• From ‘hope it’s fine’ to ‘we scheduled it.’</w:t>
      </w:r>
    </w:p>
    <w:p w14:paraId="18CC8A48" w14:textId="77777777" w:rsidR="001D3B5C" w:rsidRDefault="00000000">
      <w:pPr>
        <w:pStyle w:val="Heading1"/>
      </w:pPr>
      <w:r>
        <w:t>Appendix A — ROI Snapshot Template (One Page)</w:t>
      </w:r>
    </w:p>
    <w:p w14:paraId="79E19956" w14:textId="77777777" w:rsidR="001D3B5C" w:rsidRDefault="00000000">
      <w:r>
        <w:t>• Campaign name &amp; window</w:t>
      </w:r>
    </w:p>
    <w:p w14:paraId="5EC46663" w14:textId="77777777" w:rsidR="001D3B5C" w:rsidRDefault="00000000">
      <w:r>
        <w:t>• Baseline standby hours; causes categorized (coastal/community vs. others)</w:t>
      </w:r>
    </w:p>
    <w:p w14:paraId="2F98BE68" w14:textId="77777777" w:rsidR="001D3B5C" w:rsidRDefault="00000000">
      <w:r>
        <w:t>• Interventions taken (sequence, phrasing, no‑work windows)</w:t>
      </w:r>
    </w:p>
    <w:p w14:paraId="11CD587A" w14:textId="77777777" w:rsidR="001D3B5C" w:rsidRDefault="00000000">
      <w:r>
        <w:lastRenderedPageBreak/>
        <w:t>• Before/after metrics and savings math</w:t>
      </w:r>
    </w:p>
    <w:p w14:paraId="0DC7F8BF" w14:textId="77777777" w:rsidR="001D3B5C" w:rsidRDefault="00000000">
      <w:r>
        <w:t>• Quotes: planner/master; stakeholder rep</w:t>
      </w:r>
    </w:p>
    <w:p w14:paraId="4B9E623F" w14:textId="77777777" w:rsidR="001D3B5C" w:rsidRDefault="00000000">
      <w:pPr>
        <w:pStyle w:val="Heading1"/>
      </w:pPr>
      <w:r>
        <w:t>Appendix B — Mini Demo Sheet (One Page)</w:t>
      </w:r>
    </w:p>
    <w:p w14:paraId="162BE0D5" w14:textId="77777777" w:rsidR="001D3B5C" w:rsidRDefault="00000000">
      <w:r>
        <w:t>• Stakeholder sequence for Sampang (example order)</w:t>
      </w:r>
    </w:p>
    <w:p w14:paraId="2C5D0BF8" w14:textId="77777777" w:rsidR="001D3B5C" w:rsidRDefault="00000000">
      <w:r>
        <w:t>• Phrasing examples (do/don’t)</w:t>
      </w:r>
    </w:p>
    <w:p w14:paraId="08A0F29A" w14:textId="77777777" w:rsidR="001D3B5C" w:rsidRDefault="00000000">
      <w:r>
        <w:t>• No‑work window examples (festival/religious/market days)</w:t>
      </w:r>
    </w:p>
    <w:p w14:paraId="2187B8B1" w14:textId="77777777" w:rsidR="001D3B5C" w:rsidRDefault="00000000">
      <w:r>
        <w:t>• Audit trail snippet (what was checked, when, by whom)</w:t>
      </w:r>
    </w:p>
    <w:p w14:paraId="6EC5215C" w14:textId="77777777" w:rsidR="001D3B5C" w:rsidRDefault="00000000">
      <w:pPr>
        <w:pStyle w:val="Heading1"/>
      </w:pPr>
      <w:r>
        <w:t>Appendix C — Example Marine Etiquette Pack (For Masters)</w:t>
      </w:r>
    </w:p>
    <w:p w14:paraId="1B9DB611" w14:textId="77777777" w:rsidR="001D3B5C" w:rsidRDefault="00000000">
      <w:r>
        <w:t>• Ten rules for coastal approaches and interactions</w:t>
      </w:r>
    </w:p>
    <w:p w14:paraId="0C5E7688" w14:textId="77777777" w:rsidR="001D3B5C" w:rsidRDefault="00000000">
      <w:r>
        <w:t>• Five phrases to use; five to avoid (local tone)</w:t>
      </w:r>
    </w:p>
    <w:p w14:paraId="1EF5F668" w14:textId="77777777" w:rsidR="001D3B5C" w:rsidRDefault="00000000">
      <w:r>
        <w:t>• Escalation ladder and contacts (internal)</w:t>
      </w:r>
    </w:p>
    <w:p w14:paraId="5CFAB3B2" w14:textId="77777777" w:rsidR="001D3B5C" w:rsidRDefault="001D3B5C"/>
    <w:p w14:paraId="18CC8B2F" w14:textId="2FF1D382" w:rsidR="001D3B5C" w:rsidRDefault="00000000">
      <w:r>
        <w:rPr>
          <w:i/>
          <w:sz w:val="18"/>
        </w:rPr>
        <w:t>Confidential — Internal to PETRONAS.</w:t>
      </w:r>
    </w:p>
    <w:sectPr w:rsidR="001D3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807414">
    <w:abstractNumId w:val="8"/>
  </w:num>
  <w:num w:numId="2" w16cid:durableId="1463958268">
    <w:abstractNumId w:val="6"/>
  </w:num>
  <w:num w:numId="3" w16cid:durableId="1389301381">
    <w:abstractNumId w:val="5"/>
  </w:num>
  <w:num w:numId="4" w16cid:durableId="926618523">
    <w:abstractNumId w:val="4"/>
  </w:num>
  <w:num w:numId="5" w16cid:durableId="1074207115">
    <w:abstractNumId w:val="7"/>
  </w:num>
  <w:num w:numId="6" w16cid:durableId="1790467282">
    <w:abstractNumId w:val="3"/>
  </w:num>
  <w:num w:numId="7" w16cid:durableId="847673319">
    <w:abstractNumId w:val="2"/>
  </w:num>
  <w:num w:numId="8" w16cid:durableId="918094986">
    <w:abstractNumId w:val="1"/>
  </w:num>
  <w:num w:numId="9" w16cid:durableId="64219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B5C"/>
    <w:rsid w:val="0029639D"/>
    <w:rsid w:val="00326F90"/>
    <w:rsid w:val="00694AE7"/>
    <w:rsid w:val="00AA1D8D"/>
    <w:rsid w:val="00B47730"/>
    <w:rsid w:val="00CB0664"/>
    <w:rsid w:val="00FA0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E6751"/>
  <w14:defaultImageDpi w14:val="300"/>
  <w15:docId w15:val="{3FCDC56D-0393-4BC2-A90A-1AA07E3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Nugroho, -</cp:lastModifiedBy>
  <cp:revision>2</cp:revision>
  <dcterms:created xsi:type="dcterms:W3CDTF">2013-12-23T23:15:00Z</dcterms:created>
  <dcterms:modified xsi:type="dcterms:W3CDTF">2025-09-05T15:42:00Z</dcterms:modified>
  <cp:category/>
</cp:coreProperties>
</file>