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C7F60C7" w14:textId="13B88640" w:rsidR="00D72A49" w:rsidRPr="005F340D" w:rsidRDefault="00B879D1" w:rsidP="00D72A49">
      <w:pPr>
        <w:jc w:val="center"/>
        <w:rPr>
          <w:rFonts w:ascii="Times New Roman" w:hAnsi="Times New Roman" w:cs="Times New Roman"/>
          <w:b/>
          <w:bCs/>
          <w:sz w:val="28"/>
          <w:szCs w:val="26"/>
        </w:rPr>
      </w:pPr>
      <w:r w:rsidRPr="005F340D">
        <w:rPr>
          <w:rFonts w:ascii="Times New Roman" w:hAnsi="Times New Roman" w:cs="Times New Roman"/>
          <w:b/>
          <w:bCs/>
          <w:sz w:val="28"/>
          <w:szCs w:val="26"/>
        </w:rPr>
        <w:t>HIST250 – Introduction to Philippines History and Culture</w:t>
      </w:r>
    </w:p>
    <w:p w14:paraId="3DB0A3CF" w14:textId="5D222987" w:rsidR="00D72A49" w:rsidRPr="005F340D" w:rsidRDefault="00B879D1" w:rsidP="00D72A49">
      <w:pPr>
        <w:jc w:val="center"/>
        <w:rPr>
          <w:rFonts w:ascii="Times New Roman" w:hAnsi="Times New Roman" w:cs="Times New Roman"/>
          <w:b/>
          <w:bCs/>
          <w:sz w:val="28"/>
          <w:szCs w:val="26"/>
        </w:rPr>
      </w:pPr>
      <w:r w:rsidRPr="005F340D">
        <w:rPr>
          <w:rFonts w:ascii="Times New Roman" w:hAnsi="Times New Roman" w:cs="Times New Roman"/>
          <w:b/>
          <w:bCs/>
          <w:sz w:val="28"/>
          <w:szCs w:val="26"/>
        </w:rPr>
        <w:t>Offshore Trimester 3 -</w:t>
      </w:r>
      <w:r w:rsidR="00D72A49" w:rsidRPr="005F340D">
        <w:rPr>
          <w:rFonts w:ascii="Times New Roman" w:hAnsi="Times New Roman" w:cs="Times New Roman"/>
          <w:b/>
          <w:bCs/>
          <w:sz w:val="28"/>
          <w:szCs w:val="26"/>
        </w:rPr>
        <w:t xml:space="preserve"> 202</w:t>
      </w:r>
      <w:r w:rsidRPr="005F340D">
        <w:rPr>
          <w:rFonts w:ascii="Times New Roman" w:hAnsi="Times New Roman" w:cs="Times New Roman"/>
          <w:b/>
          <w:bCs/>
          <w:sz w:val="28"/>
          <w:szCs w:val="26"/>
        </w:rPr>
        <w:t>5</w:t>
      </w:r>
    </w:p>
    <w:p w14:paraId="66B0F627" w14:textId="56BA3D42" w:rsidR="002718CE" w:rsidRPr="005F340D" w:rsidRDefault="002718CE">
      <w:pPr>
        <w:rPr>
          <w:rFonts w:ascii="Times New Roman" w:hAnsi="Times New Roman" w:cs="Times New Roman"/>
        </w:rPr>
      </w:pPr>
    </w:p>
    <w:p w14:paraId="2DE0352C" w14:textId="6F2FD56C" w:rsidR="002718CE" w:rsidRPr="005F340D" w:rsidRDefault="001124BD" w:rsidP="002718CE">
      <w:pPr>
        <w:jc w:val="center"/>
        <w:rPr>
          <w:rFonts w:ascii="Times New Roman" w:hAnsi="Times New Roman" w:cs="Times New Roman"/>
          <w:i/>
          <w:iCs/>
        </w:rPr>
      </w:pPr>
      <w:r w:rsidRPr="005F340D">
        <w:rPr>
          <w:rFonts w:ascii="Times New Roman" w:hAnsi="Times New Roman" w:cs="Times New Roman"/>
          <w:i/>
          <w:iCs/>
        </w:rPr>
        <w:t>Obelisk of Gomburza -</w:t>
      </w:r>
      <w:r w:rsidR="005F340D" w:rsidRPr="005F340D">
        <w:rPr>
          <w:rFonts w:ascii="Times New Roman" w:hAnsi="Times New Roman" w:cs="Times New Roman"/>
          <w:i/>
          <w:iCs/>
        </w:rPr>
        <w:t xml:space="preserve"> </w:t>
      </w:r>
      <w:r w:rsidRPr="005F340D">
        <w:rPr>
          <w:rFonts w:ascii="Times New Roman" w:hAnsi="Times New Roman" w:cs="Times New Roman"/>
          <w:i/>
          <w:iCs/>
        </w:rPr>
        <w:t xml:space="preserve">UNESCO </w:t>
      </w:r>
      <w:r w:rsidR="005F340D" w:rsidRPr="005F340D">
        <w:rPr>
          <w:rFonts w:ascii="Times New Roman" w:hAnsi="Times New Roman" w:cs="Times New Roman"/>
          <w:i/>
          <w:iCs/>
        </w:rPr>
        <w:t>Heritage Analysis</w:t>
      </w:r>
    </w:p>
    <w:p w14:paraId="2B922DB3" w14:textId="3B462E66" w:rsidR="001124BD" w:rsidRPr="005F340D" w:rsidRDefault="001124BD" w:rsidP="002718CE">
      <w:pPr>
        <w:jc w:val="center"/>
        <w:rPr>
          <w:rFonts w:ascii="Times New Roman" w:hAnsi="Times New Roman" w:cs="Times New Roman"/>
          <w:i/>
          <w:iCs/>
        </w:rPr>
      </w:pPr>
    </w:p>
    <w:p w14:paraId="3FEA56C6" w14:textId="74796214" w:rsidR="005F340D" w:rsidRPr="005F340D" w:rsidRDefault="005F340D" w:rsidP="002718CE">
      <w:pPr>
        <w:jc w:val="center"/>
        <w:rPr>
          <w:rFonts w:ascii="Times New Roman" w:hAnsi="Times New Roman" w:cs="Times New Roman"/>
          <w:i/>
          <w:iCs/>
        </w:rPr>
      </w:pPr>
      <w:r w:rsidRPr="005F340D">
        <w:rPr>
          <w:rFonts w:ascii="Times New Roman" w:hAnsi="Times New Roman" w:cs="Times New Roman"/>
          <w:i/>
          <w:iCs/>
        </w:rPr>
        <w:t>14.582375792274158, 120.97720809967554</w:t>
      </w:r>
    </w:p>
    <w:p w14:paraId="73D69E26" w14:textId="61F78176" w:rsidR="005F340D" w:rsidRPr="005F340D" w:rsidRDefault="005F340D" w:rsidP="002718CE">
      <w:pPr>
        <w:jc w:val="center"/>
        <w:rPr>
          <w:rFonts w:ascii="Times New Roman" w:hAnsi="Times New Roman" w:cs="Times New Roman"/>
          <w:i/>
          <w:iCs/>
        </w:rPr>
      </w:pPr>
      <w:r w:rsidRPr="005F340D">
        <w:rPr>
          <w:rFonts w:ascii="Times New Roman" w:hAnsi="Times New Roman" w:cs="Times New Roman"/>
          <w:i/>
          <w:iCs/>
        </w:rPr>
        <w:t>Luneta Park, Ermita, Manila, 1000 Metro Manila, Philippines</w:t>
      </w:r>
    </w:p>
    <w:p w14:paraId="054723B3" w14:textId="6F2E6794" w:rsidR="005F340D" w:rsidRPr="005F340D" w:rsidRDefault="005F340D" w:rsidP="001124BD">
      <w:pPr>
        <w:jc w:val="both"/>
        <w:rPr>
          <w:rFonts w:ascii="Times New Roman" w:hAnsi="Times New Roman" w:cs="Times New Roman"/>
          <w:i/>
          <w:iCs/>
        </w:rPr>
      </w:pPr>
      <w:r w:rsidRPr="005F340D">
        <w:rPr>
          <w:rFonts w:ascii="Times New Roman" w:hAnsi="Times New Roman" w:cs="Times New Roman"/>
          <w:noProof/>
        </w:rPr>
        <w:drawing>
          <wp:anchor distT="0" distB="0" distL="114300" distR="114300" simplePos="0" relativeHeight="251658240" behindDoc="0" locked="0" layoutInCell="1" allowOverlap="1" wp14:anchorId="263B7B3D" wp14:editId="41FB8299">
            <wp:simplePos x="0" y="0"/>
            <wp:positionH relativeFrom="column">
              <wp:posOffset>1252855</wp:posOffset>
            </wp:positionH>
            <wp:positionV relativeFrom="paragraph">
              <wp:posOffset>232833</wp:posOffset>
            </wp:positionV>
            <wp:extent cx="3221355" cy="1811655"/>
            <wp:effectExtent l="0" t="0" r="4445" b="4445"/>
            <wp:wrapTopAndBottom/>
            <wp:docPr id="1689082212" name="Picture 1" descr="A monument in a pa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082212" name="Picture 1" descr="A monument in a park&#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3221355" cy="1811655"/>
                    </a:xfrm>
                    <a:prstGeom prst="rect">
                      <a:avLst/>
                    </a:prstGeom>
                  </pic:spPr>
                </pic:pic>
              </a:graphicData>
            </a:graphic>
            <wp14:sizeRelH relativeFrom="page">
              <wp14:pctWidth>0</wp14:pctWidth>
            </wp14:sizeRelH>
            <wp14:sizeRelV relativeFrom="page">
              <wp14:pctHeight>0</wp14:pctHeight>
            </wp14:sizeRelV>
          </wp:anchor>
        </w:drawing>
      </w:r>
    </w:p>
    <w:p w14:paraId="30198B0A" w14:textId="1516BB92" w:rsidR="005F340D" w:rsidRPr="005F340D" w:rsidRDefault="005F340D" w:rsidP="001124BD">
      <w:pPr>
        <w:jc w:val="both"/>
        <w:rPr>
          <w:rFonts w:ascii="Times New Roman" w:hAnsi="Times New Roman" w:cs="Times New Roman"/>
        </w:rPr>
      </w:pPr>
    </w:p>
    <w:p w14:paraId="4EF16AAC" w14:textId="278265A1" w:rsidR="005F340D" w:rsidRPr="005F340D" w:rsidRDefault="005F340D" w:rsidP="005F340D">
      <w:pPr>
        <w:rPr>
          <w:rFonts w:ascii="Times New Roman" w:hAnsi="Times New Roman" w:cs="Times New Roman"/>
        </w:rPr>
      </w:pPr>
      <w:r w:rsidRPr="005F340D">
        <w:rPr>
          <w:rFonts w:ascii="Times New Roman" w:hAnsi="Times New Roman" w:cs="Times New Roman"/>
        </w:rPr>
        <w:t>The Obelisk of Gomburza marks the place where three priests – turned martyrs – were executed by Spanish authorities in 1872. The Filipino priests, Mariano Gomez, José Burgos, and Jacinto Zamora were charged with subversion, treason, and sedition on the 15</w:t>
      </w:r>
      <w:r w:rsidRPr="005F340D">
        <w:rPr>
          <w:rFonts w:ascii="Times New Roman" w:hAnsi="Times New Roman" w:cs="Times New Roman"/>
          <w:vertAlign w:val="superscript"/>
        </w:rPr>
        <w:t>th</w:t>
      </w:r>
      <w:r w:rsidRPr="005F340D">
        <w:rPr>
          <w:rFonts w:ascii="Times New Roman" w:hAnsi="Times New Roman" w:cs="Times New Roman"/>
        </w:rPr>
        <w:t xml:space="preserve"> of February, and executed by garrotte two days later, in the exact spot this obelisk stands. </w:t>
      </w:r>
    </w:p>
    <w:p w14:paraId="0FD25FF3" w14:textId="484AA763" w:rsidR="005F340D" w:rsidRPr="005F340D" w:rsidRDefault="005F340D" w:rsidP="005F340D">
      <w:pPr>
        <w:rPr>
          <w:rFonts w:ascii="Times New Roman" w:hAnsi="Times New Roman" w:cs="Times New Roman"/>
        </w:rPr>
      </w:pPr>
    </w:p>
    <w:p w14:paraId="781F0771" w14:textId="52DA8559" w:rsidR="005F340D" w:rsidRPr="005F340D" w:rsidRDefault="005F340D" w:rsidP="005F340D">
      <w:pPr>
        <w:rPr>
          <w:rFonts w:ascii="Times New Roman" w:hAnsi="Times New Roman" w:cs="Times New Roman"/>
        </w:rPr>
      </w:pPr>
      <w:r w:rsidRPr="005F340D">
        <w:rPr>
          <w:rFonts w:ascii="Times New Roman" w:hAnsi="Times New Roman" w:cs="Times New Roman"/>
        </w:rPr>
        <w:t>Luneta Park (or Rizal Park) was known as Bagumbayan during the Spanish rule and was the place of execution for many Filipinos who bravely combatted the Spanish colonial empire. The beauty and tranquillity of the park contrasts against its history as a ‘killing field’, where colonialists could witness of executions – it was at Bagumbayan where enemies of the Spanish rule were shot, garrotted or hanged.</w:t>
      </w:r>
      <w:r w:rsidRPr="005F340D">
        <w:rPr>
          <w:rStyle w:val="FootnoteReference"/>
          <w:rFonts w:ascii="Times New Roman" w:hAnsi="Times New Roman" w:cs="Times New Roman"/>
        </w:rPr>
        <w:footnoteReference w:id="1"/>
      </w:r>
      <w:r w:rsidRPr="005F340D">
        <w:rPr>
          <w:rFonts w:ascii="Times New Roman" w:hAnsi="Times New Roman" w:cs="Times New Roman"/>
        </w:rPr>
        <w:t xml:space="preserve"> </w:t>
      </w:r>
    </w:p>
    <w:p w14:paraId="3E871EDF" w14:textId="77777777" w:rsidR="005F340D" w:rsidRPr="005F340D" w:rsidRDefault="005F340D" w:rsidP="005F340D">
      <w:pPr>
        <w:rPr>
          <w:rFonts w:ascii="Times New Roman" w:hAnsi="Times New Roman" w:cs="Times New Roman"/>
        </w:rPr>
      </w:pPr>
    </w:p>
    <w:p w14:paraId="5E765F3D" w14:textId="77777777" w:rsidR="005F340D" w:rsidRPr="005F340D" w:rsidRDefault="005F340D" w:rsidP="005F340D">
      <w:pPr>
        <w:rPr>
          <w:rFonts w:ascii="Times New Roman" w:hAnsi="Times New Roman" w:cs="Times New Roman"/>
        </w:rPr>
      </w:pPr>
      <w:r w:rsidRPr="005F340D">
        <w:rPr>
          <w:rFonts w:ascii="Times New Roman" w:hAnsi="Times New Roman" w:cs="Times New Roman"/>
        </w:rPr>
        <w:t xml:space="preserve">Gomburza is a portmanteau of the three father’s surnames: </w:t>
      </w:r>
      <w:r w:rsidRPr="005F340D">
        <w:rPr>
          <w:rFonts w:ascii="Times New Roman" w:hAnsi="Times New Roman" w:cs="Times New Roman"/>
          <w:i/>
          <w:iCs/>
        </w:rPr>
        <w:t>Gom</w:t>
      </w:r>
      <w:r w:rsidRPr="005F340D">
        <w:rPr>
          <w:rFonts w:ascii="Times New Roman" w:hAnsi="Times New Roman" w:cs="Times New Roman"/>
        </w:rPr>
        <w:t xml:space="preserve"> for </w:t>
      </w:r>
      <w:r w:rsidRPr="005F340D">
        <w:rPr>
          <w:rFonts w:ascii="Times New Roman" w:hAnsi="Times New Roman" w:cs="Times New Roman"/>
          <w:u w:val="single"/>
        </w:rPr>
        <w:t>Góm</w:t>
      </w:r>
      <w:r w:rsidRPr="005F340D">
        <w:rPr>
          <w:rFonts w:ascii="Times New Roman" w:hAnsi="Times New Roman" w:cs="Times New Roman"/>
        </w:rPr>
        <w:t xml:space="preserve">es, </w:t>
      </w:r>
      <w:r w:rsidRPr="005F340D">
        <w:rPr>
          <w:rFonts w:ascii="Times New Roman" w:hAnsi="Times New Roman" w:cs="Times New Roman"/>
          <w:i/>
          <w:iCs/>
        </w:rPr>
        <w:t>Bur</w:t>
      </w:r>
      <w:r w:rsidRPr="005F340D">
        <w:rPr>
          <w:rFonts w:ascii="Times New Roman" w:hAnsi="Times New Roman" w:cs="Times New Roman"/>
        </w:rPr>
        <w:t xml:space="preserve"> for </w:t>
      </w:r>
      <w:r w:rsidRPr="005F340D">
        <w:rPr>
          <w:rFonts w:ascii="Times New Roman" w:hAnsi="Times New Roman" w:cs="Times New Roman"/>
          <w:u w:val="single"/>
        </w:rPr>
        <w:t>Bur</w:t>
      </w:r>
      <w:r w:rsidRPr="005F340D">
        <w:rPr>
          <w:rFonts w:ascii="Times New Roman" w:hAnsi="Times New Roman" w:cs="Times New Roman"/>
        </w:rPr>
        <w:t xml:space="preserve">gos, and </w:t>
      </w:r>
      <w:r w:rsidRPr="005F340D">
        <w:rPr>
          <w:rFonts w:ascii="Times New Roman" w:hAnsi="Times New Roman" w:cs="Times New Roman"/>
          <w:i/>
          <w:iCs/>
        </w:rPr>
        <w:t>Za</w:t>
      </w:r>
      <w:r w:rsidRPr="005F340D">
        <w:rPr>
          <w:rFonts w:ascii="Times New Roman" w:hAnsi="Times New Roman" w:cs="Times New Roman"/>
        </w:rPr>
        <w:t xml:space="preserve"> for </w:t>
      </w:r>
      <w:r w:rsidRPr="005F340D">
        <w:rPr>
          <w:rFonts w:ascii="Times New Roman" w:hAnsi="Times New Roman" w:cs="Times New Roman"/>
          <w:u w:val="single"/>
        </w:rPr>
        <w:t>Za</w:t>
      </w:r>
      <w:r w:rsidRPr="005F340D">
        <w:rPr>
          <w:rFonts w:ascii="Times New Roman" w:hAnsi="Times New Roman" w:cs="Times New Roman"/>
        </w:rPr>
        <w:t>mora. The three men were priests engaged in the secularization of the Philippines, strongly advocating for the rights of clergymen who were not allowed to govern due to their race, and perceived inferiority to the Europeans.</w:t>
      </w:r>
      <w:r w:rsidRPr="005F340D">
        <w:rPr>
          <w:rStyle w:val="FootnoteReference"/>
          <w:rFonts w:ascii="Times New Roman" w:hAnsi="Times New Roman" w:cs="Times New Roman"/>
        </w:rPr>
        <w:footnoteReference w:id="2"/>
      </w:r>
      <w:r w:rsidRPr="005F340D">
        <w:rPr>
          <w:rFonts w:ascii="Times New Roman" w:hAnsi="Times New Roman" w:cs="Times New Roman"/>
        </w:rPr>
        <w:t xml:space="preserve"> Father José burgos in particular was advocating for Filipino priests’ right to administer parishes and assume leadership within the Catholic Church, challenging the institutional bias that favoured the friars of European descent. </w:t>
      </w:r>
    </w:p>
    <w:p w14:paraId="27475DDC" w14:textId="77777777" w:rsidR="005F340D" w:rsidRPr="005F340D" w:rsidRDefault="005F340D" w:rsidP="005F340D">
      <w:pPr>
        <w:rPr>
          <w:rFonts w:ascii="Times New Roman" w:hAnsi="Times New Roman" w:cs="Times New Roman"/>
        </w:rPr>
      </w:pPr>
    </w:p>
    <w:p w14:paraId="1F97761A" w14:textId="50D698C5" w:rsidR="005F340D" w:rsidRPr="005F340D" w:rsidRDefault="005F340D" w:rsidP="005F340D">
      <w:pPr>
        <w:rPr>
          <w:rFonts w:ascii="Times New Roman" w:hAnsi="Times New Roman" w:cs="Times New Roman"/>
        </w:rPr>
      </w:pPr>
      <w:r w:rsidRPr="005F340D">
        <w:rPr>
          <w:rFonts w:ascii="Times New Roman" w:hAnsi="Times New Roman" w:cs="Times New Roman"/>
        </w:rPr>
        <w:t>The advocacy of the fathers became entangled in the Cavite Mutiny of 1872, an uprising at Fort San Felipe, where 200 local labourers and soldiers rose against the colonial powers in hopes they would start a national uprising. Spanish officials, who were eager to quell further resistance, used the mutiny as an opportunity to arrest and put the three priests on trial, despite a lack of evidence linking Gomburza to that rebellion movement.</w:t>
      </w:r>
      <w:r w:rsidRPr="005F340D">
        <w:rPr>
          <w:rStyle w:val="FootnoteReference"/>
          <w:rFonts w:ascii="Times New Roman" w:hAnsi="Times New Roman" w:cs="Times New Roman"/>
        </w:rPr>
        <w:footnoteReference w:id="3"/>
      </w:r>
      <w:r w:rsidRPr="005F340D">
        <w:rPr>
          <w:rFonts w:ascii="Times New Roman" w:hAnsi="Times New Roman" w:cs="Times New Roman"/>
        </w:rPr>
        <w:t xml:space="preserve"> Charged and convicted of ‘subversion’, Gomburza were publicly garrotted two days later in Bagumbayan. </w:t>
      </w:r>
      <w:r>
        <w:rPr>
          <w:rFonts w:ascii="Times New Roman" w:hAnsi="Times New Roman" w:cs="Times New Roman"/>
        </w:rPr>
        <w:t>Their deaths were intended to serve as a warning to those who opposed the Spanish rule.</w:t>
      </w:r>
      <w:r>
        <w:rPr>
          <w:rStyle w:val="FootnoteReference"/>
          <w:rFonts w:ascii="Times New Roman" w:hAnsi="Times New Roman" w:cs="Times New Roman"/>
        </w:rPr>
        <w:footnoteReference w:id="4"/>
      </w:r>
    </w:p>
    <w:p w14:paraId="1606D167" w14:textId="4DE91867" w:rsidR="005F340D" w:rsidRPr="005F340D" w:rsidRDefault="005F340D" w:rsidP="005F340D">
      <w:pPr>
        <w:rPr>
          <w:rFonts w:ascii="Times New Roman" w:hAnsi="Times New Roman" w:cs="Times New Roman"/>
        </w:rPr>
      </w:pPr>
      <w:r w:rsidRPr="005F340D">
        <w:rPr>
          <w:rFonts w:ascii="Times New Roman" w:hAnsi="Times New Roman" w:cs="Times New Roman"/>
          <w:noProof/>
        </w:rPr>
        <w:lastRenderedPageBreak/>
        <w:drawing>
          <wp:anchor distT="0" distB="0" distL="114300" distR="114300" simplePos="0" relativeHeight="251660288" behindDoc="0" locked="0" layoutInCell="1" allowOverlap="1" wp14:anchorId="7C038D32" wp14:editId="2F85FB04">
            <wp:simplePos x="0" y="0"/>
            <wp:positionH relativeFrom="column">
              <wp:posOffset>990388</wp:posOffset>
            </wp:positionH>
            <wp:positionV relativeFrom="paragraph">
              <wp:posOffset>216535</wp:posOffset>
            </wp:positionV>
            <wp:extent cx="3902710" cy="2624455"/>
            <wp:effectExtent l="0" t="0" r="0" b="4445"/>
            <wp:wrapTopAndBottom/>
            <wp:docPr id="567034325" name="Picture 1" descr="A plaque with gold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034325" name="Picture 1" descr="A plaque with gold text on it&#10;&#10;AI-generated content may be incorrect."/>
                    <pic:cNvPicPr/>
                  </pic:nvPicPr>
                  <pic:blipFill rotWithShape="1">
                    <a:blip r:embed="rId8" cstate="print">
                      <a:extLst>
                        <a:ext uri="{28A0092B-C50C-407E-A947-70E740481C1C}">
                          <a14:useLocalDpi xmlns:a14="http://schemas.microsoft.com/office/drawing/2010/main" val="0"/>
                        </a:ext>
                      </a:extLst>
                    </a:blip>
                    <a:srcRect l="14034" t="9192" r="17867" b="9396"/>
                    <a:stretch>
                      <a:fillRect/>
                    </a:stretch>
                  </pic:blipFill>
                  <pic:spPr bwMode="auto">
                    <a:xfrm>
                      <a:off x="0" y="0"/>
                      <a:ext cx="3902710" cy="26244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52DCD46" w14:textId="77777777" w:rsidR="005F340D" w:rsidRDefault="005F340D" w:rsidP="005F340D">
      <w:pPr>
        <w:rPr>
          <w:rFonts w:ascii="Times New Roman" w:hAnsi="Times New Roman" w:cs="Times New Roman"/>
        </w:rPr>
      </w:pPr>
    </w:p>
    <w:p w14:paraId="222A1B13" w14:textId="5D2E8E11" w:rsidR="005F340D" w:rsidRDefault="005F340D" w:rsidP="005F340D">
      <w:pPr>
        <w:rPr>
          <w:rFonts w:ascii="Times New Roman" w:hAnsi="Times New Roman" w:cs="Times New Roman"/>
        </w:rPr>
      </w:pPr>
      <w:r w:rsidRPr="005F340D">
        <w:rPr>
          <w:rFonts w:ascii="Times New Roman" w:hAnsi="Times New Roman" w:cs="Times New Roman"/>
        </w:rPr>
        <w:t>Despite the intentions of the colonialists, the execution</w:t>
      </w:r>
      <w:r>
        <w:rPr>
          <w:rFonts w:ascii="Times New Roman" w:hAnsi="Times New Roman" w:cs="Times New Roman"/>
        </w:rPr>
        <w:t>s</w:t>
      </w:r>
      <w:r w:rsidRPr="005F340D">
        <w:rPr>
          <w:rFonts w:ascii="Times New Roman" w:hAnsi="Times New Roman" w:cs="Times New Roman"/>
        </w:rPr>
        <w:t xml:space="preserve"> of Fathers Gómez, Burgos, and Zamora did not silence the calls for reform. </w:t>
      </w:r>
      <w:r>
        <w:rPr>
          <w:rFonts w:ascii="Times New Roman" w:hAnsi="Times New Roman" w:cs="Times New Roman"/>
        </w:rPr>
        <w:t>Instead, t</w:t>
      </w:r>
      <w:r w:rsidRPr="005F340D">
        <w:rPr>
          <w:rFonts w:ascii="Times New Roman" w:hAnsi="Times New Roman" w:cs="Times New Roman"/>
        </w:rPr>
        <w:t>he</w:t>
      </w:r>
      <w:r>
        <w:rPr>
          <w:rFonts w:ascii="Times New Roman" w:hAnsi="Times New Roman" w:cs="Times New Roman"/>
        </w:rPr>
        <w:t>ir</w:t>
      </w:r>
      <w:r w:rsidRPr="005F340D">
        <w:rPr>
          <w:rFonts w:ascii="Times New Roman" w:hAnsi="Times New Roman" w:cs="Times New Roman"/>
        </w:rPr>
        <w:t xml:space="preserve"> deaths ignited the </w:t>
      </w:r>
      <w:r>
        <w:rPr>
          <w:rFonts w:ascii="Times New Roman" w:hAnsi="Times New Roman" w:cs="Times New Roman"/>
        </w:rPr>
        <w:t xml:space="preserve">national </w:t>
      </w:r>
      <w:r w:rsidRPr="005F340D">
        <w:rPr>
          <w:rFonts w:ascii="Times New Roman" w:hAnsi="Times New Roman" w:cs="Times New Roman"/>
        </w:rPr>
        <w:t>consciousness, insp</w:t>
      </w:r>
      <w:r>
        <w:rPr>
          <w:rFonts w:ascii="Times New Roman" w:hAnsi="Times New Roman" w:cs="Times New Roman"/>
        </w:rPr>
        <w:t>i</w:t>
      </w:r>
      <w:r w:rsidRPr="005F340D">
        <w:rPr>
          <w:rFonts w:ascii="Times New Roman" w:hAnsi="Times New Roman" w:cs="Times New Roman"/>
        </w:rPr>
        <w:t xml:space="preserve">ring a new generation of Filipino reformers and revolutionists. The </w:t>
      </w:r>
      <w:r>
        <w:rPr>
          <w:rFonts w:ascii="Times New Roman" w:hAnsi="Times New Roman" w:cs="Times New Roman"/>
        </w:rPr>
        <w:t xml:space="preserve">Cavite </w:t>
      </w:r>
      <w:r w:rsidRPr="005F340D">
        <w:rPr>
          <w:rFonts w:ascii="Times New Roman" w:hAnsi="Times New Roman" w:cs="Times New Roman"/>
        </w:rPr>
        <w:t>mutiny, while unsuccessful in that moment, is now considered to be one of the anchors of Filipino nationalism that lead to the eventual Philippine revolution.</w:t>
      </w:r>
      <w:r w:rsidRPr="005F340D">
        <w:rPr>
          <w:rStyle w:val="FootnoteReference"/>
          <w:rFonts w:ascii="Times New Roman" w:hAnsi="Times New Roman" w:cs="Times New Roman"/>
        </w:rPr>
        <w:footnoteReference w:id="5"/>
      </w:r>
      <w:r w:rsidRPr="005F340D">
        <w:rPr>
          <w:rFonts w:ascii="Times New Roman" w:hAnsi="Times New Roman" w:cs="Times New Roman"/>
        </w:rPr>
        <w:t xml:space="preserve"> </w:t>
      </w:r>
      <w:r>
        <w:rPr>
          <w:rFonts w:ascii="Times New Roman" w:hAnsi="Times New Roman" w:cs="Times New Roman"/>
        </w:rPr>
        <w:t xml:space="preserve"> </w:t>
      </w:r>
      <w:r w:rsidRPr="005F340D">
        <w:rPr>
          <w:rFonts w:ascii="Times New Roman" w:hAnsi="Times New Roman" w:cs="Times New Roman"/>
        </w:rPr>
        <w:t>José Rizal, who would later become the national hero of the Philippines, would dedicate his second novel to Gomburza.</w:t>
      </w:r>
      <w:r w:rsidRPr="005F340D">
        <w:rPr>
          <w:rStyle w:val="FootnoteReference"/>
          <w:rFonts w:ascii="Times New Roman" w:hAnsi="Times New Roman" w:cs="Times New Roman"/>
        </w:rPr>
        <w:footnoteReference w:id="6"/>
      </w:r>
      <w:r w:rsidRPr="005F340D">
        <w:rPr>
          <w:rFonts w:ascii="Times New Roman" w:hAnsi="Times New Roman" w:cs="Times New Roman"/>
        </w:rPr>
        <w:t xml:space="preserve"> The forward in </w:t>
      </w:r>
      <w:r w:rsidRPr="005F340D">
        <w:rPr>
          <w:rFonts w:ascii="Times New Roman" w:hAnsi="Times New Roman" w:cs="Times New Roman"/>
          <w:i/>
          <w:iCs/>
        </w:rPr>
        <w:t xml:space="preserve">El Filibusterismo </w:t>
      </w:r>
      <w:r w:rsidRPr="005F340D">
        <w:rPr>
          <w:rFonts w:ascii="Times New Roman" w:hAnsi="Times New Roman" w:cs="Times New Roman"/>
        </w:rPr>
        <w:t xml:space="preserve">immortalizes the fathers not just as victims of fierce and harsh oppression but also as catalysts for enlightenment and progression – as martyrs for a just cause. The motif of martyrdom is one that is very common in the commemoration of those who fought for the Philippine revolution. </w:t>
      </w:r>
    </w:p>
    <w:p w14:paraId="375D26E3" w14:textId="77777777" w:rsidR="005F340D" w:rsidRDefault="005F340D" w:rsidP="005F340D">
      <w:pPr>
        <w:rPr>
          <w:rFonts w:ascii="Times New Roman" w:hAnsi="Times New Roman" w:cs="Times New Roman"/>
        </w:rPr>
      </w:pPr>
    </w:p>
    <w:p w14:paraId="57A39A93" w14:textId="7150D0A1" w:rsidR="005F340D" w:rsidRPr="005F340D" w:rsidRDefault="005F340D" w:rsidP="005F340D">
      <w:pPr>
        <w:rPr>
          <w:rFonts w:ascii="Times New Roman" w:hAnsi="Times New Roman" w:cs="Times New Roman"/>
        </w:rPr>
      </w:pPr>
      <w:r w:rsidRPr="005F340D">
        <w:rPr>
          <w:rFonts w:ascii="Times New Roman" w:hAnsi="Times New Roman" w:cs="Times New Roman"/>
        </w:rPr>
        <w:t xml:space="preserve">The interest of this smaller obelisk, positioned at the location of the executions, lies in its simplicity. The monument is a simple, white-washed stone obelisk, standing 100 metres away from the more famous José Rizal monument. Compared to the towering Rizal monument, the obelisk is minimalist, with clean lines and </w:t>
      </w:r>
      <w:r>
        <w:rPr>
          <w:rFonts w:ascii="Times New Roman" w:hAnsi="Times New Roman" w:cs="Times New Roman"/>
        </w:rPr>
        <w:t xml:space="preserve">no </w:t>
      </w:r>
      <w:r w:rsidRPr="005F340D">
        <w:rPr>
          <w:rFonts w:ascii="Times New Roman" w:hAnsi="Times New Roman" w:cs="Times New Roman"/>
        </w:rPr>
        <w:t>adornments other than the plaques in both English and Tagalog that describe the history that led to the monument’s creation. The simplicity of the monument asks the viewer to reflect</w:t>
      </w:r>
      <w:r>
        <w:rPr>
          <w:rFonts w:ascii="Times New Roman" w:hAnsi="Times New Roman" w:cs="Times New Roman"/>
        </w:rPr>
        <w:t xml:space="preserve">. </w:t>
      </w:r>
      <w:r w:rsidRPr="005F340D">
        <w:rPr>
          <w:rFonts w:ascii="Times New Roman" w:hAnsi="Times New Roman" w:cs="Times New Roman"/>
        </w:rPr>
        <w:t xml:space="preserve">The obelisk itself is not as prominent as its ‘brother’ monument, the Gomburza National Monument, a bronze impression of the three fathers that stands in a pool of water in front of the National Museum of Fine Arts. </w:t>
      </w:r>
      <w:r>
        <w:rPr>
          <w:rFonts w:ascii="Times New Roman" w:hAnsi="Times New Roman" w:cs="Times New Roman"/>
        </w:rPr>
        <w:t xml:space="preserve">The bronze monument at the National Museum shows two of the fathers fallen, with the last standing, waiting for his execution; that statute is a very emotive piece that portrays anguish and pain yet dignity in the face of adversity. </w:t>
      </w:r>
      <w:r w:rsidRPr="005F340D">
        <w:rPr>
          <w:rFonts w:ascii="Times New Roman" w:hAnsi="Times New Roman" w:cs="Times New Roman"/>
        </w:rPr>
        <w:t>In comparison with the drama of the bronze National Gomburza Monument</w:t>
      </w:r>
      <w:r>
        <w:rPr>
          <w:rFonts w:ascii="Times New Roman" w:hAnsi="Times New Roman" w:cs="Times New Roman"/>
        </w:rPr>
        <w:t xml:space="preserve">, </w:t>
      </w:r>
      <w:r w:rsidRPr="005F340D">
        <w:rPr>
          <w:rFonts w:ascii="Times New Roman" w:hAnsi="Times New Roman" w:cs="Times New Roman"/>
        </w:rPr>
        <w:t>the white obelisk has a sense of sobriety.</w:t>
      </w:r>
      <w:r>
        <w:rPr>
          <w:rFonts w:ascii="Times New Roman" w:hAnsi="Times New Roman" w:cs="Times New Roman"/>
        </w:rPr>
        <w:t xml:space="preserve"> T</w:t>
      </w:r>
      <w:r w:rsidRPr="005F340D">
        <w:rPr>
          <w:rFonts w:ascii="Times New Roman" w:hAnsi="Times New Roman" w:cs="Times New Roman"/>
        </w:rPr>
        <w:t xml:space="preserve">he clean lines and small stature </w:t>
      </w:r>
      <w:r>
        <w:rPr>
          <w:rFonts w:ascii="Times New Roman" w:hAnsi="Times New Roman" w:cs="Times New Roman"/>
        </w:rPr>
        <w:t xml:space="preserve">of the obelisk </w:t>
      </w:r>
      <w:r w:rsidRPr="005F340D">
        <w:rPr>
          <w:rFonts w:ascii="Times New Roman" w:hAnsi="Times New Roman" w:cs="Times New Roman"/>
        </w:rPr>
        <w:t xml:space="preserve">suggest remembrance of </w:t>
      </w:r>
      <w:r>
        <w:rPr>
          <w:rFonts w:ascii="Times New Roman" w:hAnsi="Times New Roman" w:cs="Times New Roman"/>
        </w:rPr>
        <w:t xml:space="preserve">the </w:t>
      </w:r>
      <w:r w:rsidRPr="005F340D">
        <w:rPr>
          <w:rFonts w:ascii="Times New Roman" w:hAnsi="Times New Roman" w:cs="Times New Roman"/>
        </w:rPr>
        <w:t>injustice and consequences of death, rather than the spectacle of heroism. There is no sense of triumph in th</w:t>
      </w:r>
      <w:r>
        <w:rPr>
          <w:rFonts w:ascii="Times New Roman" w:hAnsi="Times New Roman" w:cs="Times New Roman"/>
        </w:rPr>
        <w:t>is</w:t>
      </w:r>
      <w:r w:rsidRPr="005F340D">
        <w:rPr>
          <w:rFonts w:ascii="Times New Roman" w:hAnsi="Times New Roman" w:cs="Times New Roman"/>
        </w:rPr>
        <w:t xml:space="preserve"> monument. The descripting textual markers on the statue continue this feeling, with the honesty and brutalness of the men’s deaths displayed with no flowery language. </w:t>
      </w:r>
    </w:p>
    <w:p w14:paraId="478FDD0C" w14:textId="5AF0F484" w:rsidR="005F340D" w:rsidRPr="005F340D" w:rsidRDefault="005F340D" w:rsidP="005F340D">
      <w:pPr>
        <w:rPr>
          <w:rFonts w:ascii="Times New Roman" w:hAnsi="Times New Roman" w:cs="Times New Roman"/>
        </w:rPr>
      </w:pPr>
    </w:p>
    <w:p w14:paraId="47ACB05F" w14:textId="0EF68710" w:rsidR="005F340D" w:rsidRDefault="005F340D" w:rsidP="005F340D">
      <w:pPr>
        <w:rPr>
          <w:rFonts w:ascii="Times New Roman" w:hAnsi="Times New Roman" w:cs="Times New Roman"/>
          <w:lang w:val="en-GB"/>
        </w:rPr>
      </w:pPr>
      <w:r w:rsidRPr="005F340D">
        <w:rPr>
          <w:rFonts w:ascii="Times New Roman" w:hAnsi="Times New Roman" w:cs="Times New Roman"/>
          <w:noProof/>
        </w:rPr>
        <w:lastRenderedPageBreak/>
        <w:drawing>
          <wp:anchor distT="0" distB="0" distL="114300" distR="114300" simplePos="0" relativeHeight="251659264" behindDoc="0" locked="0" layoutInCell="1" allowOverlap="1" wp14:anchorId="18528D9A" wp14:editId="47AC13F2">
            <wp:simplePos x="0" y="0"/>
            <wp:positionH relativeFrom="column">
              <wp:posOffset>3444875</wp:posOffset>
            </wp:positionH>
            <wp:positionV relativeFrom="paragraph">
              <wp:posOffset>136949</wp:posOffset>
            </wp:positionV>
            <wp:extent cx="2483485" cy="2835910"/>
            <wp:effectExtent l="0" t="0" r="5715" b="0"/>
            <wp:wrapSquare wrapText="bothSides"/>
            <wp:docPr id="1258084709" name="Picture 3" descr="A plaque with a picture of a shi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084709" name="Picture 3" descr="A plaque with a picture of a ship&#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2483485" cy="2835910"/>
                    </a:xfrm>
                    <a:prstGeom prst="rect">
                      <a:avLst/>
                    </a:prstGeom>
                  </pic:spPr>
                </pic:pic>
              </a:graphicData>
            </a:graphic>
            <wp14:sizeRelH relativeFrom="page">
              <wp14:pctWidth>0</wp14:pctWidth>
            </wp14:sizeRelH>
            <wp14:sizeRelV relativeFrom="page">
              <wp14:pctHeight>0</wp14:pctHeight>
            </wp14:sizeRelV>
          </wp:anchor>
        </w:drawing>
      </w:r>
      <w:r w:rsidRPr="005F340D">
        <w:rPr>
          <w:rFonts w:ascii="Times New Roman" w:hAnsi="Times New Roman" w:cs="Times New Roman"/>
          <w:lang w:val="en-GB"/>
        </w:rPr>
        <w:t>“THEY WERE EXECUTED BY STRANGULATION BY A VILE DEVICE CONSISTING OF AN IRON COLLAR WHICH THE EXECUTIONER TIGHTENED SLOWLY UNTIL THE MARTYRS MET DEATH</w:t>
      </w:r>
      <w:r>
        <w:rPr>
          <w:rFonts w:ascii="Times New Roman" w:hAnsi="Times New Roman" w:cs="Times New Roman"/>
          <w:lang w:val="en-GB"/>
        </w:rPr>
        <w:t>.</w:t>
      </w:r>
      <w:r w:rsidRPr="005F340D">
        <w:rPr>
          <w:rFonts w:ascii="Times New Roman" w:hAnsi="Times New Roman" w:cs="Times New Roman"/>
          <w:lang w:val="en-GB"/>
        </w:rPr>
        <w:t xml:space="preserve">” </w:t>
      </w:r>
    </w:p>
    <w:p w14:paraId="4821CE04" w14:textId="77777777" w:rsidR="005F340D" w:rsidRDefault="005F340D" w:rsidP="005F340D">
      <w:pPr>
        <w:rPr>
          <w:rFonts w:ascii="Times New Roman" w:hAnsi="Times New Roman" w:cs="Times New Roman"/>
          <w:lang w:val="en-GB"/>
        </w:rPr>
      </w:pPr>
    </w:p>
    <w:p w14:paraId="010891E6" w14:textId="40623505" w:rsidR="005F340D" w:rsidRDefault="005F340D" w:rsidP="005F340D">
      <w:pPr>
        <w:rPr>
          <w:rFonts w:ascii="Times New Roman" w:hAnsi="Times New Roman" w:cs="Times New Roman"/>
          <w:lang w:val="en-GB"/>
        </w:rPr>
      </w:pPr>
      <w:r>
        <w:rPr>
          <w:rFonts w:ascii="Times New Roman" w:hAnsi="Times New Roman" w:cs="Times New Roman"/>
          <w:lang w:val="en-GB"/>
        </w:rPr>
        <w:t>When looking from the view of a modern audience, t</w:t>
      </w:r>
      <w:r w:rsidRPr="005F340D">
        <w:rPr>
          <w:rFonts w:ascii="Times New Roman" w:hAnsi="Times New Roman" w:cs="Times New Roman"/>
          <w:lang w:val="en-GB"/>
        </w:rPr>
        <w:t>he factual tone and lack of euphemism</w:t>
      </w:r>
      <w:r>
        <w:rPr>
          <w:rFonts w:ascii="Times New Roman" w:hAnsi="Times New Roman" w:cs="Times New Roman"/>
          <w:lang w:val="en-GB"/>
        </w:rPr>
        <w:t xml:space="preserve"> keeps the attention on the pain and suffering of the men. The reference to ‘alleged complicity’ reminds the viewer of the injustice faced by those who dissented against Spanish colonialism. Through its </w:t>
      </w:r>
      <w:r w:rsidRPr="005F340D">
        <w:rPr>
          <w:rFonts w:ascii="Times New Roman" w:hAnsi="Times New Roman" w:cs="Times New Roman"/>
          <w:lang w:val="en-GB"/>
        </w:rPr>
        <w:t>physical simplicity, explicit text, and powerful location</w:t>
      </w:r>
      <w:r>
        <w:rPr>
          <w:rFonts w:ascii="Times New Roman" w:hAnsi="Times New Roman" w:cs="Times New Roman"/>
          <w:lang w:val="en-GB"/>
        </w:rPr>
        <w:t xml:space="preserve">, </w:t>
      </w:r>
      <w:r w:rsidRPr="005F340D">
        <w:rPr>
          <w:rFonts w:ascii="Times New Roman" w:hAnsi="Times New Roman" w:cs="Times New Roman"/>
          <w:lang w:val="en-GB"/>
        </w:rPr>
        <w:t xml:space="preserve">it </w:t>
      </w:r>
      <w:r>
        <w:rPr>
          <w:rFonts w:ascii="Times New Roman" w:hAnsi="Times New Roman" w:cs="Times New Roman"/>
          <w:lang w:val="en-GB"/>
        </w:rPr>
        <w:t xml:space="preserve">is </w:t>
      </w:r>
      <w:r w:rsidRPr="005F340D">
        <w:rPr>
          <w:rFonts w:ascii="Times New Roman" w:hAnsi="Times New Roman" w:cs="Times New Roman"/>
          <w:lang w:val="en-GB"/>
        </w:rPr>
        <w:t>difficult to miss the monument’s moral stance, even for visitors with limited historical background.</w:t>
      </w:r>
      <w:r>
        <w:rPr>
          <w:rFonts w:ascii="Times New Roman" w:hAnsi="Times New Roman" w:cs="Times New Roman"/>
          <w:lang w:val="en-GB"/>
        </w:rPr>
        <w:t xml:space="preserve"> Encouraging reflection, rather than admiration, </w:t>
      </w:r>
      <w:r w:rsidRPr="005F340D">
        <w:rPr>
          <w:rFonts w:ascii="Times New Roman" w:hAnsi="Times New Roman" w:cs="Times New Roman"/>
          <w:lang w:val="en-GB"/>
        </w:rPr>
        <w:t>the obelisk works especially well as a counterpoint</w:t>
      </w:r>
      <w:r>
        <w:rPr>
          <w:rFonts w:ascii="Times New Roman" w:hAnsi="Times New Roman" w:cs="Times New Roman"/>
          <w:lang w:val="en-GB"/>
        </w:rPr>
        <w:t xml:space="preserve"> to the other monuments in the park. </w:t>
      </w:r>
    </w:p>
    <w:p w14:paraId="491EFA8B" w14:textId="4C18CDFE" w:rsidR="005F340D" w:rsidRDefault="005F340D" w:rsidP="005F340D">
      <w:pPr>
        <w:rPr>
          <w:rFonts w:ascii="Times New Roman" w:hAnsi="Times New Roman" w:cs="Times New Roman"/>
          <w:lang w:val="en-GB"/>
        </w:rPr>
      </w:pPr>
    </w:p>
    <w:p w14:paraId="5B273173" w14:textId="77777777" w:rsidR="005F340D" w:rsidRDefault="005F340D" w:rsidP="005F340D">
      <w:pPr>
        <w:rPr>
          <w:rFonts w:ascii="Times New Roman" w:hAnsi="Times New Roman" w:cs="Times New Roman"/>
          <w:lang w:val="en-GB"/>
        </w:rPr>
      </w:pPr>
      <w:r>
        <w:rPr>
          <w:rFonts w:ascii="Times New Roman" w:hAnsi="Times New Roman" w:cs="Times New Roman"/>
          <w:lang w:val="en-GB"/>
        </w:rPr>
        <w:t xml:space="preserve">The proximity of the monument to the Rizal monument and the history of the park itself links the deaths of Gomburza to the broader nationalism and revolutionary movements, reframing the ‘killing field’ to a martyr’s park, where the tranquil urban park is a place of relaxation and recreation, in honour of the sacrifice of those who led to the movement’s success. </w:t>
      </w:r>
    </w:p>
    <w:p w14:paraId="7E58DF97" w14:textId="77777777" w:rsidR="005F340D" w:rsidRDefault="005F340D" w:rsidP="005F340D">
      <w:pPr>
        <w:rPr>
          <w:rFonts w:ascii="Times New Roman" w:hAnsi="Times New Roman" w:cs="Times New Roman"/>
          <w:lang w:val="en-GB"/>
        </w:rPr>
      </w:pPr>
    </w:p>
    <w:p w14:paraId="321346F2" w14:textId="09A0F162" w:rsidR="005F340D" w:rsidRPr="005F340D" w:rsidRDefault="005F340D" w:rsidP="005F340D">
      <w:pPr>
        <w:rPr>
          <w:rFonts w:ascii="Times New Roman" w:hAnsi="Times New Roman" w:cs="Times New Roman"/>
        </w:rPr>
      </w:pPr>
      <w:r>
        <w:rPr>
          <w:rFonts w:ascii="Times New Roman" w:hAnsi="Times New Roman" w:cs="Times New Roman"/>
          <w:lang w:val="en-GB"/>
        </w:rPr>
        <w:t>Bagumbayan, once feared as an execution ground, is now a place for visitors to enjoy. The obelisk acknowledges the horrors that occurred at its location, while also acts as a statement on how societies remember the traumas of their past.</w:t>
      </w:r>
    </w:p>
    <w:p w14:paraId="0BE9D152" w14:textId="46EB9E83" w:rsidR="005F340D" w:rsidRPr="005F340D" w:rsidRDefault="005F340D" w:rsidP="001124BD">
      <w:pPr>
        <w:jc w:val="both"/>
        <w:rPr>
          <w:rFonts w:ascii="Times New Roman" w:hAnsi="Times New Roman" w:cs="Times New Roman"/>
        </w:rPr>
      </w:pPr>
      <w:r w:rsidRPr="005F340D">
        <w:rPr>
          <w:rFonts w:ascii="Times New Roman" w:hAnsi="Times New Roman" w:cs="Times New Roman"/>
          <w:noProof/>
          <w:lang w:val="en-GB"/>
        </w:rPr>
        <w:drawing>
          <wp:anchor distT="0" distB="0" distL="114300" distR="114300" simplePos="0" relativeHeight="251661312" behindDoc="0" locked="0" layoutInCell="1" allowOverlap="1" wp14:anchorId="734F247F" wp14:editId="19D6273D">
            <wp:simplePos x="0" y="0"/>
            <wp:positionH relativeFrom="column">
              <wp:posOffset>33020</wp:posOffset>
            </wp:positionH>
            <wp:positionV relativeFrom="paragraph">
              <wp:posOffset>284480</wp:posOffset>
            </wp:positionV>
            <wp:extent cx="5731510" cy="3223895"/>
            <wp:effectExtent l="0" t="0" r="0" b="1905"/>
            <wp:wrapSquare wrapText="bothSides"/>
            <wp:docPr id="1863210041" name="Picture 1" descr="A monument in a pa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210041" name="Picture 1" descr="A monument in a park&#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3360" behindDoc="0" locked="0" layoutInCell="1" allowOverlap="1" wp14:anchorId="47FA82F7" wp14:editId="1443E946">
                <wp:simplePos x="0" y="0"/>
                <wp:positionH relativeFrom="column">
                  <wp:posOffset>33444</wp:posOffset>
                </wp:positionH>
                <wp:positionV relativeFrom="paragraph">
                  <wp:posOffset>3565737</wp:posOffset>
                </wp:positionV>
                <wp:extent cx="5731510" cy="635"/>
                <wp:effectExtent l="0" t="0" r="0" b="12065"/>
                <wp:wrapSquare wrapText="bothSides"/>
                <wp:docPr id="419304441"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4F70A09E" w14:textId="7DB85517" w:rsidR="005F340D" w:rsidRPr="00B52897" w:rsidRDefault="005F340D" w:rsidP="005F340D">
                            <w:pPr>
                              <w:pStyle w:val="Caption"/>
                              <w:rPr>
                                <w:rFonts w:ascii="Times New Roman" w:hAnsi="Times New Roman" w:cs="Times New Roman"/>
                                <w:lang w:val="en-GB"/>
                              </w:rPr>
                            </w:pPr>
                            <w:r>
                              <w:t>The Rizal Monument can be seen behind the obelisk, to the left.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7FA82F7" id="_x0000_t202" coordsize="21600,21600" o:spt="202" path="m,l,21600r21600,l21600,xe">
                <v:stroke joinstyle="miter"/>
                <v:path gradientshapeok="t" o:connecttype="rect"/>
              </v:shapetype>
              <v:shape id="Text Box 1" o:spid="_x0000_s1026" type="#_x0000_t202" style="position:absolute;left:0;text-align:left;margin-left:2.65pt;margin-top:280.75pt;width:451.3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YIZPFQIAADgEAAAOAAAAZHJzL2Uyb0RvYy54bWysU8Fu2zAMvQ/YPwi6L05apBuMOEWWIsOA&#13;&#10;oC2QDj0rshwLkEWNUmJnXz9KtpOt22nYRaZF6lF872lx3zWGnRR6Dbbgs8mUM2UllNoeCv7tZfPh&#13;&#10;E2c+CFsKA1YV/Kw8v1++f7doXa5uoAZTKmQEYn3euoLXIbg8y7ysVSP8BJyylKwAGxHoFw9ZiaIl&#13;&#10;9MZkN9PpXdYClg5BKu9p96FP8mXCryolw1NVeRWYKTjdLaQV07qPa7ZciPyAwtVaDtcQ/3CLRmhL&#13;&#10;TS9QDyIIdkT9B1SjJYKHKkwkNBlUlZYqzUDTzKZvptnVwqk0C5Hj3YUm//9g5eNp556Rhe4zdCRg&#13;&#10;JKR1Pve0GefpKmzil27KKE8Uni+0qS4wSZvzj7ez+YxSknJ3t/OIkV2POvThi4KGxaDgSJokqsRp&#13;&#10;60NfOpbETh6MLjfamPgTE2uD7CRIv7bWQQ3gv1UZG2stxFM9YNzJrnPEKHT7bhhuD+WZZkbo7eCd&#13;&#10;3GhqtBU+PAsk/WkW8nR4oqUy0BYchoizGvDH3/ZjPclCWc5a8lPB/fejQMWZ+WpJsGi+McAx2I+B&#13;&#10;PTZroBFn9FqcTCEdwGDGsEJoXsnqq9iFUsJK6lXwMIbr0LuanopUq1UqIos5EbZ252SEHgl96V4F&#13;&#10;ukGOQCo+wug0kb9Rpa9NurjVMRDFSbJIaM/iwDPZM4k+PKXo/1//U9X1wS9/AgAA//8DAFBLAwQU&#13;&#10;AAYACAAAACEAu2k11eMAAAAOAQAADwAAAGRycy9kb3ducmV2LnhtbExPTU/DMAy9I/EfIiNxQVs6&#13;&#10;thXWNZ2mAYdxmeh24ZY1XlNokipJt/LvMVzgYst+9vvIV4Np2Rl9aJwVMBknwNBWTjW2FnDYv4we&#13;&#10;gYUorZKtsyjgCwOsiuurXGbKXewbnstYMyKxIZMCdIxdxnmoNBoZxq5DS9jJeSMjjb7myssLkZuW&#13;&#10;3ydJyo1sLClo2eFGY/VZ9kbAbva+03f96fl1PZv67aHfpB91KcTtzfC0pLJeAos4xL8P+MlA/qEg&#13;&#10;Y0fXWxVYK2A+pUNq6WQOjPBF8rAAdvzdpMCLnP+PUXwDAAD//wMAUEsBAi0AFAAGAAgAAAAhALaD&#13;&#10;OJL+AAAA4QEAABMAAAAAAAAAAAAAAAAAAAAAAFtDb250ZW50X1R5cGVzXS54bWxQSwECLQAUAAYA&#13;&#10;CAAAACEAOP0h/9YAAACUAQAACwAAAAAAAAAAAAAAAAAvAQAAX3JlbHMvLnJlbHNQSwECLQAUAAYA&#13;&#10;CAAAACEAg2CGTxUCAAA4BAAADgAAAAAAAAAAAAAAAAAuAgAAZHJzL2Uyb0RvYy54bWxQSwECLQAU&#13;&#10;AAYACAAAACEAu2k11eMAAAAOAQAADwAAAAAAAAAAAAAAAABvBAAAZHJzL2Rvd25yZXYueG1sUEsF&#13;&#10;BgAAAAAEAAQA8wAAAH8FAAAAAA==&#13;&#10;" stroked="f">
                <v:textbox style="mso-fit-shape-to-text:t" inset="0,0,0,0">
                  <w:txbxContent>
                    <w:p w14:paraId="4F70A09E" w14:textId="7DB85517" w:rsidR="005F340D" w:rsidRPr="00B52897" w:rsidRDefault="005F340D" w:rsidP="005F340D">
                      <w:pPr>
                        <w:pStyle w:val="Caption"/>
                        <w:rPr>
                          <w:rFonts w:ascii="Times New Roman" w:hAnsi="Times New Roman" w:cs="Times New Roman"/>
                          <w:lang w:val="en-GB"/>
                        </w:rPr>
                      </w:pPr>
                      <w:r>
                        <w:t>The Rizal Monument can be seen behind the obelisk, to the left.</w:t>
                      </w:r>
                    </w:p>
                  </w:txbxContent>
                </v:textbox>
                <w10:wrap type="square"/>
              </v:shape>
            </w:pict>
          </mc:Fallback>
        </mc:AlternateContent>
      </w:r>
    </w:p>
    <w:p w14:paraId="33831CB8" w14:textId="6213EEED" w:rsidR="005F340D" w:rsidRPr="005F340D" w:rsidRDefault="005F340D" w:rsidP="005F340D">
      <w:pPr>
        <w:rPr>
          <w:rFonts w:ascii="Times New Roman" w:hAnsi="Times New Roman" w:cs="Times New Roman"/>
        </w:rPr>
      </w:pPr>
    </w:p>
    <w:p w14:paraId="09EBA566" w14:textId="61330C85" w:rsidR="005F340D" w:rsidRPr="005F340D" w:rsidRDefault="005F340D" w:rsidP="005F340D">
      <w:pPr>
        <w:rPr>
          <w:rFonts w:ascii="Times New Roman" w:hAnsi="Times New Roman" w:cs="Times New Roman"/>
        </w:rPr>
      </w:pPr>
    </w:p>
    <w:p w14:paraId="52E2EE1E" w14:textId="7938C02F" w:rsidR="005F340D" w:rsidRPr="005F340D" w:rsidRDefault="005F340D" w:rsidP="005F340D">
      <w:pPr>
        <w:rPr>
          <w:rFonts w:ascii="Times New Roman" w:hAnsi="Times New Roman" w:cs="Times New Roman"/>
        </w:rPr>
      </w:pPr>
      <w:r w:rsidRPr="005F340D">
        <w:rPr>
          <w:rFonts w:ascii="Times New Roman" w:hAnsi="Times New Roman" w:cs="Times New Roman"/>
        </w:rPr>
        <w:t>Abueva, Jose Veloso. 1998. </w:t>
      </w:r>
      <w:r w:rsidRPr="005F340D">
        <w:rPr>
          <w:rFonts w:ascii="Times New Roman" w:hAnsi="Times New Roman" w:cs="Times New Roman"/>
          <w:i/>
          <w:iCs/>
        </w:rPr>
        <w:t>The Making of the Filipino Nation and Republic</w:t>
      </w:r>
      <w:r w:rsidRPr="005F340D">
        <w:rPr>
          <w:rFonts w:ascii="Times New Roman" w:hAnsi="Times New Roman" w:cs="Times New Roman"/>
        </w:rPr>
        <w:t>.</w:t>
      </w:r>
    </w:p>
    <w:p w14:paraId="22C8FB21" w14:textId="27338755" w:rsidR="005F340D" w:rsidRPr="005F340D" w:rsidRDefault="005F340D" w:rsidP="005F340D">
      <w:pPr>
        <w:rPr>
          <w:rFonts w:ascii="Times New Roman" w:hAnsi="Times New Roman" w:cs="Times New Roman"/>
        </w:rPr>
      </w:pPr>
      <w:r w:rsidRPr="005F340D">
        <w:rPr>
          <w:rFonts w:ascii="Times New Roman" w:hAnsi="Times New Roman" w:cs="Times New Roman"/>
        </w:rPr>
        <w:t>‌</w:t>
      </w:r>
    </w:p>
    <w:p w14:paraId="240A1BDF" w14:textId="13BD6F32" w:rsidR="005F340D" w:rsidRPr="005F340D" w:rsidRDefault="005F340D" w:rsidP="005F340D">
      <w:pPr>
        <w:rPr>
          <w:rFonts w:ascii="Times New Roman" w:hAnsi="Times New Roman" w:cs="Times New Roman"/>
        </w:rPr>
      </w:pPr>
      <w:r w:rsidRPr="005F340D">
        <w:rPr>
          <w:rFonts w:ascii="Times New Roman" w:hAnsi="Times New Roman" w:cs="Times New Roman"/>
        </w:rPr>
        <w:t xml:space="preserve">Anon. 2008. “Gomburza – Traveler on Foot.” 2008. Traveler on Foot. 2008. </w:t>
      </w:r>
      <w:hyperlink r:id="rId11" w:history="1">
        <w:r w:rsidRPr="005F340D">
          <w:rPr>
            <w:rStyle w:val="Hyperlink"/>
            <w:rFonts w:ascii="Times New Roman" w:hAnsi="Times New Roman" w:cs="Times New Roman"/>
          </w:rPr>
          <w:t>https://traveleronfoot.wordpress.com/tag/gomburza/</w:t>
        </w:r>
      </w:hyperlink>
    </w:p>
    <w:p w14:paraId="1B19094E" w14:textId="49E14291" w:rsidR="005F340D" w:rsidRPr="005F340D" w:rsidRDefault="005F340D" w:rsidP="005F340D">
      <w:pPr>
        <w:rPr>
          <w:rFonts w:ascii="Times New Roman" w:hAnsi="Times New Roman" w:cs="Times New Roman"/>
        </w:rPr>
      </w:pPr>
    </w:p>
    <w:p w14:paraId="19296EE0" w14:textId="29401958" w:rsidR="005F340D" w:rsidRPr="005F340D" w:rsidRDefault="005F340D" w:rsidP="005F340D">
      <w:pPr>
        <w:rPr>
          <w:rFonts w:ascii="Times New Roman" w:hAnsi="Times New Roman" w:cs="Times New Roman"/>
        </w:rPr>
      </w:pPr>
      <w:r w:rsidRPr="005F340D">
        <w:rPr>
          <w:rFonts w:ascii="Times New Roman" w:hAnsi="Times New Roman" w:cs="Times New Roman"/>
        </w:rPr>
        <w:t xml:space="preserve">Miano, Troy Alexander. 2022. “GOMBURZA @ 150.” Blogspot.com. Blogger. April 5, 2022. </w:t>
      </w:r>
      <w:hyperlink r:id="rId12" w:history="1">
        <w:r w:rsidRPr="005F340D">
          <w:rPr>
            <w:rStyle w:val="Hyperlink"/>
            <w:rFonts w:ascii="Times New Roman" w:hAnsi="Times New Roman" w:cs="Times New Roman"/>
          </w:rPr>
          <w:t>https://anghistorya.blogspot.com/2022/04/149-gomburza-150.html</w:t>
        </w:r>
      </w:hyperlink>
    </w:p>
    <w:p w14:paraId="07E403E1" w14:textId="77777777" w:rsidR="005F340D" w:rsidRPr="005F340D" w:rsidRDefault="005F340D" w:rsidP="005F340D">
      <w:pPr>
        <w:rPr>
          <w:rFonts w:ascii="Times New Roman" w:hAnsi="Times New Roman" w:cs="Times New Roman"/>
        </w:rPr>
      </w:pPr>
    </w:p>
    <w:p w14:paraId="262DB157" w14:textId="62DB4811" w:rsidR="005F340D" w:rsidRPr="005F340D" w:rsidRDefault="005F340D" w:rsidP="005F340D">
      <w:pPr>
        <w:rPr>
          <w:rFonts w:ascii="Times New Roman" w:hAnsi="Times New Roman" w:cs="Times New Roman"/>
        </w:rPr>
      </w:pPr>
      <w:r w:rsidRPr="005F340D">
        <w:rPr>
          <w:rFonts w:ascii="Times New Roman" w:hAnsi="Times New Roman" w:cs="Times New Roman"/>
        </w:rPr>
        <w:t xml:space="preserve">National Museum. 2025. “NMP Commemorates GOMBURZA on 153rd Martyrdom Anniversary – National Museum.” Nationalmuseum.gov.ph. February 17, 2025. </w:t>
      </w:r>
      <w:hyperlink r:id="rId13" w:history="1">
        <w:r w:rsidRPr="005F340D">
          <w:rPr>
            <w:rStyle w:val="Hyperlink"/>
            <w:rFonts w:ascii="Times New Roman" w:hAnsi="Times New Roman" w:cs="Times New Roman"/>
          </w:rPr>
          <w:t>https://www.nationalmuseum.gov.ph/2025/02/17/nmp-commemorates-gomburza-on-153rd-martyrdom-anniversary/</w:t>
        </w:r>
      </w:hyperlink>
    </w:p>
    <w:p w14:paraId="0677490A" w14:textId="77777777" w:rsidR="005F340D" w:rsidRPr="005F340D" w:rsidRDefault="005F340D" w:rsidP="005F340D">
      <w:pPr>
        <w:rPr>
          <w:rFonts w:ascii="Times New Roman" w:hAnsi="Times New Roman" w:cs="Times New Roman"/>
        </w:rPr>
      </w:pPr>
    </w:p>
    <w:p w14:paraId="74D8FDDF" w14:textId="1B6D53F0" w:rsidR="005F340D" w:rsidRPr="005F340D" w:rsidRDefault="005F340D" w:rsidP="005F340D">
      <w:pPr>
        <w:rPr>
          <w:rFonts w:ascii="Times New Roman" w:hAnsi="Times New Roman" w:cs="Times New Roman"/>
        </w:rPr>
      </w:pPr>
      <w:r w:rsidRPr="005F340D">
        <w:rPr>
          <w:rFonts w:ascii="Times New Roman" w:hAnsi="Times New Roman" w:cs="Times New Roman"/>
        </w:rPr>
        <w:t xml:space="preserve">National Parks Development Committee. 2021. “GomBurZa Marker at Rizal Park with Prof. Xiao Chua.” YouTube. September 15, 2021. </w:t>
      </w:r>
      <w:hyperlink r:id="rId14" w:history="1">
        <w:r w:rsidRPr="005F340D">
          <w:rPr>
            <w:rStyle w:val="Hyperlink"/>
            <w:rFonts w:ascii="Times New Roman" w:hAnsi="Times New Roman" w:cs="Times New Roman"/>
          </w:rPr>
          <w:t>https://www.youtube.com/watch?v=Vac6rLAaJhU</w:t>
        </w:r>
      </w:hyperlink>
    </w:p>
    <w:p w14:paraId="3D21EEB8" w14:textId="77777777" w:rsidR="005F340D" w:rsidRPr="005F340D" w:rsidRDefault="005F340D" w:rsidP="005F340D">
      <w:pPr>
        <w:rPr>
          <w:rFonts w:ascii="Times New Roman" w:hAnsi="Times New Roman" w:cs="Times New Roman"/>
        </w:rPr>
      </w:pPr>
    </w:p>
    <w:p w14:paraId="1B74B7A8" w14:textId="51BE566C" w:rsidR="005F340D" w:rsidRPr="005F340D" w:rsidRDefault="005F340D" w:rsidP="005F340D">
      <w:pPr>
        <w:rPr>
          <w:rFonts w:ascii="Times New Roman" w:hAnsi="Times New Roman" w:cs="Times New Roman"/>
        </w:rPr>
      </w:pPr>
      <w:r w:rsidRPr="005F340D">
        <w:rPr>
          <w:rFonts w:ascii="Times New Roman" w:hAnsi="Times New Roman" w:cs="Times New Roman"/>
        </w:rPr>
        <w:t xml:space="preserve">Rizal, José. 1891.“The Project Gutenberg EBook of El Filibusterismo, by José Rizal.” 2025. Gutenberg.org. 2025. </w:t>
      </w:r>
      <w:hyperlink r:id="rId15" w:history="1">
        <w:r w:rsidRPr="005F340D">
          <w:rPr>
            <w:rStyle w:val="Hyperlink"/>
            <w:rFonts w:ascii="Times New Roman" w:hAnsi="Times New Roman" w:cs="Times New Roman"/>
          </w:rPr>
          <w:t>https://www.gutenberg.org/files/30903/30903-h/30903-h.htm</w:t>
        </w:r>
      </w:hyperlink>
    </w:p>
    <w:p w14:paraId="6C810443" w14:textId="787AD61B" w:rsidR="005F340D" w:rsidRPr="005F340D" w:rsidRDefault="005F340D" w:rsidP="005F340D">
      <w:pPr>
        <w:rPr>
          <w:rFonts w:ascii="Times New Roman" w:hAnsi="Times New Roman" w:cs="Times New Roman"/>
        </w:rPr>
      </w:pPr>
      <w:r w:rsidRPr="005F340D">
        <w:rPr>
          <w:rFonts w:ascii="Times New Roman" w:hAnsi="Times New Roman" w:cs="Times New Roman"/>
        </w:rPr>
        <w:t>‌</w:t>
      </w:r>
    </w:p>
    <w:p w14:paraId="750D91E7" w14:textId="49CF45D9" w:rsidR="005F340D" w:rsidRPr="005F340D" w:rsidRDefault="005F340D" w:rsidP="005F340D">
      <w:pPr>
        <w:rPr>
          <w:rFonts w:ascii="Times New Roman" w:hAnsi="Times New Roman" w:cs="Times New Roman"/>
        </w:rPr>
      </w:pPr>
      <w:r w:rsidRPr="005F340D">
        <w:rPr>
          <w:rFonts w:ascii="Times New Roman" w:hAnsi="Times New Roman" w:cs="Times New Roman"/>
        </w:rPr>
        <w:t xml:space="preserve">Schumacher, John. 1997. </w:t>
      </w:r>
      <w:r w:rsidRPr="005F340D">
        <w:rPr>
          <w:rFonts w:ascii="Times New Roman" w:hAnsi="Times New Roman" w:cs="Times New Roman"/>
          <w:i/>
          <w:iCs/>
        </w:rPr>
        <w:t>The Propaganda Movement, 1880-1895</w:t>
      </w:r>
      <w:r w:rsidRPr="005F340D">
        <w:rPr>
          <w:rFonts w:ascii="Times New Roman" w:hAnsi="Times New Roman" w:cs="Times New Roman"/>
        </w:rPr>
        <w:t>. Ateneo University Press.</w:t>
      </w:r>
    </w:p>
    <w:p w14:paraId="170A052B" w14:textId="24A33997" w:rsidR="005F340D" w:rsidRPr="005F340D" w:rsidRDefault="005F340D" w:rsidP="005F340D">
      <w:pPr>
        <w:rPr>
          <w:rFonts w:ascii="Times New Roman" w:hAnsi="Times New Roman" w:cs="Times New Roman"/>
        </w:rPr>
      </w:pPr>
      <w:r w:rsidRPr="005F340D">
        <w:rPr>
          <w:rFonts w:ascii="Times New Roman" w:hAnsi="Times New Roman" w:cs="Times New Roman"/>
        </w:rPr>
        <w:t>‌</w:t>
      </w:r>
    </w:p>
    <w:p w14:paraId="3A74EEF6" w14:textId="77777777" w:rsidR="005F340D" w:rsidRPr="005F340D" w:rsidRDefault="005F340D" w:rsidP="005F340D">
      <w:pPr>
        <w:rPr>
          <w:rFonts w:ascii="Times New Roman" w:hAnsi="Times New Roman" w:cs="Times New Roman"/>
        </w:rPr>
      </w:pPr>
      <w:r w:rsidRPr="005F340D">
        <w:rPr>
          <w:rFonts w:ascii="Times New Roman" w:hAnsi="Times New Roman" w:cs="Times New Roman"/>
        </w:rPr>
        <w:t xml:space="preserve">Uckung, Peter Jaynul. 2012. “The Secularization Issue Was an International Issue - National Historical Commission of the Philippines.” National Historical Commission of the Philippines. September 5, 2012. </w:t>
      </w:r>
      <w:hyperlink r:id="rId16" w:history="1">
        <w:r w:rsidRPr="005F340D">
          <w:rPr>
            <w:rStyle w:val="Hyperlink"/>
            <w:rFonts w:ascii="Times New Roman" w:hAnsi="Times New Roman" w:cs="Times New Roman"/>
          </w:rPr>
          <w:t>https://nhcp.gov.ph/the-secularization-issue-was-an-international-issue/</w:t>
        </w:r>
      </w:hyperlink>
      <w:r w:rsidRPr="005F340D">
        <w:rPr>
          <w:rFonts w:ascii="Times New Roman" w:hAnsi="Times New Roman" w:cs="Times New Roman"/>
        </w:rPr>
        <w:t>.</w:t>
      </w:r>
    </w:p>
    <w:p w14:paraId="44E560DC" w14:textId="77777777" w:rsidR="005F340D" w:rsidRDefault="005F340D" w:rsidP="005F340D">
      <w:pPr>
        <w:jc w:val="both"/>
        <w:rPr>
          <w:rFonts w:ascii="Times New Roman" w:hAnsi="Times New Roman" w:cs="Times New Roman"/>
        </w:rPr>
      </w:pPr>
    </w:p>
    <w:p w14:paraId="34E2C632" w14:textId="370B43E8" w:rsidR="005F340D" w:rsidRPr="005F340D" w:rsidRDefault="005F340D" w:rsidP="005F340D">
      <w:pPr>
        <w:jc w:val="both"/>
        <w:rPr>
          <w:rFonts w:ascii="Times New Roman" w:hAnsi="Times New Roman" w:cs="Times New Roman"/>
        </w:rPr>
      </w:pPr>
      <w:r>
        <w:rPr>
          <w:rFonts w:ascii="Times New Roman" w:hAnsi="Times New Roman" w:cs="Times New Roman"/>
        </w:rPr>
        <w:t xml:space="preserve">Zaide, F. Gregorio. n.d </w:t>
      </w:r>
      <w:r w:rsidRPr="005F340D">
        <w:rPr>
          <w:rFonts w:ascii="Times New Roman" w:hAnsi="Times New Roman" w:cs="Times New Roman"/>
        </w:rPr>
        <w:t>“</w:t>
      </w:r>
      <w:r>
        <w:rPr>
          <w:rFonts w:ascii="Times New Roman" w:hAnsi="Times New Roman" w:cs="Times New Roman"/>
        </w:rPr>
        <w:t>With Their Death Philippine Nationalism was Born</w:t>
      </w:r>
      <w:r w:rsidRPr="005F340D">
        <w:rPr>
          <w:rFonts w:ascii="Times New Roman" w:hAnsi="Times New Roman" w:cs="Times New Roman"/>
        </w:rPr>
        <w:t>.” 2023. Nhcp.gov.ph. 2023. https://memory.nhcp.gov.ph/collections/?ptermid=3657.</w:t>
      </w:r>
    </w:p>
    <w:p w14:paraId="6F4577BE" w14:textId="7ADA385D" w:rsidR="005F340D" w:rsidRPr="005F340D" w:rsidRDefault="005F340D" w:rsidP="005F340D">
      <w:pPr>
        <w:jc w:val="both"/>
        <w:rPr>
          <w:rFonts w:ascii="Times New Roman" w:hAnsi="Times New Roman" w:cs="Times New Roman"/>
        </w:rPr>
      </w:pPr>
      <w:r w:rsidRPr="005F340D">
        <w:rPr>
          <w:rFonts w:ascii="Times New Roman" w:hAnsi="Times New Roman" w:cs="Times New Roman"/>
        </w:rPr>
        <w:t>‌</w:t>
      </w:r>
    </w:p>
    <w:p w14:paraId="4302B0D1" w14:textId="77777777" w:rsidR="005F340D" w:rsidRPr="005F340D" w:rsidRDefault="005F340D" w:rsidP="005F340D">
      <w:pPr>
        <w:jc w:val="both"/>
        <w:rPr>
          <w:rFonts w:ascii="Times New Roman" w:hAnsi="Times New Roman" w:cs="Times New Roman"/>
        </w:rPr>
      </w:pPr>
      <w:r w:rsidRPr="005F340D">
        <w:rPr>
          <w:rFonts w:ascii="Times New Roman" w:hAnsi="Times New Roman" w:cs="Times New Roman"/>
        </w:rPr>
        <w:t>‌</w:t>
      </w:r>
    </w:p>
    <w:p w14:paraId="4F49D651" w14:textId="77777777" w:rsidR="005F340D" w:rsidRPr="005F340D" w:rsidRDefault="005F340D" w:rsidP="005F340D">
      <w:pPr>
        <w:jc w:val="both"/>
        <w:rPr>
          <w:rFonts w:ascii="Times New Roman" w:hAnsi="Times New Roman" w:cs="Times New Roman"/>
        </w:rPr>
      </w:pPr>
    </w:p>
    <w:sectPr w:rsidR="005F340D" w:rsidRPr="005F340D">
      <w:headerReference w:type="even" r:id="rId17"/>
      <w:headerReference w:type="default" r:id="rId18"/>
      <w:footerReference w:type="even" r:id="rId19"/>
      <w:footerReference w:type="default" r:id="rId20"/>
      <w:headerReference w:type="first" r:id="rId21"/>
      <w:footerReference w:type="first" r:id="rId2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5A87EEB" w14:textId="77777777" w:rsidR="000E2B61" w:rsidRDefault="000E2B61" w:rsidP="00D72A49">
      <w:r>
        <w:separator/>
      </w:r>
    </w:p>
  </w:endnote>
  <w:endnote w:type="continuationSeparator" w:id="0">
    <w:p w14:paraId="04A75836" w14:textId="77777777" w:rsidR="000E2B61" w:rsidRDefault="000E2B61" w:rsidP="00D72A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F64A4F" w14:textId="77777777" w:rsidR="00573C4A" w:rsidRDefault="00573C4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D12F498" w14:textId="77777777" w:rsidR="00573C4A" w:rsidRDefault="00573C4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658D36B" w14:textId="77777777" w:rsidR="00573C4A" w:rsidRDefault="00573C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C3318AB" w14:textId="77777777" w:rsidR="000E2B61" w:rsidRDefault="000E2B61" w:rsidP="00D72A49">
      <w:r>
        <w:separator/>
      </w:r>
    </w:p>
  </w:footnote>
  <w:footnote w:type="continuationSeparator" w:id="0">
    <w:p w14:paraId="48D118A9" w14:textId="77777777" w:rsidR="000E2B61" w:rsidRDefault="000E2B61" w:rsidP="00D72A49">
      <w:r>
        <w:continuationSeparator/>
      </w:r>
    </w:p>
  </w:footnote>
  <w:footnote w:id="1">
    <w:p w14:paraId="1774489A" w14:textId="469A85B3" w:rsidR="005F340D" w:rsidRPr="005F340D" w:rsidRDefault="005F340D">
      <w:pPr>
        <w:pStyle w:val="FootnoteText"/>
        <w:rPr>
          <w:rFonts w:ascii="Times New Roman" w:hAnsi="Times New Roman" w:cs="Times New Roman"/>
        </w:rPr>
      </w:pPr>
      <w:r w:rsidRPr="005F340D">
        <w:rPr>
          <w:rStyle w:val="FootnoteReference"/>
          <w:rFonts w:ascii="Times New Roman" w:hAnsi="Times New Roman" w:cs="Times New Roman"/>
        </w:rPr>
        <w:footnoteRef/>
      </w:r>
      <w:r w:rsidRPr="005F340D">
        <w:rPr>
          <w:rFonts w:ascii="Times New Roman" w:hAnsi="Times New Roman" w:cs="Times New Roman"/>
        </w:rPr>
        <w:t xml:space="preserve"> National Parks Development Committee, 2021.</w:t>
      </w:r>
    </w:p>
  </w:footnote>
  <w:footnote w:id="2">
    <w:p w14:paraId="6FED2241" w14:textId="77777777" w:rsidR="005F340D" w:rsidRPr="005F340D" w:rsidRDefault="005F340D" w:rsidP="005F340D">
      <w:pPr>
        <w:pStyle w:val="FootnoteText"/>
        <w:rPr>
          <w:rFonts w:ascii="Times New Roman" w:hAnsi="Times New Roman" w:cs="Times New Roman"/>
        </w:rPr>
      </w:pPr>
      <w:r w:rsidRPr="005F340D">
        <w:rPr>
          <w:rStyle w:val="FootnoteReference"/>
          <w:rFonts w:ascii="Times New Roman" w:hAnsi="Times New Roman" w:cs="Times New Roman"/>
        </w:rPr>
        <w:footnoteRef/>
      </w:r>
      <w:r w:rsidRPr="005F340D">
        <w:rPr>
          <w:rFonts w:ascii="Times New Roman" w:hAnsi="Times New Roman" w:cs="Times New Roman"/>
        </w:rPr>
        <w:t xml:space="preserve"> Uckung, 2012.</w:t>
      </w:r>
    </w:p>
  </w:footnote>
  <w:footnote w:id="3">
    <w:p w14:paraId="762F4C7B" w14:textId="77777777" w:rsidR="005F340D" w:rsidRPr="005F340D" w:rsidRDefault="005F340D" w:rsidP="005F340D">
      <w:pPr>
        <w:pStyle w:val="FootnoteText"/>
        <w:rPr>
          <w:rFonts w:ascii="Times New Roman" w:hAnsi="Times New Roman" w:cs="Times New Roman"/>
        </w:rPr>
      </w:pPr>
      <w:r w:rsidRPr="005F340D">
        <w:rPr>
          <w:rStyle w:val="FootnoteReference"/>
          <w:rFonts w:ascii="Times New Roman" w:hAnsi="Times New Roman" w:cs="Times New Roman"/>
        </w:rPr>
        <w:footnoteRef/>
      </w:r>
      <w:r w:rsidRPr="005F340D">
        <w:rPr>
          <w:rFonts w:ascii="Times New Roman" w:hAnsi="Times New Roman" w:cs="Times New Roman"/>
        </w:rPr>
        <w:t xml:space="preserve"> Schumacher, 1997. </w:t>
      </w:r>
    </w:p>
  </w:footnote>
  <w:footnote w:id="4">
    <w:p w14:paraId="53AF99E1" w14:textId="42C041B0" w:rsidR="005F340D" w:rsidRPr="005F340D" w:rsidRDefault="005F340D">
      <w:pPr>
        <w:pStyle w:val="FootnoteText"/>
        <w:rPr>
          <w:rFonts w:ascii="Times New Roman" w:hAnsi="Times New Roman" w:cs="Times New Roman"/>
        </w:rPr>
      </w:pPr>
      <w:r w:rsidRPr="005F340D">
        <w:rPr>
          <w:rStyle w:val="FootnoteReference"/>
          <w:rFonts w:ascii="Times New Roman" w:hAnsi="Times New Roman" w:cs="Times New Roman"/>
        </w:rPr>
        <w:footnoteRef/>
      </w:r>
      <w:r w:rsidRPr="005F340D">
        <w:rPr>
          <w:rFonts w:ascii="Times New Roman" w:hAnsi="Times New Roman" w:cs="Times New Roman"/>
        </w:rPr>
        <w:t xml:space="preserve"> Zaide, n.d</w:t>
      </w:r>
      <w:r>
        <w:rPr>
          <w:rFonts w:ascii="Times New Roman" w:hAnsi="Times New Roman" w:cs="Times New Roman"/>
        </w:rPr>
        <w:t>.</w:t>
      </w:r>
    </w:p>
  </w:footnote>
  <w:footnote w:id="5">
    <w:p w14:paraId="77823C87" w14:textId="491BC6FC" w:rsidR="005F340D" w:rsidRPr="005F340D" w:rsidRDefault="005F340D">
      <w:pPr>
        <w:pStyle w:val="FootnoteText"/>
        <w:rPr>
          <w:rFonts w:ascii="Times New Roman" w:hAnsi="Times New Roman" w:cs="Times New Roman"/>
        </w:rPr>
      </w:pPr>
      <w:r w:rsidRPr="005F340D">
        <w:rPr>
          <w:rStyle w:val="FootnoteReference"/>
          <w:rFonts w:ascii="Times New Roman" w:hAnsi="Times New Roman" w:cs="Times New Roman"/>
        </w:rPr>
        <w:footnoteRef/>
      </w:r>
      <w:r w:rsidRPr="005F340D">
        <w:rPr>
          <w:rFonts w:ascii="Times New Roman" w:hAnsi="Times New Roman" w:cs="Times New Roman"/>
        </w:rPr>
        <w:t xml:space="preserve"> Abueva, 1998.</w:t>
      </w:r>
    </w:p>
  </w:footnote>
  <w:footnote w:id="6">
    <w:p w14:paraId="3ACF72CC" w14:textId="131EAFC8" w:rsidR="005F340D" w:rsidRPr="005F340D" w:rsidRDefault="005F340D">
      <w:pPr>
        <w:pStyle w:val="FootnoteText"/>
        <w:rPr>
          <w:rFonts w:ascii="Times New Roman" w:hAnsi="Times New Roman" w:cs="Times New Roman"/>
        </w:rPr>
      </w:pPr>
      <w:r w:rsidRPr="005F340D">
        <w:rPr>
          <w:rStyle w:val="FootnoteReference"/>
          <w:rFonts w:ascii="Times New Roman" w:hAnsi="Times New Roman" w:cs="Times New Roman"/>
        </w:rPr>
        <w:footnoteRef/>
      </w:r>
      <w:r w:rsidRPr="005F340D">
        <w:rPr>
          <w:rFonts w:ascii="Times New Roman" w:hAnsi="Times New Roman" w:cs="Times New Roman"/>
        </w:rPr>
        <w:t xml:space="preserve"> Rizal, 1891.</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1849657" w14:textId="77777777" w:rsidR="00573C4A" w:rsidRDefault="00573C4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6CF772A" w14:textId="77777777" w:rsidR="00D72A49" w:rsidRDefault="00D72A4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10E498C" w14:textId="77777777" w:rsidR="00573C4A" w:rsidRDefault="00573C4A">
    <w:pPr>
      <w:pStyle w:val="Header"/>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1"/>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79D1"/>
    <w:rsid w:val="000E2B61"/>
    <w:rsid w:val="001124BD"/>
    <w:rsid w:val="001B50F9"/>
    <w:rsid w:val="002718CE"/>
    <w:rsid w:val="004155B9"/>
    <w:rsid w:val="00417F4E"/>
    <w:rsid w:val="00427DCD"/>
    <w:rsid w:val="00573C4A"/>
    <w:rsid w:val="005F340D"/>
    <w:rsid w:val="006D5273"/>
    <w:rsid w:val="007830AC"/>
    <w:rsid w:val="007D51AA"/>
    <w:rsid w:val="00975AB7"/>
    <w:rsid w:val="00993804"/>
    <w:rsid w:val="009B4952"/>
    <w:rsid w:val="009D2C6B"/>
    <w:rsid w:val="00B879D1"/>
    <w:rsid w:val="00D72A4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D75C5"/>
  <w15:chartTrackingRefBased/>
  <w15:docId w15:val="{72BE32B5-D909-C842-A3EF-F0AD00CAC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Helvetica" w:eastAsiaTheme="minorHAnsi" w:hAnsi="Helvetica" w:cs="Times New Roman (Body CS)"/>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2A4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72A49"/>
    <w:pPr>
      <w:tabs>
        <w:tab w:val="center" w:pos="4513"/>
        <w:tab w:val="right" w:pos="9026"/>
      </w:tabs>
    </w:pPr>
  </w:style>
  <w:style w:type="character" w:customStyle="1" w:styleId="HeaderChar">
    <w:name w:val="Header Char"/>
    <w:basedOn w:val="DefaultParagraphFont"/>
    <w:link w:val="Header"/>
    <w:uiPriority w:val="99"/>
    <w:rsid w:val="00D72A49"/>
  </w:style>
  <w:style w:type="paragraph" w:styleId="Footer">
    <w:name w:val="footer"/>
    <w:basedOn w:val="Normal"/>
    <w:link w:val="FooterChar"/>
    <w:uiPriority w:val="99"/>
    <w:unhideWhenUsed/>
    <w:rsid w:val="00D72A49"/>
    <w:pPr>
      <w:tabs>
        <w:tab w:val="center" w:pos="4513"/>
        <w:tab w:val="right" w:pos="9026"/>
      </w:tabs>
    </w:pPr>
  </w:style>
  <w:style w:type="character" w:customStyle="1" w:styleId="FooterChar">
    <w:name w:val="Footer Char"/>
    <w:basedOn w:val="DefaultParagraphFont"/>
    <w:link w:val="Footer"/>
    <w:uiPriority w:val="99"/>
    <w:rsid w:val="00D72A49"/>
  </w:style>
  <w:style w:type="paragraph" w:customStyle="1" w:styleId="AGLC4">
    <w:name w:val="AGLC4"/>
    <w:basedOn w:val="FootnoteText"/>
    <w:qFormat/>
    <w:rsid w:val="001B50F9"/>
    <w:rPr>
      <w:rFonts w:ascii="Times New Roman" w:hAnsi="Times New Roman"/>
    </w:rPr>
  </w:style>
  <w:style w:type="paragraph" w:styleId="FootnoteText">
    <w:name w:val="footnote text"/>
    <w:basedOn w:val="Normal"/>
    <w:link w:val="FootnoteTextChar"/>
    <w:uiPriority w:val="99"/>
    <w:semiHidden/>
    <w:unhideWhenUsed/>
    <w:rsid w:val="001B50F9"/>
    <w:rPr>
      <w:sz w:val="20"/>
      <w:szCs w:val="20"/>
    </w:rPr>
  </w:style>
  <w:style w:type="character" w:customStyle="1" w:styleId="FootnoteTextChar">
    <w:name w:val="Footnote Text Char"/>
    <w:basedOn w:val="DefaultParagraphFont"/>
    <w:link w:val="FootnoteText"/>
    <w:uiPriority w:val="99"/>
    <w:semiHidden/>
    <w:rsid w:val="001B50F9"/>
    <w:rPr>
      <w:sz w:val="20"/>
      <w:szCs w:val="20"/>
    </w:rPr>
  </w:style>
  <w:style w:type="character" w:styleId="FootnoteReference">
    <w:name w:val="footnote reference"/>
    <w:basedOn w:val="DefaultParagraphFont"/>
    <w:uiPriority w:val="99"/>
    <w:semiHidden/>
    <w:unhideWhenUsed/>
    <w:rsid w:val="005F340D"/>
    <w:rPr>
      <w:vertAlign w:val="superscript"/>
    </w:rPr>
  </w:style>
  <w:style w:type="character" w:styleId="Hyperlink">
    <w:name w:val="Hyperlink"/>
    <w:basedOn w:val="DefaultParagraphFont"/>
    <w:uiPriority w:val="99"/>
    <w:unhideWhenUsed/>
    <w:rsid w:val="005F340D"/>
    <w:rPr>
      <w:color w:val="0563C1" w:themeColor="hyperlink"/>
      <w:u w:val="single"/>
    </w:rPr>
  </w:style>
  <w:style w:type="character" w:styleId="UnresolvedMention">
    <w:name w:val="Unresolved Mention"/>
    <w:basedOn w:val="DefaultParagraphFont"/>
    <w:uiPriority w:val="99"/>
    <w:semiHidden/>
    <w:unhideWhenUsed/>
    <w:rsid w:val="005F340D"/>
    <w:rPr>
      <w:color w:val="605E5C"/>
      <w:shd w:val="clear" w:color="auto" w:fill="E1DFDD"/>
    </w:rPr>
  </w:style>
  <w:style w:type="paragraph" w:styleId="Caption">
    <w:name w:val="caption"/>
    <w:basedOn w:val="Normal"/>
    <w:next w:val="Normal"/>
    <w:uiPriority w:val="35"/>
    <w:unhideWhenUsed/>
    <w:qFormat/>
    <w:rsid w:val="005F340D"/>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850869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www.nationalmuseum.gov.ph/2025/02/17/nmp-commemorates-gomburza-on-153rd-martyrdom-anniversary/" TargetMode="External"/><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jpeg"/><Relationship Id="rId12" Type="http://schemas.openxmlformats.org/officeDocument/2006/relationships/hyperlink" Target="https://anghistorya.blogspot.com/2022/04/149-gomburza-150.html"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nhcp.gov.ph/the-secularization-issue-was-an-international-issue/"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traveleronfoot.wordpress.com/tag/gomburza/"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www.gutenberg.org/files/30903/30903-h/30903-h.htm" TargetMode="External"/><Relationship Id="rId23"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s://www.youtube.com/watch?v=Vac6rLAaJhU" TargetMode="External"/><Relationship Id="rId22"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Lily/Library/Group%20Containers/UBF8T346G9.Office/User%20Content.localized/Templates.localized/Essay%20Header.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48208F46-6584-6E45-83B8-A6D8042A5B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Essay Header.dotx</Template>
  <TotalTime>0</TotalTime>
  <Pages>4</Pages>
  <Words>1164</Words>
  <Characters>6636</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Lily Wakefield</dc:creator>
  <cp:keywords/>
  <dc:description/>
  <cp:lastModifiedBy>Lily  Wakefield</cp:lastModifiedBy>
  <cp:revision>2</cp:revision>
  <dcterms:created xsi:type="dcterms:W3CDTF">2026-07-12T12:23:00Z</dcterms:created>
  <dcterms:modified xsi:type="dcterms:W3CDTF">2026-07-12T12:23:00Z</dcterms:modified>
</cp:coreProperties>
</file>