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55B9" w14:textId="77777777" w:rsidR="0083008E" w:rsidRDefault="00000000">
      <w:pPr>
        <w:pStyle w:val="Ttulo"/>
      </w:pPr>
      <w:bookmarkStart w:id="0" w:name="_81ergfqknrz" w:colFirst="0" w:colLast="0"/>
      <w:bookmarkEnd w:id="0"/>
      <w:r>
        <w:t>Guía de Estudio: Introducción a la Programación</w:t>
      </w:r>
    </w:p>
    <w:p w14:paraId="6EF663B6" w14:textId="77777777" w:rsidR="0083008E" w:rsidRDefault="00000000">
      <w:r>
        <w:t>Material de preparación para el examen sobre fundamentos de desarrollo web, control de versiones con Git y maquetación CSS.</w:t>
      </w:r>
    </w:p>
    <w:p w14:paraId="7D5C1E39" w14:textId="77777777" w:rsidR="0083008E" w:rsidRDefault="00000000">
      <w:pPr>
        <w:pStyle w:val="Ttulo1"/>
      </w:pPr>
      <w:bookmarkStart w:id="1" w:name="_eyzlxo5w9o0y" w:colFirst="0" w:colLast="0"/>
      <w:bookmarkEnd w:id="1"/>
      <w:r>
        <w:t>1. Etiquetas HTML Principales y su Uso</w:t>
      </w:r>
    </w:p>
    <w:p w14:paraId="52005A21" w14:textId="77777777" w:rsidR="0083008E" w:rsidRDefault="00000000"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es el lenguaje estándar para estructurar el contenido de las páginas web.</w:t>
      </w:r>
    </w:p>
    <w:p w14:paraId="728E93B4" w14:textId="77777777" w:rsidR="0083008E" w:rsidRDefault="00000000">
      <w:pPr>
        <w:pStyle w:val="Ttulo2"/>
      </w:pPr>
      <w:bookmarkStart w:id="2" w:name="_lcu8hmmggsak" w:colFirst="0" w:colLast="0"/>
      <w:bookmarkEnd w:id="2"/>
      <w:r>
        <w:t>Estructura Básica</w:t>
      </w:r>
    </w:p>
    <w:p w14:paraId="62C559EC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 xml:space="preserve">&lt;!DOCTYPE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html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Declara el tipo de documento y la versión de HTML (HTML5).</w:t>
      </w:r>
    </w:p>
    <w:p w14:paraId="4817A48D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html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El elemento raíz que envuelve todo el contenido de la página.</w:t>
      </w:r>
    </w:p>
    <w:p w14:paraId="4E108BB0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&lt;head&gt;</w:t>
      </w:r>
      <w:r>
        <w:t>: Contiene metadatos, títulos del documento y enlaces a recursos externos (CSS, fuentes).</w:t>
      </w:r>
    </w:p>
    <w:p w14:paraId="6BCBD04D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body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Contiene la parte visible de la página web para el usuario.</w:t>
      </w:r>
    </w:p>
    <w:p w14:paraId="0503135C" w14:textId="77777777" w:rsidR="0083008E" w:rsidRDefault="00000000">
      <w:pPr>
        <w:pStyle w:val="Ttulo2"/>
      </w:pPr>
      <w:bookmarkStart w:id="3" w:name="_3fln4fqh3j5v" w:colFirst="0" w:colLast="0"/>
      <w:bookmarkEnd w:id="3"/>
      <w:r>
        <w:t>Texto y Encabezados</w:t>
      </w:r>
    </w:p>
    <w:p w14:paraId="620A6DC9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&lt;h1&gt;</w:t>
      </w:r>
      <w:r>
        <w:rPr>
          <w:b/>
          <w:bCs/>
        </w:rPr>
        <w:t xml:space="preserve"> a </w:t>
      </w:r>
      <w:r>
        <w:rPr>
          <w:rFonts w:ascii="Roboto Mono" w:eastAsia="Roboto Mono" w:hAnsi="Roboto Mono" w:cs="Roboto Mono"/>
          <w:b/>
          <w:bCs/>
          <w:color w:val="188038"/>
        </w:rPr>
        <w:t>&lt;h6&gt;</w:t>
      </w:r>
      <w:r>
        <w:t xml:space="preserve">: Encabezados jerárquicos. </w:t>
      </w:r>
      <w:r>
        <w:rPr>
          <w:rFonts w:ascii="Roboto Mono" w:eastAsia="Roboto Mono" w:hAnsi="Roboto Mono" w:cs="Roboto Mono"/>
          <w:color w:val="188038"/>
        </w:rPr>
        <w:t>&lt;h1&gt;</w:t>
      </w:r>
      <w:r>
        <w:t xml:space="preserve"> representa el título principal e importante; </w:t>
      </w:r>
      <w:r>
        <w:rPr>
          <w:rFonts w:ascii="Roboto Mono" w:eastAsia="Roboto Mono" w:hAnsi="Roboto Mono" w:cs="Roboto Mono"/>
          <w:color w:val="188038"/>
        </w:rPr>
        <w:t>&lt;h6&gt;</w:t>
      </w:r>
      <w:r>
        <w:t xml:space="preserve"> es el subtítulo de menor nivel.</w:t>
      </w:r>
    </w:p>
    <w:p w14:paraId="4522AF28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&lt;p&gt;</w:t>
      </w:r>
      <w:r>
        <w:t>: Define un párrafo de texto.</w:t>
      </w:r>
    </w:p>
    <w:p w14:paraId="5EA66407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span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Elemento contenedor en línea (</w:t>
      </w:r>
      <w:proofErr w:type="spellStart"/>
      <w:r>
        <w:rPr>
          <w:i/>
          <w:iCs/>
        </w:rPr>
        <w:t>inline</w:t>
      </w:r>
      <w:proofErr w:type="spellEnd"/>
      <w:r>
        <w:t>) utilizado para aplicar estilos o manipular fragmentos de texto mediante scripts.</w:t>
      </w:r>
    </w:p>
    <w:p w14:paraId="305839DC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strong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 xml:space="preserve">: Indica la importancia semántica del texto, mostrándolo habitualmente en </w:t>
      </w:r>
      <w:r>
        <w:rPr>
          <w:b/>
          <w:bCs/>
        </w:rPr>
        <w:t>negrita</w:t>
      </w:r>
      <w:r>
        <w:t>.</w:t>
      </w:r>
    </w:p>
    <w:p w14:paraId="43B0742E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&lt;em&gt;</w:t>
      </w:r>
      <w:r>
        <w:t xml:space="preserve">: Representa énfasis, mostrándolo habitualmente en </w:t>
      </w:r>
      <w:r>
        <w:rPr>
          <w:i/>
          <w:iCs/>
        </w:rPr>
        <w:t>cursiva</w:t>
      </w:r>
      <w:r>
        <w:t>.</w:t>
      </w:r>
    </w:p>
    <w:p w14:paraId="6365D895" w14:textId="77777777" w:rsidR="0083008E" w:rsidRDefault="00000000">
      <w:pPr>
        <w:pStyle w:val="Ttulo2"/>
      </w:pPr>
      <w:bookmarkStart w:id="4" w:name="_it40yuf6bh0t" w:colFirst="0" w:colLast="0"/>
      <w:bookmarkEnd w:id="4"/>
      <w:r>
        <w:t>Listas</w:t>
      </w:r>
    </w:p>
    <w:p w14:paraId="5532BE18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ul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Lista no ordenada (</w:t>
      </w:r>
      <w:proofErr w:type="spellStart"/>
      <w:r>
        <w:rPr>
          <w:i/>
          <w:iCs/>
        </w:rPr>
        <w:t>unordered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list</w:t>
      </w:r>
      <w:proofErr w:type="spellEnd"/>
      <w:r>
        <w:t>), cuyos elementos se muestran con viñetas.</w:t>
      </w:r>
    </w:p>
    <w:p w14:paraId="16B38320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ol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Lista ordenada (</w:t>
      </w:r>
      <w:proofErr w:type="spellStart"/>
      <w:r>
        <w:rPr>
          <w:i/>
          <w:iCs/>
        </w:rPr>
        <w:t>ordered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list</w:t>
      </w:r>
      <w:proofErr w:type="spellEnd"/>
      <w:r>
        <w:t>), cuyos elementos se presentan numerados o secuenciados.</w:t>
      </w:r>
    </w:p>
    <w:p w14:paraId="7FBA2562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lastRenderedPageBreak/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li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Elemento individual dentro de una lista (</w:t>
      </w:r>
      <w:proofErr w:type="spellStart"/>
      <w:r>
        <w:rPr>
          <w:i/>
          <w:iCs/>
        </w:rPr>
        <w:t>list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item</w:t>
      </w:r>
      <w:proofErr w:type="spellEnd"/>
      <w:r>
        <w:t>).</w:t>
      </w:r>
    </w:p>
    <w:p w14:paraId="23391ABD" w14:textId="77777777" w:rsidR="0083008E" w:rsidRDefault="00000000">
      <w:pPr>
        <w:pStyle w:val="Ttulo2"/>
      </w:pPr>
      <w:bookmarkStart w:id="5" w:name="_vqpb666q7ocl" w:colFirst="0" w:colLast="0"/>
      <w:bookmarkEnd w:id="5"/>
      <w:r>
        <w:t>Enlaces e Imágenes</w:t>
      </w:r>
    </w:p>
    <w:p w14:paraId="60C37B22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 xml:space="preserve">&lt;a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href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="..."&gt;</w:t>
      </w:r>
      <w:r>
        <w:t>: Hipervínculo que permite navegar hacia otras páginas, recursos o secciones.</w:t>
      </w:r>
    </w:p>
    <w:p w14:paraId="4657A337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="..."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alt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="..."&gt;</w:t>
      </w:r>
      <w:r>
        <w:t xml:space="preserve">: Inserta una imagen. Atributo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 xml:space="preserve"> indica la ruta y </w:t>
      </w:r>
      <w:proofErr w:type="spellStart"/>
      <w:r>
        <w:rPr>
          <w:rFonts w:ascii="Roboto Mono" w:eastAsia="Roboto Mono" w:hAnsi="Roboto Mono" w:cs="Roboto Mono"/>
          <w:color w:val="188038"/>
        </w:rPr>
        <w:t>alt</w:t>
      </w:r>
      <w:proofErr w:type="spellEnd"/>
      <w:r>
        <w:t xml:space="preserve"> proporciona una descripción alternativa para accesibilidad.</w:t>
      </w:r>
    </w:p>
    <w:p w14:paraId="2B1D42FC" w14:textId="77777777" w:rsidR="0083008E" w:rsidRDefault="00000000">
      <w:pPr>
        <w:pStyle w:val="Ttulo2"/>
      </w:pPr>
      <w:bookmarkStart w:id="6" w:name="_4gvt3of0bqvu" w:colFirst="0" w:colLast="0"/>
      <w:bookmarkEnd w:id="6"/>
      <w:r>
        <w:t>Contenedores y Formularios</w:t>
      </w:r>
    </w:p>
    <w:p w14:paraId="1C9F7466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div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Contenedor genérico a nivel de bloque (</w:t>
      </w:r>
      <w:r>
        <w:rPr>
          <w:i/>
          <w:iCs/>
        </w:rPr>
        <w:t>block</w:t>
      </w:r>
      <w:r>
        <w:t>) utilizado para agrupar elementos y aplicar estilos.</w:t>
      </w:r>
    </w:p>
    <w:p w14:paraId="2C411F09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form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Define una sección interactiva para recopilar y enviar datos del usuario.</w:t>
      </w:r>
    </w:p>
    <w:p w14:paraId="595055AA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&lt;input&gt;</w:t>
      </w:r>
      <w:r>
        <w:t xml:space="preserve">: Campo de entrada genérico para el usuario (texto, </w:t>
      </w:r>
      <w:proofErr w:type="spellStart"/>
      <w:r>
        <w:t>checkbox</w:t>
      </w:r>
      <w:proofErr w:type="spellEnd"/>
      <w:r>
        <w:t>, radio, etc.).</w:t>
      </w:r>
    </w:p>
    <w:p w14:paraId="79F339D7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button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>: Botón interactivo para ejecutar acciones dentro o fuera de un formulario.</w:t>
      </w:r>
    </w:p>
    <w:p w14:paraId="02FEDA35" w14:textId="77777777" w:rsidR="0083008E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label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&gt;</w:t>
      </w:r>
      <w:r>
        <w:t xml:space="preserve">: Define una etiqueta descriptiva para un elemento </w:t>
      </w:r>
      <w:r>
        <w:rPr>
          <w:rFonts w:ascii="Roboto Mono" w:eastAsia="Roboto Mono" w:hAnsi="Roboto Mono" w:cs="Roboto Mono"/>
          <w:color w:val="188038"/>
        </w:rPr>
        <w:t>&lt;input&gt;</w:t>
      </w:r>
      <w:r>
        <w:t>, mejorando la accesibilidad.</w:t>
      </w:r>
    </w:p>
    <w:p w14:paraId="0605C25A" w14:textId="77777777" w:rsidR="0083008E" w:rsidRDefault="00000000">
      <w:pPr>
        <w:pStyle w:val="Ttulo1"/>
      </w:pPr>
      <w:bookmarkStart w:id="7" w:name="_kx4ljneurghc" w:colFirst="0" w:colLast="0"/>
      <w:bookmarkEnd w:id="7"/>
      <w:r>
        <w:t>2. Git y Comandos Básicos</w:t>
      </w:r>
    </w:p>
    <w:p w14:paraId="25FDB8C9" w14:textId="77777777" w:rsidR="0083008E" w:rsidRDefault="00000000">
      <w:pPr>
        <w:pStyle w:val="Ttulo2"/>
      </w:pPr>
      <w:bookmarkStart w:id="8" w:name="_1twsiqxu78n2" w:colFirst="0" w:colLast="0"/>
      <w:bookmarkEnd w:id="8"/>
      <w:r>
        <w:t>¿Qué es Git?</w:t>
      </w:r>
    </w:p>
    <w:p w14:paraId="11A6C96F" w14:textId="77777777" w:rsidR="0083008E" w:rsidRDefault="00000000">
      <w:r>
        <w:t xml:space="preserve">Git es un </w:t>
      </w:r>
      <w:r>
        <w:rPr>
          <w:b/>
          <w:bCs/>
        </w:rPr>
        <w:t>sistema de control de versiones distribuido</w:t>
      </w:r>
      <w:r>
        <w:t>. Permite a los desarrolladores rastrear los cambios en el código fuente a lo largo del tiempo, volver a versiones anteriores y trabajar en equipo de manera colaborativa sin sobrescribir el trabajo de otros.</w:t>
      </w:r>
    </w:p>
    <w:p w14:paraId="468A6A6C" w14:textId="77777777" w:rsidR="0083008E" w:rsidRDefault="00000000">
      <w:pPr>
        <w:pStyle w:val="Ttulo2"/>
      </w:pPr>
      <w:bookmarkStart w:id="9" w:name="_r7wvy6hzmj63" w:colFirst="0" w:colLast="0"/>
      <w:bookmarkEnd w:id="9"/>
      <w:r>
        <w:t>Referencia de Comandos Principales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83008E" w14:paraId="3070EBD1" w14:textId="77777777" w:rsidTr="00830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4721912E" w14:textId="77777777" w:rsidR="0083008E" w:rsidRDefault="00000000">
            <w:r>
              <w:t>Comando</w:t>
            </w:r>
          </w:p>
        </w:tc>
        <w:tc>
          <w:tcPr>
            <w:tcW w:w="5000" w:type="dxa"/>
          </w:tcPr>
          <w:p w14:paraId="6DCB6F12" w14:textId="77777777" w:rsidR="0083008E" w:rsidRDefault="00000000">
            <w:r>
              <w:t>Descripción</w:t>
            </w:r>
          </w:p>
        </w:tc>
      </w:tr>
      <w:tr w:rsidR="0083008E" w14:paraId="319ACC0C" w14:textId="77777777" w:rsidTr="0083008E">
        <w:tc>
          <w:tcPr>
            <w:tcW w:w="5000" w:type="dxa"/>
          </w:tcPr>
          <w:p w14:paraId="77138884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init</w:t>
            </w:r>
            <w:proofErr w:type="spellEnd"/>
          </w:p>
        </w:tc>
        <w:tc>
          <w:tcPr>
            <w:tcW w:w="5000" w:type="dxa"/>
          </w:tcPr>
          <w:p w14:paraId="436916C1" w14:textId="77777777" w:rsidR="0083008E" w:rsidRDefault="00000000">
            <w:r>
              <w:t>Inicializa un nuevo repositorio Git en la carpeta o directorio actual.</w:t>
            </w:r>
          </w:p>
        </w:tc>
      </w:tr>
      <w:tr w:rsidR="0083008E" w14:paraId="0D978545" w14:textId="77777777" w:rsidTr="0083008E">
        <w:tc>
          <w:tcPr>
            <w:tcW w:w="5000" w:type="dxa"/>
          </w:tcPr>
          <w:p w14:paraId="1A92AB59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clone 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url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</w:p>
        </w:tc>
        <w:tc>
          <w:tcPr>
            <w:tcW w:w="5000" w:type="dxa"/>
          </w:tcPr>
          <w:p w14:paraId="07C437A6" w14:textId="77777777" w:rsidR="0083008E" w:rsidRDefault="00000000">
            <w:r>
              <w:t>Descarga y clona un repositorio remoto completo en la máquina local.</w:t>
            </w:r>
          </w:p>
        </w:tc>
      </w:tr>
      <w:tr w:rsidR="0083008E" w14:paraId="6DAB7BC1" w14:textId="77777777" w:rsidTr="0083008E">
        <w:tc>
          <w:tcPr>
            <w:tcW w:w="5000" w:type="dxa"/>
          </w:tcPr>
          <w:p w14:paraId="08E050C2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status</w:t>
            </w:r>
          </w:p>
        </w:tc>
        <w:tc>
          <w:tcPr>
            <w:tcW w:w="5000" w:type="dxa"/>
          </w:tcPr>
          <w:p w14:paraId="2086C7CB" w14:textId="77777777" w:rsidR="0083008E" w:rsidRDefault="00000000">
            <w:r>
              <w:t>Muestra el estado del árbol de trabajo (archivos modificados, preparados o no rastreados).</w:t>
            </w:r>
          </w:p>
        </w:tc>
      </w:tr>
      <w:tr w:rsidR="0083008E" w14:paraId="223F262A" w14:textId="77777777" w:rsidTr="0083008E">
        <w:tc>
          <w:tcPr>
            <w:tcW w:w="5000" w:type="dxa"/>
          </w:tcPr>
          <w:p w14:paraId="66B7801D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&lt;archivo&gt;</w:t>
            </w:r>
          </w:p>
        </w:tc>
        <w:tc>
          <w:tcPr>
            <w:tcW w:w="5000" w:type="dxa"/>
          </w:tcPr>
          <w:p w14:paraId="28BAD30B" w14:textId="77777777" w:rsidR="0083008E" w:rsidRDefault="00000000">
            <w:r>
              <w:t>Añade cambios de un archivo específico al área de preparación (</w:t>
            </w:r>
            <w:proofErr w:type="spellStart"/>
            <w:r>
              <w:rPr>
                <w:i/>
                <w:iCs/>
              </w:rPr>
              <w:t>staging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area</w:t>
            </w:r>
            <w:proofErr w:type="spellEnd"/>
            <w:r>
              <w:t>).</w:t>
            </w:r>
          </w:p>
        </w:tc>
      </w:tr>
      <w:tr w:rsidR="0083008E" w14:paraId="44735BF4" w14:textId="77777777" w:rsidTr="0083008E">
        <w:tc>
          <w:tcPr>
            <w:tcW w:w="5000" w:type="dxa"/>
          </w:tcPr>
          <w:p w14:paraId="6BA7D293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.</w:t>
            </w:r>
            <w:proofErr w:type="gramEnd"/>
          </w:p>
        </w:tc>
        <w:tc>
          <w:tcPr>
            <w:tcW w:w="5000" w:type="dxa"/>
          </w:tcPr>
          <w:p w14:paraId="20464FE2" w14:textId="77777777" w:rsidR="0083008E" w:rsidRDefault="00000000">
            <w:r>
              <w:t>Añade todos los archivos modificados y nuevos al área de preparación.</w:t>
            </w:r>
          </w:p>
        </w:tc>
      </w:tr>
      <w:tr w:rsidR="0083008E" w14:paraId="34FEF1C1" w14:textId="77777777" w:rsidTr="0083008E">
        <w:tc>
          <w:tcPr>
            <w:tcW w:w="5000" w:type="dxa"/>
          </w:tcPr>
          <w:p w14:paraId="189B8B17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-m "mensaje"</w:t>
            </w:r>
          </w:p>
        </w:tc>
        <w:tc>
          <w:tcPr>
            <w:tcW w:w="5000" w:type="dxa"/>
          </w:tcPr>
          <w:p w14:paraId="2233B6F7" w14:textId="77777777" w:rsidR="0083008E" w:rsidRDefault="00000000">
            <w:r>
              <w:t xml:space="preserve">Guarda los cambios del </w:t>
            </w:r>
            <w:proofErr w:type="spellStart"/>
            <w:r>
              <w:rPr>
                <w:i/>
                <w:iCs/>
              </w:rPr>
              <w:t>staging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area</w:t>
            </w:r>
            <w:proofErr w:type="spellEnd"/>
            <w:r>
              <w:t xml:space="preserve"> en el historial local con un mensaje descriptivo.</w:t>
            </w:r>
          </w:p>
        </w:tc>
      </w:tr>
      <w:tr w:rsidR="0083008E" w14:paraId="14FB2AE4" w14:textId="77777777" w:rsidTr="0083008E">
        <w:tc>
          <w:tcPr>
            <w:tcW w:w="5000" w:type="dxa"/>
          </w:tcPr>
          <w:p w14:paraId="338D52A7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push</w:t>
            </w:r>
            <w:proofErr w:type="spellEnd"/>
          </w:p>
        </w:tc>
        <w:tc>
          <w:tcPr>
            <w:tcW w:w="5000" w:type="dxa"/>
          </w:tcPr>
          <w:p w14:paraId="4FA8ACD4" w14:textId="77777777" w:rsidR="0083008E" w:rsidRDefault="00000000">
            <w:proofErr w:type="spellStart"/>
            <w:r>
              <w:t>Envia</w:t>
            </w:r>
            <w:proofErr w:type="spellEnd"/>
            <w:r>
              <w:t xml:space="preserve"> las confirmaciones (</w:t>
            </w:r>
            <w:proofErr w:type="spellStart"/>
            <w:r>
              <w:rPr>
                <w:i/>
                <w:iCs/>
              </w:rPr>
              <w:t>commits</w:t>
            </w:r>
            <w:proofErr w:type="spellEnd"/>
            <w:r>
              <w:t>) locales al repositorio remoto.</w:t>
            </w:r>
          </w:p>
        </w:tc>
      </w:tr>
      <w:tr w:rsidR="0083008E" w14:paraId="145BE546" w14:textId="77777777" w:rsidTr="0083008E">
        <w:tc>
          <w:tcPr>
            <w:tcW w:w="5000" w:type="dxa"/>
          </w:tcPr>
          <w:p w14:paraId="02A9398F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pull</w:t>
            </w:r>
            <w:proofErr w:type="spellEnd"/>
          </w:p>
        </w:tc>
        <w:tc>
          <w:tcPr>
            <w:tcW w:w="5000" w:type="dxa"/>
          </w:tcPr>
          <w:p w14:paraId="3111D66D" w14:textId="77777777" w:rsidR="0083008E" w:rsidRDefault="00000000">
            <w:r>
              <w:t>Descarga e incorpora directamente los cambios del repositorio remoto al entorno local.</w:t>
            </w:r>
          </w:p>
        </w:tc>
      </w:tr>
      <w:tr w:rsidR="0083008E" w14:paraId="57BB351E" w14:textId="77777777" w:rsidTr="0083008E">
        <w:tc>
          <w:tcPr>
            <w:tcW w:w="5000" w:type="dxa"/>
          </w:tcPr>
          <w:p w14:paraId="24777876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branch</w:t>
            </w:r>
            <w:proofErr w:type="spellEnd"/>
          </w:p>
        </w:tc>
        <w:tc>
          <w:tcPr>
            <w:tcW w:w="5000" w:type="dxa"/>
          </w:tcPr>
          <w:p w14:paraId="16550C07" w14:textId="77777777" w:rsidR="0083008E" w:rsidRDefault="00000000">
            <w:r>
              <w:t>Lista las ramas locales o crea una nueva si se especifica un nombre.</w:t>
            </w:r>
          </w:p>
        </w:tc>
      </w:tr>
      <w:tr w:rsidR="0083008E" w14:paraId="5FB4A39F" w14:textId="77777777" w:rsidTr="0083008E">
        <w:tc>
          <w:tcPr>
            <w:tcW w:w="5000" w:type="dxa"/>
          </w:tcPr>
          <w:p w14:paraId="43F1B22A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checkout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&lt;rama&gt;</w:t>
            </w:r>
          </w:p>
        </w:tc>
        <w:tc>
          <w:tcPr>
            <w:tcW w:w="5000" w:type="dxa"/>
          </w:tcPr>
          <w:p w14:paraId="2A4CCF2C" w14:textId="77777777" w:rsidR="0083008E" w:rsidRDefault="00000000">
            <w:r>
              <w:t>Cambia a la rama especificada (comando tradicional).</w:t>
            </w:r>
          </w:p>
        </w:tc>
      </w:tr>
      <w:tr w:rsidR="0083008E" w14:paraId="5E9D487A" w14:textId="77777777" w:rsidTr="0083008E">
        <w:tc>
          <w:tcPr>
            <w:tcW w:w="5000" w:type="dxa"/>
          </w:tcPr>
          <w:p w14:paraId="2FF60665" w14:textId="77777777" w:rsidR="0083008E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git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switch &lt;rama&gt;</w:t>
            </w:r>
          </w:p>
        </w:tc>
        <w:tc>
          <w:tcPr>
            <w:tcW w:w="5000" w:type="dxa"/>
          </w:tcPr>
          <w:p w14:paraId="0C601F4B" w14:textId="77777777" w:rsidR="0083008E" w:rsidRDefault="00000000">
            <w:r>
              <w:t>Cambia a la rama especificada (comando moderno e intuitivo).</w:t>
            </w:r>
          </w:p>
        </w:tc>
      </w:tr>
    </w:tbl>
    <w:p w14:paraId="52F24E0E" w14:textId="77777777" w:rsidR="0083008E" w:rsidRDefault="00000000">
      <w:pPr>
        <w:pStyle w:val="Ttulo1"/>
      </w:pPr>
      <w:bookmarkStart w:id="10" w:name="_pzqbj44xcnia" w:colFirst="0" w:colLast="0"/>
      <w:bookmarkEnd w:id="10"/>
      <w:r>
        <w:t>3. Modelo de Caja CSS (Box Model)</w:t>
      </w:r>
    </w:p>
    <w:p w14:paraId="34A951D8" w14:textId="77777777" w:rsidR="0083008E" w:rsidRDefault="00000000">
      <w:r>
        <w:t>El modelo de caja en CSS define la estructura visual predeterminada de todos los elementos HTML, tratándolos como cajas compuestas por varias capas concéntricas.</w:t>
      </w:r>
    </w:p>
    <w:p w14:paraId="5EB58E61" w14:textId="77777777" w:rsidR="0083008E" w:rsidRDefault="00000000">
      <w:pPr>
        <w:pStyle w:val="Ttulo2"/>
      </w:pPr>
      <w:bookmarkStart w:id="11" w:name="_3azuhr8ytijs" w:colFirst="0" w:colLast="0"/>
      <w:bookmarkEnd w:id="11"/>
      <w:r>
        <w:lastRenderedPageBreak/>
        <w:t>Componentes del Modelo de Caja</w:t>
      </w:r>
    </w:p>
    <w:p w14:paraId="762400F1" w14:textId="77777777" w:rsidR="0083008E" w:rsidRDefault="00000000">
      <w:pPr>
        <w:numPr>
          <w:ilvl w:val="0"/>
          <w:numId w:val="4"/>
        </w:numPr>
      </w:pPr>
      <w:r>
        <w:rPr>
          <w:b/>
          <w:bCs/>
        </w:rPr>
        <w:t>Content (Contenido):</w:t>
      </w:r>
      <w:r>
        <w:t xml:space="preserve"> El núcleo del elemento donde se muestra el texto, las imágenes o subelementos.</w:t>
      </w:r>
    </w:p>
    <w:p w14:paraId="5E45185B" w14:textId="77777777" w:rsidR="0083008E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Padding</w:t>
      </w:r>
      <w:proofErr w:type="spellEnd"/>
      <w:r>
        <w:rPr>
          <w:b/>
          <w:bCs/>
        </w:rPr>
        <w:t xml:space="preserve"> (Relleno interno):</w:t>
      </w:r>
      <w:r>
        <w:t xml:space="preserve"> El espacio transparente ubicado entre el contenido principal y el borde.</w:t>
      </w:r>
    </w:p>
    <w:p w14:paraId="1BC4502D" w14:textId="77777777" w:rsidR="0083008E" w:rsidRDefault="00000000">
      <w:pPr>
        <w:numPr>
          <w:ilvl w:val="1"/>
          <w:numId w:val="4"/>
        </w:numPr>
      </w:pPr>
      <w:r>
        <w:t xml:space="preserve">Sintaxis: </w:t>
      </w:r>
      <w:proofErr w:type="spellStart"/>
      <w:r>
        <w:rPr>
          <w:rFonts w:ascii="Roboto Mono" w:eastAsia="Roboto Mono" w:hAnsi="Roboto Mono" w:cs="Roboto Mono"/>
          <w:color w:val="188038"/>
        </w:rPr>
        <w:t>padding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top </w:t>
      </w:r>
      <w:proofErr w:type="spellStart"/>
      <w:r>
        <w:rPr>
          <w:rFonts w:ascii="Roboto Mono" w:eastAsia="Roboto Mono" w:hAnsi="Roboto Mono" w:cs="Roboto Mono"/>
          <w:color w:val="188038"/>
        </w:rPr>
        <w:t>right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bottom </w:t>
      </w:r>
      <w:proofErr w:type="spellStart"/>
      <w:r>
        <w:rPr>
          <w:rFonts w:ascii="Roboto Mono" w:eastAsia="Roboto Mono" w:hAnsi="Roboto Mono" w:cs="Roboto Mono"/>
          <w:color w:val="188038"/>
        </w:rPr>
        <w:t>left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55447E27" w14:textId="77777777" w:rsidR="0083008E" w:rsidRDefault="00000000">
      <w:pPr>
        <w:numPr>
          <w:ilvl w:val="1"/>
          <w:numId w:val="4"/>
        </w:numPr>
      </w:pPr>
      <w:r>
        <w:t xml:space="preserve">Ejemplos: </w:t>
      </w:r>
      <w:proofErr w:type="spellStart"/>
      <w:r>
        <w:rPr>
          <w:rFonts w:ascii="Roboto Mono" w:eastAsia="Roboto Mono" w:hAnsi="Roboto Mono" w:cs="Roboto Mono"/>
          <w:color w:val="188038"/>
        </w:rPr>
        <w:t>padding</w:t>
      </w:r>
      <w:proofErr w:type="spellEnd"/>
      <w:r>
        <w:rPr>
          <w:rFonts w:ascii="Roboto Mono" w:eastAsia="Roboto Mono" w:hAnsi="Roboto Mono" w:cs="Roboto Mono"/>
          <w:color w:val="188038"/>
        </w:rPr>
        <w:t>: 10px;</w:t>
      </w:r>
      <w:r>
        <w:t xml:space="preserve"> (todos los lados) o </w:t>
      </w:r>
      <w:proofErr w:type="spellStart"/>
      <w:r>
        <w:rPr>
          <w:rFonts w:ascii="Roboto Mono" w:eastAsia="Roboto Mono" w:hAnsi="Roboto Mono" w:cs="Roboto Mono"/>
          <w:color w:val="188038"/>
        </w:rPr>
        <w:t>padding</w:t>
      </w:r>
      <w:proofErr w:type="spellEnd"/>
      <w:r>
        <w:rPr>
          <w:rFonts w:ascii="Roboto Mono" w:eastAsia="Roboto Mono" w:hAnsi="Roboto Mono" w:cs="Roboto Mono"/>
          <w:color w:val="188038"/>
        </w:rPr>
        <w:t>: 10px 15px;</w:t>
      </w:r>
      <w:r>
        <w:t xml:space="preserve"> (vertical/horizontal).</w:t>
      </w:r>
    </w:p>
    <w:p w14:paraId="3FA873A9" w14:textId="77777777" w:rsidR="0083008E" w:rsidRDefault="00000000">
      <w:pPr>
        <w:numPr>
          <w:ilvl w:val="0"/>
          <w:numId w:val="4"/>
        </w:numPr>
      </w:pPr>
      <w:r>
        <w:rPr>
          <w:b/>
          <w:bCs/>
        </w:rPr>
        <w:t>Border (Borde):</w:t>
      </w:r>
      <w:r>
        <w:t xml:space="preserve"> La línea que rodea directamente el </w:t>
      </w:r>
      <w:proofErr w:type="spellStart"/>
      <w:r>
        <w:t>padding</w:t>
      </w:r>
      <w:proofErr w:type="spellEnd"/>
      <w:r>
        <w:t xml:space="preserve"> y el contenido.</w:t>
      </w:r>
    </w:p>
    <w:p w14:paraId="3C69FDE6" w14:textId="77777777" w:rsidR="0083008E" w:rsidRDefault="00000000">
      <w:pPr>
        <w:numPr>
          <w:ilvl w:val="1"/>
          <w:numId w:val="4"/>
        </w:numPr>
      </w:pPr>
      <w:r>
        <w:t xml:space="preserve">Sintaxis: </w:t>
      </w:r>
      <w:proofErr w:type="spellStart"/>
      <w:r>
        <w:rPr>
          <w:rFonts w:ascii="Roboto Mono" w:eastAsia="Roboto Mono" w:hAnsi="Roboto Mono" w:cs="Roboto Mono"/>
          <w:color w:val="188038"/>
        </w:rPr>
        <w:t>border</w:t>
      </w:r>
      <w:proofErr w:type="spellEnd"/>
      <w:r>
        <w:rPr>
          <w:rFonts w:ascii="Roboto Mono" w:eastAsia="Roboto Mono" w:hAnsi="Roboto Mono" w:cs="Roboto Mono"/>
          <w:color w:val="188038"/>
        </w:rPr>
        <w:t>: ancho estilo color;</w:t>
      </w:r>
    </w:p>
    <w:p w14:paraId="493E42C9" w14:textId="77777777" w:rsidR="0083008E" w:rsidRDefault="00000000">
      <w:pPr>
        <w:numPr>
          <w:ilvl w:val="1"/>
          <w:numId w:val="4"/>
        </w:numPr>
      </w:pPr>
      <w:r>
        <w:t xml:space="preserve">Ejemplo: </w:t>
      </w:r>
      <w:proofErr w:type="spellStart"/>
      <w:r>
        <w:rPr>
          <w:rFonts w:ascii="Roboto Mono" w:eastAsia="Roboto Mono" w:hAnsi="Roboto Mono" w:cs="Roboto Mono"/>
          <w:color w:val="188038"/>
        </w:rPr>
        <w:t>border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2px </w:t>
      </w:r>
      <w:proofErr w:type="spellStart"/>
      <w:r>
        <w:rPr>
          <w:rFonts w:ascii="Roboto Mono" w:eastAsia="Roboto Mono" w:hAnsi="Roboto Mono" w:cs="Roboto Mono"/>
          <w:color w:val="188038"/>
        </w:rPr>
        <w:t>solid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black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7494F7E0" w14:textId="77777777" w:rsidR="0083008E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 (Margen externo):</w:t>
      </w:r>
      <w:r>
        <w:t xml:space="preserve"> El espacio transparente fuera del borde que separa el elemento actual de sus elementos vecinos en el maquetado.</w:t>
      </w:r>
    </w:p>
    <w:p w14:paraId="11F64AEF" w14:textId="77777777" w:rsidR="0083008E" w:rsidRDefault="00000000">
      <w:pPr>
        <w:numPr>
          <w:ilvl w:val="1"/>
          <w:numId w:val="4"/>
        </w:numPr>
      </w:pPr>
      <w:r>
        <w:t xml:space="preserve">Sintaxis: </w:t>
      </w:r>
      <w:proofErr w:type="spellStart"/>
      <w:r>
        <w:rPr>
          <w:rFonts w:ascii="Roboto Mono" w:eastAsia="Roboto Mono" w:hAnsi="Roboto Mono" w:cs="Roboto Mono"/>
          <w:color w:val="188038"/>
        </w:rPr>
        <w:t>margin</w:t>
      </w:r>
      <w:proofErr w:type="spellEnd"/>
      <w:r>
        <w:rPr>
          <w:rFonts w:ascii="Roboto Mono" w:eastAsia="Roboto Mono" w:hAnsi="Roboto Mono" w:cs="Roboto Mono"/>
          <w:color w:val="188038"/>
        </w:rPr>
        <w:t>: 20px;</w:t>
      </w:r>
    </w:p>
    <w:p w14:paraId="30A55E5C" w14:textId="77777777" w:rsidR="0083008E" w:rsidRDefault="00000000">
      <w:pPr>
        <w:numPr>
          <w:ilvl w:val="1"/>
          <w:numId w:val="4"/>
        </w:numPr>
      </w:pPr>
      <w:r>
        <w:t xml:space="preserve">Uso común: </w:t>
      </w:r>
      <w:proofErr w:type="spellStart"/>
      <w:r>
        <w:rPr>
          <w:rFonts w:ascii="Roboto Mono" w:eastAsia="Roboto Mono" w:hAnsi="Roboto Mono" w:cs="Roboto Mono"/>
          <w:color w:val="188038"/>
        </w:rPr>
        <w:t>margin</w:t>
      </w:r>
      <w:proofErr w:type="spellEnd"/>
      <w:r>
        <w:rPr>
          <w:rFonts w:ascii="Roboto Mono" w:eastAsia="Roboto Mono" w:hAnsi="Roboto Mono" w:cs="Roboto Mono"/>
          <w:color w:val="188038"/>
        </w:rPr>
        <w:t>: 0 auto;</w:t>
      </w:r>
      <w:r>
        <w:t xml:space="preserve"> (utilizado para centrar elementos de bloque con un ancho definido).</w:t>
      </w:r>
    </w:p>
    <w:p w14:paraId="5321B75A" w14:textId="77777777" w:rsidR="0083008E" w:rsidRDefault="00000000">
      <w:pPr>
        <w:pStyle w:val="Ttulo1"/>
      </w:pPr>
      <w:bookmarkStart w:id="12" w:name="_cn4gvc15azyv" w:colFirst="0" w:colLast="0"/>
      <w:bookmarkEnd w:id="12"/>
      <w:r>
        <w:t xml:space="preserve">4. Propiedades CSS: Position y </w:t>
      </w:r>
      <w:proofErr w:type="spellStart"/>
      <w:r>
        <w:t>Display</w:t>
      </w:r>
      <w:proofErr w:type="spellEnd"/>
    </w:p>
    <w:p w14:paraId="4F83DFEC" w14:textId="77777777" w:rsidR="0083008E" w:rsidRDefault="00000000">
      <w:pPr>
        <w:pStyle w:val="Ttulo2"/>
      </w:pPr>
      <w:bookmarkStart w:id="13" w:name="_x2lz1rcth0k3" w:colFirst="0" w:colLast="0"/>
      <w:bookmarkEnd w:id="13"/>
      <w:r>
        <w:t xml:space="preserve">Propiedad </w:t>
      </w:r>
      <w:proofErr w:type="spellStart"/>
      <w:r>
        <w:rPr>
          <w:rFonts w:ascii="Roboto Mono" w:eastAsia="Roboto Mono" w:hAnsi="Roboto Mono" w:cs="Roboto Mono"/>
          <w:color w:val="188038"/>
        </w:rPr>
        <w:t>display</w:t>
      </w:r>
      <w:proofErr w:type="spellEnd"/>
    </w:p>
    <w:p w14:paraId="11322D9D" w14:textId="77777777" w:rsidR="0083008E" w:rsidRDefault="00000000">
      <w:r>
        <w:t>Controla la forma en que un elemento se comporta en el flujo del documento y cómo interactúa con los elementos que lo rodean.</w:t>
      </w:r>
    </w:p>
    <w:p w14:paraId="4D0CA172" w14:textId="77777777" w:rsidR="0083008E" w:rsidRDefault="0083008E"/>
    <w:p w14:paraId="789A8234" w14:textId="77777777" w:rsidR="0083008E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  <w:bCs/>
          <w:color w:val="188038"/>
        </w:rPr>
        <w:t>block</w:t>
      </w:r>
      <w:r>
        <w:t xml:space="preserve">: Ocupa todo el ancho disponible en su contenedor y genera un salto de línea antes y después (ej.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div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&lt;p&gt;</w:t>
      </w:r>
      <w:r>
        <w:t>).</w:t>
      </w:r>
    </w:p>
    <w:p w14:paraId="5A820564" w14:textId="77777777" w:rsidR="0083008E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inline</w:t>
      </w:r>
      <w:proofErr w:type="spellEnd"/>
      <w:r>
        <w:t xml:space="preserve">: Solo ocupa el ancho necesario para su contenido y no provoca saltos de línea (ej.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span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&lt;a&gt;</w:t>
      </w:r>
      <w:r>
        <w:t xml:space="preserve">). No respeta las propiedades de </w:t>
      </w:r>
      <w:proofErr w:type="spellStart"/>
      <w:r>
        <w:rPr>
          <w:rFonts w:ascii="Roboto Mono" w:eastAsia="Roboto Mono" w:hAnsi="Roboto Mono" w:cs="Roboto Mono"/>
          <w:color w:val="188038"/>
        </w:rPr>
        <w:t>width</w:t>
      </w:r>
      <w:proofErr w:type="spellEnd"/>
      <w:r>
        <w:t xml:space="preserve"> ni </w:t>
      </w:r>
      <w:proofErr w:type="spellStart"/>
      <w:r>
        <w:rPr>
          <w:rFonts w:ascii="Roboto Mono" w:eastAsia="Roboto Mono" w:hAnsi="Roboto Mono" w:cs="Roboto Mono"/>
          <w:color w:val="188038"/>
        </w:rPr>
        <w:t>height</w:t>
      </w:r>
      <w:proofErr w:type="spellEnd"/>
      <w:r>
        <w:t>.</w:t>
      </w:r>
    </w:p>
    <w:p w14:paraId="4915BAF3" w14:textId="77777777" w:rsidR="0083008E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inline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-block</w:t>
      </w:r>
      <w:r>
        <w:t xml:space="preserve">: Se sitúa en línea con el texto circundante, pero permite definir dimensiones precisas mediante </w:t>
      </w:r>
      <w:proofErr w:type="spellStart"/>
      <w:r>
        <w:rPr>
          <w:rFonts w:ascii="Roboto Mono" w:eastAsia="Roboto Mono" w:hAnsi="Roboto Mono" w:cs="Roboto Mono"/>
          <w:color w:val="188038"/>
        </w:rPr>
        <w:t>width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height</w:t>
      </w:r>
      <w:proofErr w:type="spellEnd"/>
      <w:r>
        <w:t>.</w:t>
      </w:r>
    </w:p>
    <w:p w14:paraId="61B1CC26" w14:textId="77777777" w:rsidR="0083008E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none</w:t>
      </w:r>
      <w:proofErr w:type="spellEnd"/>
      <w:r>
        <w:t>: Oculta completamente el elemento del documento sin ocupar espacio visual en la página.</w:t>
      </w:r>
    </w:p>
    <w:p w14:paraId="7CF1BFC4" w14:textId="77777777" w:rsidR="0083008E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flex</w:t>
      </w:r>
      <w:proofErr w:type="spellEnd"/>
      <w:r>
        <w:t>: Activa el modelo de caja flexible (</w:t>
      </w:r>
      <w:r>
        <w:rPr>
          <w:i/>
          <w:iCs/>
        </w:rPr>
        <w:t>Flexible Box</w:t>
      </w:r>
      <w:r>
        <w:t>), optimizando el alineamiento y la distribución de espacio entre elementos en una dimensión.</w:t>
      </w:r>
    </w:p>
    <w:p w14:paraId="6156CCF8" w14:textId="77777777" w:rsidR="0083008E" w:rsidRDefault="00000000">
      <w:pPr>
        <w:pStyle w:val="Ttulo2"/>
      </w:pPr>
      <w:bookmarkStart w:id="14" w:name="_xp8exwcsuxiv" w:colFirst="0" w:colLast="0"/>
      <w:bookmarkEnd w:id="14"/>
      <w:r>
        <w:lastRenderedPageBreak/>
        <w:t xml:space="preserve">Propiedad </w:t>
      </w:r>
      <w:r>
        <w:rPr>
          <w:rFonts w:ascii="Roboto Mono" w:eastAsia="Roboto Mono" w:hAnsi="Roboto Mono" w:cs="Roboto Mono"/>
          <w:color w:val="188038"/>
        </w:rPr>
        <w:t>position</w:t>
      </w:r>
    </w:p>
    <w:p w14:paraId="5A022F38" w14:textId="77777777" w:rsidR="0083008E" w:rsidRDefault="00000000">
      <w:r>
        <w:t>Establece cómo se posiciona un elemento dentro del documento respecto a su posición original o a otros elementos.</w:t>
      </w:r>
    </w:p>
    <w:p w14:paraId="20DA4B1E" w14:textId="77777777" w:rsidR="0083008E" w:rsidRDefault="0083008E"/>
    <w:p w14:paraId="71807438" w14:textId="77777777" w:rsidR="0083008E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static</w:t>
      </w:r>
      <w:proofErr w:type="spellEnd"/>
      <w:r>
        <w:t>: Valor por defecto. El elemento se posiciona estrictamente de acuerdo con el flujo normal del documento.</w:t>
      </w:r>
    </w:p>
    <w:p w14:paraId="67F77CA1" w14:textId="77777777" w:rsidR="0083008E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  <w:bCs/>
          <w:color w:val="188038"/>
        </w:rPr>
        <w:t>relative</w:t>
      </w:r>
      <w:r>
        <w:t xml:space="preserve">: Se desplaza respecto a su posición original sin alterar el flujo normal, utilizando las propiedades </w:t>
      </w:r>
      <w:r>
        <w:rPr>
          <w:rFonts w:ascii="Roboto Mono" w:eastAsia="Roboto Mono" w:hAnsi="Roboto Mono" w:cs="Roboto Mono"/>
          <w:color w:val="188038"/>
        </w:rPr>
        <w:t>top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bottom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left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right</w:t>
      </w:r>
      <w:proofErr w:type="spellEnd"/>
      <w:r>
        <w:t>.</w:t>
      </w:r>
    </w:p>
    <w:p w14:paraId="1C752919" w14:textId="77777777" w:rsidR="0083008E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  <w:bCs/>
          <w:color w:val="188038"/>
        </w:rPr>
        <w:t>absolute</w:t>
      </w:r>
      <w:r>
        <w:t xml:space="preserve">: Se remueve del flujo normal del documento y se posiciona relativo al ancestro posicionado más cercano que no sea </w:t>
      </w:r>
      <w:proofErr w:type="spellStart"/>
      <w:r>
        <w:rPr>
          <w:rFonts w:ascii="Roboto Mono" w:eastAsia="Roboto Mono" w:hAnsi="Roboto Mono" w:cs="Roboto Mono"/>
          <w:color w:val="188038"/>
        </w:rPr>
        <w:t>static</w:t>
      </w:r>
      <w:proofErr w:type="spellEnd"/>
      <w:r>
        <w:t>.</w:t>
      </w:r>
    </w:p>
    <w:p w14:paraId="55B65A2E" w14:textId="77777777" w:rsidR="0083008E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fixed</w:t>
      </w:r>
      <w:proofErr w:type="spellEnd"/>
      <w:r>
        <w:t>: Sale del flujo normal y se posiciona respecto a la ventana gráfica (</w:t>
      </w:r>
      <w:proofErr w:type="spellStart"/>
      <w:r>
        <w:rPr>
          <w:i/>
          <w:iCs/>
        </w:rPr>
        <w:t>viewport</w:t>
      </w:r>
      <w:proofErr w:type="spellEnd"/>
      <w:r>
        <w:t>). Permanece inmóvil en la misma pantalla al desplazarse (</w:t>
      </w:r>
      <w:proofErr w:type="spellStart"/>
      <w:r>
        <w:rPr>
          <w:i/>
          <w:iCs/>
        </w:rPr>
        <w:t>scroll</w:t>
      </w:r>
      <w:proofErr w:type="spellEnd"/>
      <w:r>
        <w:t>).</w:t>
      </w:r>
    </w:p>
    <w:p w14:paraId="4FAE7618" w14:textId="77777777" w:rsidR="0083008E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sticky</w:t>
      </w:r>
      <w:proofErr w:type="spellEnd"/>
      <w:r>
        <w:t xml:space="preserve">: Alterna su comportamiento entre </w:t>
      </w:r>
      <w:r>
        <w:rPr>
          <w:rFonts w:ascii="Roboto Mono" w:eastAsia="Roboto Mono" w:hAnsi="Roboto Mono" w:cs="Roboto Mono"/>
          <w:color w:val="188038"/>
        </w:rPr>
        <w:t>relative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fixed</w:t>
      </w:r>
      <w:proofErr w:type="spellEnd"/>
      <w:r>
        <w:t xml:space="preserve"> según la posición de desplazamiento del usuario respecto a un umbral determinado.</w:t>
      </w:r>
    </w:p>
    <w:p w14:paraId="72F55952" w14:textId="77777777" w:rsidR="0083008E" w:rsidRDefault="0083008E"/>
    <w:sectPr w:rsidR="008300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16F4524C-874F-4C36-BDDB-18E81D623E17}"/>
    <w:embedBold r:id="rId2" w:fontKey="{1E6C636E-AA05-4D3C-B658-E47AFEFB6030}"/>
    <w:embedItalic r:id="rId3" w:fontKey="{B1552646-ACE4-46DC-B4D1-F59CCD30A0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C1D3C245-295B-4EE6-9896-B0280A88D830}"/>
    <w:embedBold r:id="rId5" w:fontKey="{80340174-BC12-4F4F-8635-296BB48349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A0CD939-98AD-4E6F-BD7B-F06D80D44D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2D9482B-C04E-46F8-933B-01F1AFE18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BCC"/>
    <w:multiLevelType w:val="multilevel"/>
    <w:tmpl w:val="FB488A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47A3BC6"/>
    <w:multiLevelType w:val="multilevel"/>
    <w:tmpl w:val="A828B6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E9E4518"/>
    <w:multiLevelType w:val="multilevel"/>
    <w:tmpl w:val="CA9EBC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9287165"/>
    <w:multiLevelType w:val="multilevel"/>
    <w:tmpl w:val="6E2C2A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5993682">
    <w:abstractNumId w:val="3"/>
  </w:num>
  <w:num w:numId="2" w16cid:durableId="613901808">
    <w:abstractNumId w:val="2"/>
  </w:num>
  <w:num w:numId="3" w16cid:durableId="1061518654">
    <w:abstractNumId w:val="0"/>
  </w:num>
  <w:num w:numId="4" w16cid:durableId="130593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8E"/>
    <w:rsid w:val="000C1875"/>
    <w:rsid w:val="003C32E6"/>
    <w:rsid w:val="0083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D7482"/>
  <w15:docId w15:val="{3AE35463-E888-402E-8874-0D7D459B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s-419" w:eastAsia="es-CO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300" w:lineRule="auto"/>
      <w:outlineLvl w:val="2"/>
    </w:pPr>
    <w:rPr>
      <w:b/>
      <w:bCs/>
      <w:color w:val="47556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919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DUVAN PINO</cp:lastModifiedBy>
  <cp:revision>2</cp:revision>
  <dcterms:created xsi:type="dcterms:W3CDTF">2026-10-16T15:12:00Z</dcterms:created>
  <dcterms:modified xsi:type="dcterms:W3CDTF">2026-10-16T15:12:00Z</dcterms:modified>
</cp:coreProperties>
</file>