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C0742">
      <w:pPr>
        <w:autoSpaceDE w:val="0"/>
        <w:autoSpaceDN w:val="0"/>
        <w:spacing w:line="360" w:lineRule="auto"/>
        <w:jc w:val="center"/>
        <w:rPr>
          <w:rFonts w:ascii="黑体" w:hAnsi="黑体" w:eastAsia="黑体" w:cs="黑体"/>
          <w:b/>
          <w:bCs/>
          <w:color w:val="000000"/>
          <w:kern w:val="0"/>
          <w:sz w:val="52"/>
          <w:szCs w:val="22"/>
        </w:rPr>
      </w:pPr>
    </w:p>
    <w:p w14:paraId="02F448A1">
      <w:pPr>
        <w:autoSpaceDE w:val="0"/>
        <w:autoSpaceDN w:val="0"/>
        <w:spacing w:line="360" w:lineRule="auto"/>
        <w:jc w:val="center"/>
        <w:rPr>
          <w:rFonts w:ascii="黑体" w:hAnsi="黑体" w:eastAsia="黑体" w:cs="黑体"/>
          <w:b/>
          <w:bCs/>
          <w:color w:val="000000"/>
          <w:kern w:val="0"/>
          <w:sz w:val="52"/>
          <w:szCs w:val="22"/>
        </w:rPr>
      </w:pPr>
      <w:r>
        <w:rPr>
          <w:rFonts w:ascii="宋体" w:hAnsi="宋体" w:eastAsia="宋体" w:cs="宋体"/>
          <w:sz w:val="24"/>
          <w:szCs w:val="24"/>
        </w:rPr>
        <w:drawing>
          <wp:inline distT="0" distB="0" distL="114300" distR="114300">
            <wp:extent cx="5408295" cy="1386840"/>
            <wp:effectExtent l="0" t="0" r="190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408295" cy="1386840"/>
                    </a:xfrm>
                    <a:prstGeom prst="rect">
                      <a:avLst/>
                    </a:prstGeom>
                    <a:noFill/>
                    <a:ln w="9525">
                      <a:noFill/>
                    </a:ln>
                  </pic:spPr>
                </pic:pic>
              </a:graphicData>
            </a:graphic>
          </wp:inline>
        </w:drawing>
      </w:r>
    </w:p>
    <w:p w14:paraId="71BF6CB5">
      <w:pPr>
        <w:autoSpaceDE w:val="0"/>
        <w:autoSpaceDN w:val="0"/>
        <w:spacing w:line="360" w:lineRule="auto"/>
        <w:jc w:val="both"/>
        <w:rPr>
          <w:rFonts w:ascii="黑体" w:hAnsi="黑体" w:eastAsia="黑体" w:cs="黑体"/>
          <w:b/>
          <w:bCs/>
          <w:color w:val="000000"/>
          <w:kern w:val="0"/>
          <w:sz w:val="52"/>
          <w:szCs w:val="22"/>
        </w:rPr>
      </w:pPr>
    </w:p>
    <w:p w14:paraId="321F5D8C">
      <w:pPr>
        <w:autoSpaceDE w:val="0"/>
        <w:autoSpaceDN w:val="0"/>
        <w:spacing w:line="360" w:lineRule="auto"/>
        <w:jc w:val="center"/>
        <w:rPr>
          <w:rFonts w:hint="eastAsia" w:ascii="黑体" w:hAnsi="黑体" w:eastAsia="黑体" w:cs="黑体"/>
          <w:b/>
          <w:bCs/>
          <w:color w:val="000000"/>
          <w:kern w:val="0"/>
          <w:sz w:val="52"/>
          <w:szCs w:val="22"/>
        </w:rPr>
      </w:pPr>
      <w:r>
        <w:rPr>
          <w:rFonts w:hint="eastAsia" w:ascii="黑体" w:hAnsi="黑体" w:eastAsia="黑体" w:cs="黑体"/>
          <w:b/>
          <w:bCs/>
          <w:color w:val="000000"/>
          <w:kern w:val="0"/>
          <w:sz w:val="52"/>
          <w:szCs w:val="22"/>
          <w:lang w:val="en-US" w:eastAsia="zh-CN"/>
        </w:rPr>
        <w:t>人文</w:t>
      </w:r>
      <w:r>
        <w:rPr>
          <w:rFonts w:ascii="黑体" w:hAnsi="黑体" w:eastAsia="黑体" w:cs="黑体"/>
          <w:b/>
          <w:bCs/>
          <w:color w:val="000000"/>
          <w:kern w:val="0"/>
          <w:sz w:val="52"/>
          <w:szCs w:val="22"/>
        </w:rPr>
        <w:t>学院</w:t>
      </w:r>
      <w:r>
        <w:rPr>
          <w:rFonts w:hint="eastAsia" w:ascii="黑体" w:hAnsi="黑体" w:eastAsia="黑体" w:cs="黑体"/>
          <w:b/>
          <w:bCs/>
          <w:color w:val="000000"/>
          <w:kern w:val="0"/>
          <w:sz w:val="52"/>
          <w:szCs w:val="22"/>
        </w:rPr>
        <w:t>专业设置</w:t>
      </w:r>
    </w:p>
    <w:p w14:paraId="30B409A9">
      <w:pPr>
        <w:autoSpaceDE w:val="0"/>
        <w:autoSpaceDN w:val="0"/>
        <w:spacing w:line="360" w:lineRule="auto"/>
        <w:jc w:val="center"/>
        <w:rPr>
          <w:rFonts w:ascii="黑体" w:hAnsi="黑体" w:eastAsia="黑体" w:cs="黑体"/>
          <w:b/>
          <w:bCs/>
          <w:color w:val="000000"/>
          <w:spacing w:val="-17"/>
          <w:w w:val="104"/>
          <w:kern w:val="0"/>
          <w:sz w:val="52"/>
          <w:szCs w:val="22"/>
        </w:rPr>
      </w:pPr>
      <w:r>
        <w:rPr>
          <w:rFonts w:hint="eastAsia" w:ascii="黑体" w:hAnsi="黑体" w:eastAsia="黑体" w:cs="黑体"/>
          <w:b/>
          <w:bCs/>
          <w:color w:val="000000"/>
          <w:kern w:val="0"/>
          <w:sz w:val="52"/>
          <w:szCs w:val="22"/>
        </w:rPr>
        <w:t>人才需求调研、</w:t>
      </w:r>
      <w:r>
        <w:rPr>
          <w:rFonts w:ascii="黑体" w:hAnsi="黑体" w:eastAsia="黑体" w:cs="黑体"/>
          <w:b/>
          <w:bCs/>
          <w:color w:val="000000"/>
          <w:kern w:val="0"/>
          <w:sz w:val="52"/>
          <w:szCs w:val="22"/>
        </w:rPr>
        <w:t>开</w:t>
      </w:r>
      <w:r>
        <w:rPr>
          <w:rFonts w:ascii="黑体" w:hAnsi="黑体" w:eastAsia="黑体" w:cs="黑体"/>
          <w:b/>
          <w:bCs/>
          <w:color w:val="000000"/>
          <w:spacing w:val="-7"/>
          <w:w w:val="102"/>
          <w:kern w:val="0"/>
          <w:sz w:val="52"/>
          <w:szCs w:val="22"/>
        </w:rPr>
        <w:t>设</w:t>
      </w:r>
      <w:r>
        <w:rPr>
          <w:rFonts w:ascii="黑体" w:hAnsi="黑体" w:eastAsia="黑体" w:cs="黑体"/>
          <w:b/>
          <w:bCs/>
          <w:color w:val="000000"/>
          <w:kern w:val="0"/>
          <w:sz w:val="52"/>
          <w:szCs w:val="22"/>
        </w:rPr>
        <w:t>专</w:t>
      </w:r>
      <w:r>
        <w:rPr>
          <w:rFonts w:ascii="黑体" w:hAnsi="黑体" w:eastAsia="黑体" w:cs="黑体"/>
          <w:b/>
          <w:bCs/>
          <w:color w:val="000000"/>
          <w:spacing w:val="-12"/>
          <w:w w:val="103"/>
          <w:kern w:val="0"/>
          <w:sz w:val="52"/>
          <w:szCs w:val="22"/>
        </w:rPr>
        <w:t>业</w:t>
      </w:r>
      <w:r>
        <w:rPr>
          <w:rFonts w:ascii="黑体" w:hAnsi="黑体" w:eastAsia="黑体" w:cs="黑体"/>
          <w:b/>
          <w:bCs/>
          <w:color w:val="000000"/>
          <w:kern w:val="0"/>
          <w:sz w:val="52"/>
          <w:szCs w:val="22"/>
        </w:rPr>
        <w:t>的</w:t>
      </w:r>
      <w:r>
        <w:rPr>
          <w:rFonts w:ascii="黑体" w:hAnsi="黑体" w:eastAsia="黑体" w:cs="黑体"/>
          <w:b/>
          <w:bCs/>
          <w:color w:val="000000"/>
          <w:spacing w:val="-7"/>
          <w:w w:val="102"/>
          <w:kern w:val="0"/>
          <w:sz w:val="52"/>
          <w:szCs w:val="22"/>
        </w:rPr>
        <w:t>必</w:t>
      </w:r>
      <w:r>
        <w:rPr>
          <w:rFonts w:ascii="黑体" w:hAnsi="黑体" w:eastAsia="黑体" w:cs="黑体"/>
          <w:b/>
          <w:bCs/>
          <w:color w:val="000000"/>
          <w:kern w:val="0"/>
          <w:sz w:val="52"/>
          <w:szCs w:val="22"/>
        </w:rPr>
        <w:t>要</w:t>
      </w:r>
      <w:r>
        <w:rPr>
          <w:rFonts w:ascii="黑体" w:hAnsi="黑体" w:eastAsia="黑体" w:cs="黑体"/>
          <w:b/>
          <w:bCs/>
          <w:color w:val="000000"/>
          <w:spacing w:val="-7"/>
          <w:w w:val="102"/>
          <w:kern w:val="0"/>
          <w:sz w:val="52"/>
          <w:szCs w:val="22"/>
        </w:rPr>
        <w:t>性</w:t>
      </w:r>
      <w:r>
        <w:rPr>
          <w:rFonts w:hint="eastAsia" w:ascii="黑体" w:hAnsi="黑体" w:eastAsia="黑体" w:cs="黑体"/>
          <w:b/>
          <w:bCs/>
          <w:color w:val="000000"/>
          <w:spacing w:val="-7"/>
          <w:w w:val="102"/>
          <w:kern w:val="0"/>
          <w:sz w:val="52"/>
          <w:szCs w:val="22"/>
        </w:rPr>
        <w:t>、</w:t>
      </w:r>
      <w:r>
        <w:rPr>
          <w:rFonts w:ascii="黑体" w:hAnsi="黑体" w:eastAsia="黑体" w:cs="黑体"/>
          <w:b/>
          <w:bCs/>
          <w:color w:val="000000"/>
          <w:spacing w:val="-7"/>
          <w:w w:val="102"/>
          <w:kern w:val="0"/>
          <w:sz w:val="52"/>
          <w:szCs w:val="22"/>
        </w:rPr>
        <w:t>可</w:t>
      </w:r>
      <w:r>
        <w:rPr>
          <w:rFonts w:ascii="黑体" w:hAnsi="黑体" w:eastAsia="黑体" w:cs="黑体"/>
          <w:b/>
          <w:bCs/>
          <w:color w:val="000000"/>
          <w:kern w:val="0"/>
          <w:sz w:val="52"/>
          <w:szCs w:val="22"/>
        </w:rPr>
        <w:t>行</w:t>
      </w:r>
      <w:r>
        <w:rPr>
          <w:rFonts w:ascii="黑体" w:hAnsi="黑体" w:eastAsia="黑体" w:cs="黑体"/>
          <w:b/>
          <w:bCs/>
          <w:color w:val="000000"/>
          <w:spacing w:val="-17"/>
          <w:w w:val="104"/>
          <w:kern w:val="0"/>
          <w:sz w:val="52"/>
          <w:szCs w:val="22"/>
        </w:rPr>
        <w:t>性</w:t>
      </w:r>
      <w:r>
        <w:rPr>
          <w:rFonts w:ascii="黑体" w:hAnsi="黑体" w:eastAsia="黑体" w:cs="黑体"/>
          <w:b/>
          <w:bCs/>
          <w:color w:val="000000"/>
          <w:kern w:val="0"/>
          <w:sz w:val="52"/>
          <w:szCs w:val="22"/>
        </w:rPr>
        <w:t>论</w:t>
      </w:r>
      <w:r>
        <w:rPr>
          <w:rFonts w:ascii="黑体" w:hAnsi="黑体" w:eastAsia="黑体" w:cs="黑体"/>
          <w:b/>
          <w:bCs/>
          <w:color w:val="000000"/>
          <w:spacing w:val="-7"/>
          <w:w w:val="102"/>
          <w:kern w:val="0"/>
          <w:sz w:val="52"/>
          <w:szCs w:val="22"/>
        </w:rPr>
        <w:t>证</w:t>
      </w:r>
      <w:r>
        <w:rPr>
          <w:rFonts w:ascii="黑体" w:hAnsi="黑体" w:eastAsia="黑体" w:cs="黑体"/>
          <w:b/>
          <w:bCs/>
          <w:color w:val="000000"/>
          <w:kern w:val="0"/>
          <w:sz w:val="52"/>
          <w:szCs w:val="22"/>
        </w:rPr>
        <w:t>报</w:t>
      </w:r>
      <w:r>
        <w:rPr>
          <w:rFonts w:ascii="黑体" w:hAnsi="黑体" w:eastAsia="黑体" w:cs="黑体"/>
          <w:b/>
          <w:bCs/>
          <w:color w:val="000000"/>
          <w:spacing w:val="-17"/>
          <w:w w:val="104"/>
          <w:kern w:val="0"/>
          <w:sz w:val="52"/>
          <w:szCs w:val="22"/>
        </w:rPr>
        <w:t>告</w:t>
      </w:r>
    </w:p>
    <w:p w14:paraId="51F8661A">
      <w:pPr>
        <w:autoSpaceDE w:val="0"/>
        <w:autoSpaceDN w:val="0"/>
        <w:spacing w:line="360" w:lineRule="auto"/>
        <w:jc w:val="center"/>
        <w:rPr>
          <w:rFonts w:ascii="黑体" w:hAnsi="黑体" w:eastAsia="黑体" w:cs="黑体"/>
          <w:b/>
          <w:bCs/>
          <w:color w:val="000000"/>
          <w:spacing w:val="-17"/>
          <w:w w:val="104"/>
          <w:kern w:val="0"/>
          <w:sz w:val="52"/>
          <w:szCs w:val="22"/>
        </w:rPr>
      </w:pPr>
    </w:p>
    <w:p w14:paraId="3EABE62F">
      <w:pPr>
        <w:autoSpaceDE w:val="0"/>
        <w:autoSpaceDN w:val="0"/>
        <w:spacing w:line="360" w:lineRule="auto"/>
        <w:jc w:val="center"/>
        <w:rPr>
          <w:rFonts w:ascii="黑体" w:hAnsi="黑体" w:eastAsia="黑体" w:cs="黑体"/>
          <w:b/>
          <w:bCs/>
          <w:color w:val="000000"/>
          <w:spacing w:val="-17"/>
          <w:w w:val="104"/>
          <w:kern w:val="0"/>
          <w:sz w:val="52"/>
          <w:szCs w:val="22"/>
        </w:rPr>
      </w:pPr>
    </w:p>
    <w:p w14:paraId="160B662B">
      <w:pPr>
        <w:autoSpaceDE w:val="0"/>
        <w:autoSpaceDN w:val="0"/>
        <w:spacing w:line="474" w:lineRule="exact"/>
        <w:ind w:left="3070" w:right="2332" w:hanging="479"/>
        <w:jc w:val="center"/>
        <w:rPr>
          <w:rFonts w:hint="eastAsia" w:ascii="黑体" w:hAnsi="黑体" w:eastAsia="黑体" w:cs="黑体"/>
          <w:bCs/>
          <w:color w:val="000000"/>
          <w:kern w:val="0"/>
          <w:sz w:val="32"/>
          <w:szCs w:val="22"/>
        </w:rPr>
      </w:pPr>
      <w:r>
        <w:rPr>
          <w:rFonts w:ascii="黑体" w:hAnsi="黑体" w:eastAsia="黑体" w:cs="黑体"/>
          <w:bCs/>
          <w:color w:val="000000"/>
          <w:spacing w:val="-1"/>
          <w:kern w:val="0"/>
          <w:sz w:val="32"/>
          <w:szCs w:val="22"/>
        </w:rPr>
        <w:t>德宏职业学院</w:t>
      </w:r>
    </w:p>
    <w:p w14:paraId="5783FF37">
      <w:pPr>
        <w:autoSpaceDE w:val="0"/>
        <w:autoSpaceDN w:val="0"/>
        <w:spacing w:line="474" w:lineRule="exact"/>
        <w:ind w:left="3070" w:right="2332" w:hanging="479"/>
        <w:jc w:val="center"/>
        <w:rPr>
          <w:rFonts w:hint="eastAsia" w:ascii="等线" w:hAnsi="等线" w:eastAsia="等线" w:cs="Times New Roman"/>
          <w:szCs w:val="22"/>
        </w:rPr>
      </w:pPr>
      <w:r>
        <w:rPr>
          <w:rFonts w:ascii="黑体" w:hAnsi="黑体" w:eastAsia="黑体" w:cs="黑体"/>
          <w:bCs/>
          <w:color w:val="000000"/>
          <w:spacing w:val="-1"/>
          <w:kern w:val="0"/>
          <w:sz w:val="32"/>
          <w:szCs w:val="22"/>
        </w:rPr>
        <w:t>二〇</w:t>
      </w:r>
      <w:r>
        <w:rPr>
          <w:rFonts w:ascii="黑体" w:hAnsi="黑体" w:eastAsia="黑体" w:cs="黑体"/>
          <w:bCs/>
          <w:color w:val="000000"/>
          <w:spacing w:val="-5"/>
          <w:w w:val="102"/>
          <w:kern w:val="0"/>
          <w:sz w:val="32"/>
          <w:szCs w:val="22"/>
        </w:rPr>
        <w:t>二</w:t>
      </w:r>
      <w:r>
        <w:rPr>
          <w:rFonts w:hint="eastAsia" w:ascii="黑体" w:hAnsi="黑体" w:eastAsia="黑体" w:cs="黑体"/>
          <w:bCs/>
          <w:color w:val="000000"/>
          <w:spacing w:val="-5"/>
          <w:w w:val="102"/>
          <w:kern w:val="0"/>
          <w:sz w:val="32"/>
          <w:szCs w:val="22"/>
          <w:lang w:val="en-US" w:eastAsia="zh-CN"/>
        </w:rPr>
        <w:t>五</w:t>
      </w:r>
      <w:r>
        <w:rPr>
          <w:rFonts w:ascii="黑体" w:hAnsi="黑体" w:eastAsia="黑体" w:cs="黑体"/>
          <w:bCs/>
          <w:color w:val="000000"/>
          <w:spacing w:val="-1"/>
          <w:kern w:val="0"/>
          <w:sz w:val="32"/>
          <w:szCs w:val="22"/>
        </w:rPr>
        <w:t>年</w:t>
      </w:r>
      <w:r>
        <w:rPr>
          <w:rFonts w:ascii="黑体" w:hAnsi="黑体" w:eastAsia="黑体" w:cs="黑体"/>
          <w:bCs/>
          <w:color w:val="000000"/>
          <w:spacing w:val="-5"/>
          <w:w w:val="102"/>
          <w:kern w:val="0"/>
          <w:sz w:val="32"/>
          <w:szCs w:val="22"/>
        </w:rPr>
        <w:t>十</w:t>
      </w:r>
      <w:r>
        <w:rPr>
          <w:rFonts w:hint="eastAsia" w:ascii="黑体" w:hAnsi="黑体" w:eastAsia="黑体" w:cs="黑体"/>
          <w:bCs/>
          <w:color w:val="000000"/>
          <w:kern w:val="0"/>
          <w:sz w:val="32"/>
          <w:szCs w:val="22"/>
        </w:rPr>
        <w:t>二</w:t>
      </w:r>
      <w:r>
        <w:rPr>
          <w:rFonts w:ascii="黑体" w:hAnsi="黑体" w:eastAsia="黑体" w:cs="黑体"/>
          <w:bCs/>
          <w:color w:val="000000"/>
          <w:spacing w:val="-2"/>
          <w:kern w:val="0"/>
          <w:sz w:val="32"/>
          <w:szCs w:val="22"/>
        </w:rPr>
        <w:t>月</w:t>
      </w:r>
    </w:p>
    <w:p w14:paraId="16E388EF">
      <w:pPr>
        <w:spacing w:line="14" w:lineRule="exact"/>
        <w:jc w:val="center"/>
        <w:rPr>
          <w:rFonts w:hint="eastAsia"/>
        </w:rPr>
        <w:sectPr>
          <w:pgSz w:w="11900" w:h="16840"/>
          <w:pgMar w:top="1426" w:right="1701" w:bottom="992" w:left="1600" w:header="851" w:footer="992" w:gutter="0"/>
          <w:pgNumType w:fmt="decimal"/>
          <w:cols w:space="0" w:num="1"/>
        </w:sectPr>
      </w:pPr>
    </w:p>
    <w:p w14:paraId="64B7DA4B">
      <w:pPr>
        <w:keepNext w:val="0"/>
        <w:keepLines w:val="0"/>
        <w:pageBreakBefore w:val="0"/>
        <w:widowControl/>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lang w:val="en-US" w:eastAsia="zh-CN"/>
        </w:rPr>
        <w:t>学前教育</w:t>
      </w:r>
      <w:r>
        <w:rPr>
          <w:rFonts w:hint="eastAsia" w:ascii="方正小标宋_GBK" w:hAnsi="方正小标宋_GBK" w:eastAsia="方正小标宋_GBK" w:cs="方正小标宋_GBK"/>
          <w:sz w:val="44"/>
          <w:szCs w:val="44"/>
        </w:rPr>
        <w:t>专业人才需求调研</w:t>
      </w:r>
    </w:p>
    <w:p w14:paraId="46C7E6D9">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本调研以“服务云南省学前教育用人需求、提升德宏职业学院学前教育专业人才培养适配度”为目标，考虑到我院学生来源覆盖云南多地、就业去向并非局限德宏州，故调研视角定位为“云南省普遍需求 + 德宏州典型样本佐证”。证据来源主要包括：</w:t>
      </w:r>
    </w:p>
    <w:p w14:paraId="2730CE54">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教育部《2024年全国教育事业发展统计公报》；</w:t>
      </w:r>
    </w:p>
    <w:p w14:paraId="20B1CF5C">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云南省《2024/2025学年初全省教育事业发展统计公报》；</w:t>
      </w:r>
    </w:p>
    <w:p w14:paraId="56139F48">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教育部《幼儿园工作规程》（班额与规范办园依据）；</w:t>
      </w:r>
    </w:p>
    <w:p w14:paraId="17E4A7CF">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rPr>
        <w:t>托育机构设置标准（试行）（托班/托育照护配置依据，用于岗位拓展理解）；</w:t>
      </w:r>
    </w:p>
    <w:p w14:paraId="1B44CDEB">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园所访谈（园长</w:t>
      </w:r>
      <w:r>
        <w:rPr>
          <w:rFonts w:hint="eastAsia" w:ascii="方正仿宋_GBK" w:hAnsi="方正仿宋_GBK" w:eastAsia="方正仿宋_GBK" w:cs="方正仿宋_GBK"/>
          <w:sz w:val="32"/>
          <w:szCs w:val="32"/>
          <w:lang w:val="en-US" w:eastAsia="zh-CN"/>
        </w:rPr>
        <w:t>/主班教师/骨干教师</w:t>
      </w:r>
      <w:r>
        <w:rPr>
          <w:rFonts w:hint="eastAsia" w:ascii="方正仿宋_GBK" w:hAnsi="方正仿宋_GBK" w:eastAsia="方正仿宋_GBK" w:cs="方正仿宋_GBK"/>
          <w:sz w:val="32"/>
          <w:szCs w:val="32"/>
        </w:rPr>
        <w:t>）。</w:t>
      </w:r>
    </w:p>
    <w:p w14:paraId="1A73C4EE">
      <w:pPr>
        <w:keepNext w:val="0"/>
        <w:keepLines w:val="0"/>
        <w:pageBreakBefore w:val="0"/>
        <w:kinsoku/>
        <w:wordWrap/>
        <w:overflowPunct/>
        <w:topLinePunct w:val="0"/>
        <w:bidi w:val="0"/>
        <w:adjustRightInd/>
        <w:snapToGrid/>
        <w:spacing w:line="600" w:lineRule="exact"/>
        <w:rPr>
          <w:rFonts w:hint="eastAsia" w:ascii="黑体" w:hAnsi="黑体" w:eastAsia="黑体" w:cs="黑体"/>
          <w:sz w:val="32"/>
          <w:szCs w:val="32"/>
        </w:rPr>
      </w:pPr>
      <w:r>
        <w:rPr>
          <w:rFonts w:hint="eastAsia" w:ascii="黑体" w:hAnsi="黑体" w:eastAsia="黑体" w:cs="黑体"/>
          <w:sz w:val="32"/>
          <w:szCs w:val="32"/>
        </w:rPr>
        <w:t>一、专业行业背景</w:t>
      </w:r>
    </w:p>
    <w:p w14:paraId="2573CF50">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随着国家持续推进学前教育普及普惠和保教质量提升，学前教育行业呈现“覆盖面广、规范性强、质量导向突出”的总体特征。教育部《2024年全国教育事业发展统计公报》显示：全国学前教育在园幼儿3583.99万人，普惠性幼儿园在园幼儿3283.19万人，占全国在园幼儿的91.61%；学前教育专任教师283.19万人。该数据表明学前教育仍是规模性民生领域，且在普惠提质背景下，对一线保教人才的需求具有长期性。</w:t>
      </w:r>
    </w:p>
    <w:p w14:paraId="7DE429D2">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从云南省视角看，学前教育同样具有广覆盖的岗位需求基础。云南省《2024/2025学年初全省教育事业发展统计公报》显示：全省幼儿园13186所，其中普惠性幼儿园12729所，占比96.53%；学前教育在园幼儿151.92万人，普惠性幼儿园在园幼儿140.19万人，占比92.28%；学前三年毛入园率93.69%。普惠园占主体的格局意味着：全省多数地区的用人需求与岗位能力要求具有明显共性，人才需求并非某一地州的“局部现象”。</w:t>
      </w:r>
    </w:p>
    <w:p w14:paraId="497CC96E">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同时，应关注出生人口变化带来的结构调整：云南省上一学年统计公报显示在园幼儿规模出现下降趋势。行业因此呈现“总量变化与质量升级并存”的特点——部分区域可能出现园所规模调整，但“能带班、会保教融合、能沟通、守规范、稳定留任”的高质量人才需求并不会同步下降，反而更强调岗位胜任力与稳定性。</w:t>
      </w:r>
    </w:p>
    <w:p w14:paraId="769BE458">
      <w:pPr>
        <w:keepNext w:val="0"/>
        <w:keepLines w:val="0"/>
        <w:pageBreakBefore w:val="0"/>
        <w:kinsoku/>
        <w:wordWrap/>
        <w:overflowPunct/>
        <w:topLinePunct w:val="0"/>
        <w:bidi w:val="0"/>
        <w:adjustRightInd/>
        <w:snapToGrid/>
        <w:spacing w:line="600" w:lineRule="exact"/>
        <w:rPr>
          <w:rFonts w:hint="eastAsia" w:ascii="黑体" w:hAnsi="黑体" w:eastAsia="黑体" w:cs="黑体"/>
          <w:sz w:val="32"/>
          <w:szCs w:val="32"/>
        </w:rPr>
      </w:pPr>
      <w:r>
        <w:rPr>
          <w:rFonts w:hint="eastAsia" w:ascii="黑体" w:hAnsi="黑体" w:eastAsia="黑体" w:cs="黑体"/>
          <w:sz w:val="32"/>
          <w:szCs w:val="32"/>
        </w:rPr>
        <w:t>二、专业技术工作的需要</w:t>
      </w:r>
    </w:p>
    <w:p w14:paraId="6BE70F80">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（一）普惠提质与保教质量提升急需本专业人才</w:t>
      </w:r>
    </w:p>
    <w:p w14:paraId="1DB8C02A">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普惠园成为主体供给的背景下，园所竞争的核心逐渐从“有没有园”转向“谁更规范、谁更有质量”。幼儿园一线岗位具有高度情境性：教师不仅要组织活动，更要完成一日生活照料、行为引导、游戏支持、观察评估、家园沟通、安全与卫生保健等综合任务。因此，用人单位对人才的需求呈现出从“能上岗”向“能胜任、能留任、能发展”的转变。</w:t>
      </w:r>
    </w:p>
    <w:p w14:paraId="7B40E5C4">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某所园长</w:t>
      </w:r>
      <w:r>
        <w:rPr>
          <w:rFonts w:hint="eastAsia" w:ascii="方正仿宋_GBK" w:hAnsi="方正仿宋_GBK" w:eastAsia="方正仿宋_GBK" w:cs="方正仿宋_GBK"/>
          <w:sz w:val="32"/>
          <w:szCs w:val="32"/>
        </w:rPr>
        <w:t>指出，园所最难招聘的是“能带班的专任教师”和“有经验的保育员”，原因在于“试讲好不等于能稳住班级秩序与生活照料细节”，且民办/普惠园普遍面临流动性压力，更倾向于录用能快速上手、能稳定带班的人才。</w:t>
      </w:r>
    </w:p>
    <w:p w14:paraId="5E10FA59">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（二）贯彻执行政策与规范办园的需要</w:t>
      </w:r>
    </w:p>
    <w:p w14:paraId="152EE7C6">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教育部《幼儿园工作规程》明确幼儿园班额一般为：小班25人、中班30人、大班35人、混合班30人（寄宿制酌减）。班额与规范管理要求意味着园所必须配置能够承担“生活组织+活动实施+安全照护”的合格师资，并要求教师具备更强的班级统筹、风险防控与过程管理能力。</w:t>
      </w:r>
    </w:p>
    <w:p w14:paraId="6B57D1E3">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部分地区探索托幼衔接或园所开设托班的情形下，照护岗位规范要求更高。托育机构设置标准（试行）提出保育人员与婴幼儿比例不低于：乳儿班1:3、托小班1:5、托大班1:7。该标准强化了“保育规范、照护能力、保教协作”的现实需求，也为学前教育专业毕业生提供了可拓展的岗位理解与能力延伸方向。</w:t>
      </w:r>
    </w:p>
    <w:p w14:paraId="58186B0C">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（三）学校发展的需要</w:t>
      </w:r>
    </w:p>
    <w:p w14:paraId="3232F428">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德宏职业学院学前教育专业承担为云南省（尤其滇西、边疆与县域地区）培养一线应用型幼教人才的重要任务。学生来源分布于省内多地，就业选择也具有跨地州流动性。专业建设必须对标“云南省普遍用人需求”，并以岗位胜任力为导向优化课程体系、实践教学与校企协同评价机制，提升毕业生就业质量与稳定性。</w:t>
      </w:r>
    </w:p>
    <w:p w14:paraId="119E7005">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（四）区域流动与县域用工结构的需要</w:t>
      </w:r>
    </w:p>
    <w:p w14:paraId="71C0CB02">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云南省各地州在资源条件、园所结构上存在差异，但普遍面临“普惠提质、规范办园、师资稳定”的共同诉求，尤其在县域与乡镇园所，岗位更强调综合性与即战力。高职毕业生是该岗位群的重要供给来源，人才培养应强化“县域普惠园胜任力”和“城市园所竞争力”的双通道能力结构。</w:t>
      </w:r>
    </w:p>
    <w:p w14:paraId="151E8C36">
      <w:pPr>
        <w:keepNext w:val="0"/>
        <w:keepLines w:val="0"/>
        <w:pageBreakBefore w:val="0"/>
        <w:kinsoku/>
        <w:wordWrap/>
        <w:overflowPunct/>
        <w:topLinePunct w:val="0"/>
        <w:bidi w:val="0"/>
        <w:adjustRightInd/>
        <w:snapToGrid/>
        <w:spacing w:line="600" w:lineRule="exact"/>
        <w:rPr>
          <w:rFonts w:hint="eastAsia" w:ascii="黑体" w:hAnsi="黑体" w:eastAsia="黑体" w:cs="黑体"/>
          <w:sz w:val="32"/>
          <w:szCs w:val="32"/>
        </w:rPr>
      </w:pPr>
      <w:r>
        <w:rPr>
          <w:rFonts w:hint="eastAsia" w:ascii="黑体" w:hAnsi="黑体" w:eastAsia="黑体" w:cs="黑体"/>
          <w:sz w:val="32"/>
          <w:szCs w:val="32"/>
        </w:rPr>
        <w:t>三、就业市场的需求</w:t>
      </w:r>
    </w:p>
    <w:p w14:paraId="5FDC1653">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（一）普惠体系占主体，就业需求更偏“质量型与规范型”</w:t>
      </w:r>
    </w:p>
    <w:p w14:paraId="532B20C8">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云南省普惠性幼儿园占比高（幼儿园数占比96.53%，普惠在园幼儿占比92.28%），意味着毕业生就业主市场集中在普惠园体系。普惠体系对岗位能力的要求更强调：班级常规与秩序、游戏化活动实施、过程性观察评估、安全卫生规范、家园沟通与资料规范等。</w:t>
      </w:r>
    </w:p>
    <w:p w14:paraId="5785784B">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（二）家园共育与社会期待提升，“沟通能力+情绪稳定”成为硬需求</w:t>
      </w:r>
    </w:p>
    <w:p w14:paraId="4A1BC4E5">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随着家长对保教质量与服务体验的关注提升，园所更重视教师的专业表达、冲突情境处理与正向反馈能力。访谈</w:t>
      </w:r>
      <w:r>
        <w:rPr>
          <w:rFonts w:hint="eastAsia" w:ascii="方正仿宋_GBK" w:hAnsi="方正仿宋_GBK" w:eastAsia="方正仿宋_GBK" w:cs="方正仿宋_GBK"/>
          <w:sz w:val="32"/>
          <w:szCs w:val="32"/>
          <w:lang w:val="en-US" w:eastAsia="zh-CN"/>
        </w:rPr>
        <w:t>中</w:t>
      </w:r>
      <w:r>
        <w:rPr>
          <w:rFonts w:hint="eastAsia" w:ascii="方正仿宋_GBK" w:hAnsi="方正仿宋_GBK" w:eastAsia="方正仿宋_GBK" w:cs="方正仿宋_GBK"/>
          <w:sz w:val="32"/>
          <w:szCs w:val="32"/>
        </w:rPr>
        <w:t>也指出，新教师常见短板之一是家园沟通不足、遇到质疑容易回避或情绪失控，因此“情绪稳定与抗压能力”成为招聘与留任的重要考量。</w:t>
      </w:r>
    </w:p>
    <w:p w14:paraId="1C840C21">
      <w:pPr>
        <w:keepNext w:val="0"/>
        <w:keepLines w:val="0"/>
        <w:pageBreakBefore w:val="0"/>
        <w:kinsoku/>
        <w:wordWrap/>
        <w:overflowPunct/>
        <w:topLinePunct w:val="0"/>
        <w:bidi w:val="0"/>
        <w:adjustRightInd/>
        <w:snapToGrid/>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（三）县域园所综合型岗位多，就业空间广但更看重“即战力与稳定性”</w:t>
      </w:r>
    </w:p>
    <w:p w14:paraId="1848897B">
      <w:pPr>
        <w:keepNext w:val="0"/>
        <w:keepLines w:val="0"/>
        <w:pageBreakBefore w:val="0"/>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从全省看，就业岗位不仅集中在州府城市园所，也大量分布在县域与乡镇园所。此类园所岗位更复合，常见岗位包括班主任、配班教师、保育员/生活老师等，更强调“能带班、会保教融合、守规范、能抗压、愿稳定”。三年制高职毕业生若具备扎实实践能力与职业适应力，将具有较强就业竞争力与更广就业半径。</w:t>
      </w:r>
    </w:p>
    <w:p w14:paraId="691E28AC">
      <w:pPr>
        <w:keepNext w:val="0"/>
        <w:keepLines w:val="0"/>
        <w:pageBreakBefore w:val="0"/>
        <w:numPr>
          <w:ilvl w:val="0"/>
          <w:numId w:val="1"/>
        </w:numPr>
        <w:kinsoku/>
        <w:wordWrap/>
        <w:overflowPunct/>
        <w:topLinePunct w:val="0"/>
        <w:bidi w:val="0"/>
        <w:adjustRightInd/>
        <w:snapToGrid/>
        <w:spacing w:line="600" w:lineRule="exact"/>
        <w:rPr>
          <w:rFonts w:hint="eastAsia" w:ascii="黑体" w:hAnsi="黑体" w:eastAsia="黑体" w:cs="黑体"/>
          <w:sz w:val="32"/>
          <w:szCs w:val="32"/>
        </w:rPr>
      </w:pPr>
      <w:r>
        <w:rPr>
          <w:rFonts w:hint="eastAsia" w:ascii="黑体" w:hAnsi="黑体" w:eastAsia="黑体" w:cs="黑体"/>
          <w:sz w:val="32"/>
          <w:szCs w:val="32"/>
        </w:rPr>
        <w:t>根据用人单位对技能型人才的需求确定岗位</w:t>
      </w:r>
    </w:p>
    <w:tbl>
      <w:tblPr>
        <w:tblStyle w:val="4"/>
        <w:tblW w:w="8357"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2"/>
        <w:gridCol w:w="4359"/>
        <w:gridCol w:w="2706"/>
      </w:tblGrid>
      <w:tr w14:paraId="78F1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80" w:hRule="atLeast"/>
        </w:trPr>
        <w:tc>
          <w:tcPr>
            <w:tcW w:w="1292" w:type="dxa"/>
            <w:shd w:val="clear" w:color="auto" w:fill="auto"/>
            <w:vAlign w:val="center"/>
          </w:tcPr>
          <w:p w14:paraId="7B9E6749">
            <w:pPr>
              <w:keepNext w:val="0"/>
              <w:keepLines w:val="0"/>
              <w:pageBreakBefore w:val="0"/>
              <w:widowControl/>
              <w:suppressLineNumbers w:val="0"/>
              <w:kinsoku/>
              <w:wordWrap/>
              <w:overflowPunct/>
              <w:topLinePunct w:val="0"/>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职业岗位</w:t>
            </w:r>
          </w:p>
        </w:tc>
        <w:tc>
          <w:tcPr>
            <w:tcW w:w="4359" w:type="dxa"/>
            <w:shd w:val="clear" w:color="auto" w:fill="auto"/>
            <w:vAlign w:val="center"/>
          </w:tcPr>
          <w:p w14:paraId="4474CA21">
            <w:pPr>
              <w:keepNext w:val="0"/>
              <w:keepLines w:val="0"/>
              <w:pageBreakBefore w:val="0"/>
              <w:widowControl/>
              <w:suppressLineNumbers w:val="0"/>
              <w:kinsoku/>
              <w:wordWrap/>
              <w:overflowPunct/>
              <w:topLinePunct w:val="0"/>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典型工作任务（或岗位职责任务）</w:t>
            </w:r>
          </w:p>
        </w:tc>
        <w:tc>
          <w:tcPr>
            <w:tcW w:w="2706" w:type="dxa"/>
            <w:shd w:val="clear" w:color="auto" w:fill="auto"/>
            <w:vAlign w:val="center"/>
          </w:tcPr>
          <w:p w14:paraId="04977CEA">
            <w:pPr>
              <w:keepNext w:val="0"/>
              <w:keepLines w:val="0"/>
              <w:pageBreakBefore w:val="0"/>
              <w:widowControl/>
              <w:suppressLineNumbers w:val="0"/>
              <w:kinsoku/>
              <w:wordWrap/>
              <w:overflowPunct/>
              <w:topLinePunct w:val="0"/>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预计平均获得时间</w:t>
            </w:r>
          </w:p>
        </w:tc>
      </w:tr>
      <w:tr w14:paraId="7E39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48" w:hRule="atLeast"/>
        </w:trPr>
        <w:tc>
          <w:tcPr>
            <w:tcW w:w="1292" w:type="dxa"/>
            <w:shd w:val="clear" w:color="auto" w:fill="auto"/>
            <w:vAlign w:val="center"/>
          </w:tcPr>
          <w:p w14:paraId="75DC144B">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配班教师（入门岗位）</w:t>
            </w:r>
          </w:p>
        </w:tc>
        <w:tc>
          <w:tcPr>
            <w:tcW w:w="4359" w:type="dxa"/>
            <w:shd w:val="clear" w:color="auto" w:fill="auto"/>
            <w:vAlign w:val="center"/>
          </w:tcPr>
          <w:p w14:paraId="73F9D65B">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协助主班完成一日生活组织与活动实施；支持区域游戏与材料投放；完成基础观察记录与家园沟通；配合安全管理、卫生消毒与常规培养</w:t>
            </w:r>
          </w:p>
        </w:tc>
        <w:tc>
          <w:tcPr>
            <w:tcW w:w="2706" w:type="dxa"/>
            <w:shd w:val="clear" w:color="auto" w:fill="auto"/>
            <w:vAlign w:val="center"/>
          </w:tcPr>
          <w:p w14:paraId="0E473F02">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0–1年</w:t>
            </w:r>
          </w:p>
        </w:tc>
      </w:tr>
      <w:tr w14:paraId="61AA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2" w:type="dxa"/>
            <w:shd w:val="clear" w:color="auto" w:fill="auto"/>
            <w:vAlign w:val="center"/>
          </w:tcPr>
          <w:p w14:paraId="14376413">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主班教师/班主任（核心岗位）</w:t>
            </w:r>
          </w:p>
        </w:tc>
        <w:tc>
          <w:tcPr>
            <w:tcW w:w="4359" w:type="dxa"/>
            <w:shd w:val="clear" w:color="auto" w:fill="auto"/>
            <w:vAlign w:val="center"/>
          </w:tcPr>
          <w:p w14:paraId="3918F134">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统筹班级一日流程与课程实施；班级现场管理与秩序建构（多目标同时关注）；幼儿观察评估与个别化支持；家园沟通与问题协商；风险预防与应急处置</w:t>
            </w:r>
          </w:p>
        </w:tc>
        <w:tc>
          <w:tcPr>
            <w:tcW w:w="2706" w:type="dxa"/>
            <w:shd w:val="clear" w:color="auto" w:fill="auto"/>
            <w:vAlign w:val="center"/>
          </w:tcPr>
          <w:p w14:paraId="02F810A1">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1–3年</w:t>
            </w:r>
          </w:p>
        </w:tc>
      </w:tr>
      <w:tr w14:paraId="30FB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85" w:hRule="atLeast"/>
        </w:trPr>
        <w:tc>
          <w:tcPr>
            <w:tcW w:w="1292" w:type="dxa"/>
            <w:shd w:val="clear" w:color="auto" w:fill="auto"/>
            <w:vAlign w:val="center"/>
          </w:tcPr>
          <w:p w14:paraId="5C346608">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保育员/生活老师（关键岗位）</w:t>
            </w:r>
          </w:p>
        </w:tc>
        <w:tc>
          <w:tcPr>
            <w:tcW w:w="4359" w:type="dxa"/>
            <w:shd w:val="clear" w:color="auto" w:fill="auto"/>
            <w:vAlign w:val="center"/>
          </w:tcPr>
          <w:p w14:paraId="5A64C2EB">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生活照料与卫生消毒流程规范；午睡巡视与异常识别；与教师协作开展保教融合与习惯养成；安全看护与班级后勤支持</w:t>
            </w:r>
          </w:p>
        </w:tc>
        <w:tc>
          <w:tcPr>
            <w:tcW w:w="2706" w:type="dxa"/>
            <w:shd w:val="clear" w:color="auto" w:fill="auto"/>
            <w:vAlign w:val="center"/>
          </w:tcPr>
          <w:p w14:paraId="08A0D42E">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0–2年</w:t>
            </w:r>
          </w:p>
        </w:tc>
      </w:tr>
      <w:tr w14:paraId="2B48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23" w:hRule="atLeast"/>
        </w:trPr>
        <w:tc>
          <w:tcPr>
            <w:tcW w:w="1292" w:type="dxa"/>
            <w:shd w:val="clear" w:color="auto" w:fill="auto"/>
            <w:vAlign w:val="center"/>
          </w:tcPr>
          <w:p w14:paraId="773D1D3E">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托班/托育照护支持（园所开展托班时）</w:t>
            </w:r>
          </w:p>
        </w:tc>
        <w:tc>
          <w:tcPr>
            <w:tcW w:w="4359" w:type="dxa"/>
            <w:shd w:val="clear" w:color="auto" w:fill="auto"/>
            <w:vAlign w:val="center"/>
          </w:tcPr>
          <w:p w14:paraId="17132A35">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年龄特点照护与游戏支持；精细化照护与安全看护；健康观察与记录；与家长沟通养育要点；与教师配合开展保教融合（照护密度可参照乳儿班1:3、托小班1:5、托大班1:7）</w:t>
            </w:r>
          </w:p>
        </w:tc>
        <w:tc>
          <w:tcPr>
            <w:tcW w:w="2706" w:type="dxa"/>
            <w:shd w:val="clear" w:color="auto" w:fill="auto"/>
            <w:vAlign w:val="center"/>
          </w:tcPr>
          <w:p w14:paraId="58ACF39F">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auto"/>
                <w:kern w:val="0"/>
                <w:sz w:val="32"/>
                <w:szCs w:val="32"/>
                <w:u w:val="none"/>
                <w:lang w:val="en-US" w:eastAsia="zh-CN" w:bidi="ar"/>
              </w:rPr>
              <w:fldChar w:fldCharType="begin"/>
            </w:r>
            <w:r>
              <w:rPr>
                <w:rFonts w:hint="eastAsia" w:ascii="方正仿宋_GBK" w:hAnsi="方正仿宋_GBK" w:eastAsia="方正仿宋_GBK" w:cs="方正仿宋_GBK"/>
                <w:i w:val="0"/>
                <w:iCs w:val="0"/>
                <w:color w:val="auto"/>
                <w:kern w:val="0"/>
                <w:sz w:val="32"/>
                <w:szCs w:val="32"/>
                <w:u w:val="none"/>
                <w:lang w:val="en-US" w:eastAsia="zh-CN" w:bidi="ar"/>
              </w:rPr>
              <w:instrText xml:space="preserve"> HYPERLINK "https://www.whkfq.gov.cn/xxgk/fdzdgk/shgysy/ggws/ztggwszs/202109/t20210926_1784223.html?utm_source=chatgpt.com" \o "https://www.whkfq.gov.cn/xxgk/fdzdgk/shgysy/ggws/ztggwszs/202109/t20210926_1784223.html?utm_source=chatgpt.com" </w:instrText>
            </w:r>
            <w:r>
              <w:rPr>
                <w:rFonts w:hint="eastAsia" w:ascii="方正仿宋_GBK" w:hAnsi="方正仿宋_GBK" w:eastAsia="方正仿宋_GBK" w:cs="方正仿宋_GBK"/>
                <w:i w:val="0"/>
                <w:iCs w:val="0"/>
                <w:color w:val="auto"/>
                <w:kern w:val="0"/>
                <w:sz w:val="32"/>
                <w:szCs w:val="32"/>
                <w:u w:val="none"/>
                <w:lang w:val="en-US" w:eastAsia="zh-CN" w:bidi="ar"/>
              </w:rPr>
              <w:fldChar w:fldCharType="separate"/>
            </w:r>
            <w:r>
              <w:rPr>
                <w:rStyle w:val="6"/>
                <w:rFonts w:hint="eastAsia" w:ascii="方正仿宋_GBK" w:hAnsi="方正仿宋_GBK" w:eastAsia="方正仿宋_GBK" w:cs="方正仿宋_GBK"/>
                <w:i w:val="0"/>
                <w:iCs w:val="0"/>
                <w:color w:val="auto"/>
                <w:sz w:val="32"/>
                <w:szCs w:val="32"/>
                <w:u w:val="none"/>
              </w:rPr>
              <w:t xml:space="preserve">1–2年 </w:t>
            </w:r>
            <w:r>
              <w:rPr>
                <w:rFonts w:hint="eastAsia" w:ascii="方正仿宋_GBK" w:hAnsi="方正仿宋_GBK" w:eastAsia="方正仿宋_GBK" w:cs="方正仿宋_GBK"/>
                <w:i w:val="0"/>
                <w:iCs w:val="0"/>
                <w:color w:val="auto"/>
                <w:kern w:val="0"/>
                <w:sz w:val="32"/>
                <w:szCs w:val="32"/>
                <w:u w:val="none"/>
                <w:lang w:val="en-US" w:eastAsia="zh-CN" w:bidi="ar"/>
              </w:rPr>
              <w:fldChar w:fldCharType="end"/>
            </w:r>
          </w:p>
        </w:tc>
      </w:tr>
      <w:tr w14:paraId="4AAE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07" w:hRule="atLeast"/>
        </w:trPr>
        <w:tc>
          <w:tcPr>
            <w:tcW w:w="1292" w:type="dxa"/>
            <w:shd w:val="clear" w:color="auto" w:fill="auto"/>
            <w:vAlign w:val="center"/>
          </w:tcPr>
          <w:p w14:paraId="28CFAF72">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教研组长/保教主任助理（骨干发展）</w:t>
            </w:r>
          </w:p>
        </w:tc>
        <w:tc>
          <w:tcPr>
            <w:tcW w:w="4359" w:type="dxa"/>
            <w:shd w:val="clear" w:color="auto" w:fill="auto"/>
            <w:vAlign w:val="center"/>
          </w:tcPr>
          <w:p w14:paraId="3467A53F">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组织园本教研与课程审议；指导青年教师备课、观察记录与反思；推进活动质量改进与资源建设；组织公开课、观摩与培训</w:t>
            </w:r>
          </w:p>
        </w:tc>
        <w:tc>
          <w:tcPr>
            <w:tcW w:w="2706" w:type="dxa"/>
            <w:shd w:val="clear" w:color="auto" w:fill="auto"/>
            <w:vAlign w:val="center"/>
          </w:tcPr>
          <w:p w14:paraId="4AD65F81">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3–5年</w:t>
            </w:r>
          </w:p>
        </w:tc>
      </w:tr>
      <w:tr w14:paraId="45CF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25" w:hRule="atLeast"/>
        </w:trPr>
        <w:tc>
          <w:tcPr>
            <w:tcW w:w="1292" w:type="dxa"/>
            <w:shd w:val="clear" w:color="auto" w:fill="auto"/>
            <w:vAlign w:val="center"/>
          </w:tcPr>
          <w:p w14:paraId="59570D9B">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园长助理/管理岗位（发展方向）</w:t>
            </w:r>
          </w:p>
        </w:tc>
        <w:tc>
          <w:tcPr>
            <w:tcW w:w="4359" w:type="dxa"/>
            <w:shd w:val="clear" w:color="auto" w:fill="auto"/>
            <w:vAlign w:val="center"/>
          </w:tcPr>
          <w:p w14:paraId="07774C00">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协助园务运行与制度执行；安全、卫生、后勤协同管理；家园社协同与品牌活动组织；团队建设与人才培养</w:t>
            </w:r>
          </w:p>
        </w:tc>
        <w:tc>
          <w:tcPr>
            <w:tcW w:w="2706" w:type="dxa"/>
            <w:shd w:val="clear" w:color="auto" w:fill="auto"/>
            <w:vAlign w:val="center"/>
          </w:tcPr>
          <w:p w14:paraId="5C2898FB">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5年以上</w:t>
            </w:r>
          </w:p>
        </w:tc>
      </w:tr>
      <w:tr w14:paraId="698A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rPr>
        <w:tc>
          <w:tcPr>
            <w:tcW w:w="1292" w:type="dxa"/>
            <w:shd w:val="clear" w:color="auto" w:fill="auto"/>
            <w:vAlign w:val="center"/>
          </w:tcPr>
          <w:p w14:paraId="46ED064F">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家庭教育指导/沟通支持（扩展岗位）</w:t>
            </w:r>
          </w:p>
        </w:tc>
        <w:tc>
          <w:tcPr>
            <w:tcW w:w="4359" w:type="dxa"/>
            <w:shd w:val="clear" w:color="auto" w:fill="auto"/>
            <w:vAlign w:val="center"/>
          </w:tcPr>
          <w:p w14:paraId="7E5B7598">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家长课堂、咨询与亲子活动组织；家园沟通策略支持与矛盾调解；家庭教育资源整合与社区协同</w:t>
            </w:r>
          </w:p>
        </w:tc>
        <w:tc>
          <w:tcPr>
            <w:tcW w:w="2706" w:type="dxa"/>
            <w:shd w:val="clear" w:color="auto" w:fill="auto"/>
            <w:vAlign w:val="center"/>
          </w:tcPr>
          <w:p w14:paraId="6182B675">
            <w:pPr>
              <w:keepNext w:val="0"/>
              <w:keepLines w:val="0"/>
              <w:pageBreakBefore w:val="0"/>
              <w:widowControl/>
              <w:suppressLineNumbers w:val="0"/>
              <w:kinsoku/>
              <w:wordWrap/>
              <w:overflowPunct/>
              <w:topLinePunct w:val="0"/>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3–5年</w:t>
            </w:r>
          </w:p>
        </w:tc>
      </w:tr>
    </w:tbl>
    <w:p w14:paraId="0F944509">
      <w:pPr>
        <w:keepNext w:val="0"/>
        <w:keepLines w:val="0"/>
        <w:pageBreakBefore w:val="0"/>
        <w:numPr>
          <w:ilvl w:val="0"/>
          <w:numId w:val="1"/>
        </w:numPr>
        <w:kinsoku/>
        <w:wordWrap/>
        <w:overflowPunct/>
        <w:topLinePunct w:val="0"/>
        <w:bidi w:val="0"/>
        <w:adjustRightInd/>
        <w:snapToGrid/>
        <w:spacing w:line="600" w:lineRule="exact"/>
        <w:ind w:left="0" w:leftChars="0" w:firstLine="0" w:firstLineChars="0"/>
        <w:rPr>
          <w:rFonts w:hint="eastAsia" w:ascii="黑体" w:hAnsi="黑体" w:eastAsia="黑体" w:cs="黑体"/>
          <w:sz w:val="32"/>
          <w:szCs w:val="32"/>
        </w:rPr>
      </w:pPr>
      <w:r>
        <w:rPr>
          <w:rFonts w:hint="eastAsia" w:ascii="黑体" w:hAnsi="黑体" w:eastAsia="黑体" w:cs="黑体"/>
          <w:sz w:val="32"/>
          <w:szCs w:val="32"/>
        </w:rPr>
        <w:t>调研结论与对人才培养的启示</w:t>
      </w:r>
    </w:p>
    <w:p w14:paraId="3C76F43D">
      <w:pPr>
        <w:keepNext w:val="0"/>
        <w:keepLines w:val="0"/>
        <w:pageBreakBefore w:val="0"/>
        <w:numPr>
          <w:ilvl w:val="0"/>
          <w:numId w:val="0"/>
        </w:numPr>
        <w:kinsoku/>
        <w:wordWrap/>
        <w:overflowPunct/>
        <w:topLinePunct w:val="0"/>
        <w:bidi w:val="0"/>
        <w:adjustRightInd/>
        <w:snapToGrid/>
        <w:spacing w:line="600" w:lineRule="exact"/>
        <w:ind w:leftChars="0"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综合国家与云南省统计、公办规范性文件以及园所访谈证据，可归纳云南省学前教育人才需求的主要特征如下：</w:t>
      </w:r>
    </w:p>
    <w:p w14:paraId="5EC5730D">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需求广覆盖、长期存在：全省幼儿园数量多、普惠体系占主体，岗位需求具有长期性与普遍性。</w:t>
      </w:r>
    </w:p>
    <w:p w14:paraId="772CCD4E">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需求结构升级：受普惠提质、规范办园与家园共育需求影响，用人单位更紧缺“能带班、会保教融合、能沟通、能抗压、守规范、愿留任”的一线人才。</w:t>
      </w:r>
    </w:p>
    <w:p w14:paraId="547E59ED">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就业跨地州市流动明显：学生来源与就业去向呈跨区域分布，专业建设应面向云南省普遍需求，同时通过实践教学强化县域园所综合型岗位胜任力。</w:t>
      </w:r>
    </w:p>
    <w:p w14:paraId="6430B288">
      <w:pPr>
        <w:keepNext w:val="0"/>
        <w:keepLines w:val="0"/>
        <w:pageBreakBefore w:val="0"/>
        <w:numPr>
          <w:ilvl w:val="0"/>
          <w:numId w:val="0"/>
        </w:numPr>
        <w:kinsoku/>
        <w:wordWrap/>
        <w:overflowPunct/>
        <w:topLinePunct w:val="0"/>
        <w:bidi w:val="0"/>
        <w:adjustRightInd/>
        <w:snapToGrid/>
        <w:spacing w:line="600" w:lineRule="exact"/>
        <w:rPr>
          <w:rFonts w:hint="eastAsia" w:ascii="黑体" w:hAnsi="黑体" w:eastAsia="黑体" w:cs="黑体"/>
          <w:sz w:val="32"/>
          <w:szCs w:val="32"/>
        </w:rPr>
      </w:pPr>
      <w:r>
        <w:rPr>
          <w:rFonts w:hint="eastAsia" w:ascii="黑体" w:hAnsi="黑体" w:eastAsia="黑体" w:cs="黑体"/>
          <w:sz w:val="32"/>
          <w:szCs w:val="32"/>
        </w:rPr>
        <w:t>六、对德宏职业学院三年制高职学前教育专业的建议</w:t>
      </w:r>
    </w:p>
    <w:p w14:paraId="72D2A581">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把“保教融合”做成实训主线：建立“全天跟班任务清单”（进餐、午睡、消毒、突发照护、交接沟通）并形成过程性评价。</w:t>
      </w:r>
    </w:p>
    <w:p w14:paraId="31B61D0F">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强化“班级现场管理能力”训练：用多事件模拟训练“一眼看全班”的统筹能力，重点考核秩序建构、风险识别与应急处置。</w:t>
      </w:r>
    </w:p>
    <w:p w14:paraId="58654B86">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建立“家园沟通情境库”与考核机制：磕碰解释、挑食沟通、行为问题反馈、群内投诉应对等，邀请园长/保教主任参与评价。</w:t>
      </w:r>
    </w:p>
    <w:p w14:paraId="61011465">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将“观察评估与个别化支持”嵌入实习评价：把观察记录、发展评价、支持策略与反思写作作为</w:t>
      </w:r>
      <w:r>
        <w:rPr>
          <w:rFonts w:hint="eastAsia" w:ascii="方正仿宋_GBK" w:hAnsi="方正仿宋_GBK" w:eastAsia="方正仿宋_GBK" w:cs="方正仿宋_GBK"/>
          <w:sz w:val="32"/>
          <w:szCs w:val="32"/>
          <w:lang w:val="en-US" w:eastAsia="zh-CN"/>
        </w:rPr>
        <w:t>认识</w:t>
      </w:r>
      <w:r>
        <w:rPr>
          <w:rFonts w:hint="eastAsia" w:ascii="方正仿宋_GBK" w:hAnsi="方正仿宋_GBK" w:eastAsia="方正仿宋_GBK" w:cs="方正仿宋_GBK"/>
          <w:sz w:val="32"/>
          <w:szCs w:val="32"/>
        </w:rPr>
        <w:t>实习核心产出。</w:t>
      </w:r>
    </w:p>
    <w:p w14:paraId="0B547650">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校企共建岗位胜任力评价表：把园所最看</w:t>
      </w:r>
      <w:bookmarkStart w:id="0" w:name="_GoBack"/>
      <w:bookmarkEnd w:id="0"/>
      <w:r>
        <w:rPr>
          <w:rFonts w:hint="eastAsia" w:ascii="方正仿宋_GBK" w:hAnsi="方正仿宋_GBK" w:eastAsia="方正仿宋_GBK" w:cs="方正仿宋_GBK"/>
          <w:sz w:val="32"/>
          <w:szCs w:val="32"/>
        </w:rPr>
        <w:t>重的能力嵌入课程考核与实习评价，实现“岗课训评一致”。</w:t>
      </w:r>
    </w:p>
    <w:p w14:paraId="5700FC56">
      <w:pPr>
        <w:keepNext w:val="0"/>
        <w:keepLines w:val="0"/>
        <w:pageBreakBefore w:val="0"/>
        <w:numPr>
          <w:ilvl w:val="0"/>
          <w:numId w:val="0"/>
        </w:numPr>
        <w:kinsoku/>
        <w:wordWrap/>
        <w:overflowPunct/>
        <w:topLinePunct w:val="0"/>
        <w:bidi w:val="0"/>
        <w:adjustRightInd/>
        <w:snapToGrid/>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形成“省域普遍需求+地方特色能力”的双层结构：对标云南普惠园普遍需求的同时，结合德宏多民族文化情境强化文化理解、沟通表达与本土资源开发能力，形成专业特色。</w:t>
      </w:r>
    </w:p>
    <w:p w14:paraId="56C6428F">
      <w:pPr>
        <w:keepNext w:val="0"/>
        <w:keepLines w:val="0"/>
        <w:pageBreakBefore w:val="0"/>
        <w:kinsoku/>
        <w:wordWrap/>
        <w:overflowPunct/>
        <w:topLinePunct w:val="0"/>
        <w:autoSpaceDE w:val="0"/>
        <w:autoSpaceDN w:val="0"/>
        <w:bidi w:val="0"/>
        <w:adjustRightInd/>
        <w:snapToGrid/>
        <w:spacing w:line="600" w:lineRule="exact"/>
        <w:jc w:val="center"/>
        <w:rPr>
          <w:rFonts w:ascii="黑体" w:hAnsi="黑体" w:eastAsia="黑体" w:cs="黑体"/>
          <w:b/>
          <w:bCs/>
          <w:color w:val="000000"/>
          <w:spacing w:val="-17"/>
          <w:w w:val="104"/>
          <w:kern w:val="0"/>
          <w:sz w:val="52"/>
          <w:szCs w:val="22"/>
        </w:rPr>
      </w:pPr>
    </w:p>
    <w:p w14:paraId="5D1F25DB">
      <w:pPr>
        <w:keepNext w:val="0"/>
        <w:keepLines w:val="0"/>
        <w:pageBreakBefore w:val="0"/>
        <w:kinsoku/>
        <w:wordWrap/>
        <w:overflowPunct/>
        <w:topLinePunct w:val="0"/>
        <w:autoSpaceDE w:val="0"/>
        <w:autoSpaceDN w:val="0"/>
        <w:bidi w:val="0"/>
        <w:adjustRightInd/>
        <w:snapToGrid/>
        <w:spacing w:line="600" w:lineRule="exact"/>
        <w:jc w:val="center"/>
        <w:rPr>
          <w:rFonts w:hint="eastAsia" w:ascii="黑体" w:hAnsi="黑体" w:eastAsia="黑体" w:cs="黑体"/>
          <w:b/>
          <w:bCs/>
          <w:color w:val="000000"/>
          <w:spacing w:val="-17"/>
          <w:w w:val="104"/>
          <w:kern w:val="0"/>
          <w:sz w:val="52"/>
          <w:szCs w:val="22"/>
        </w:rPr>
        <w:sectPr>
          <w:footerReference r:id="rId3" w:type="default"/>
          <w:pgSz w:w="11900" w:h="16840"/>
          <w:pgMar w:top="1426" w:right="1701" w:bottom="992" w:left="1600" w:header="851" w:footer="992" w:gutter="0"/>
          <w:pgNumType w:fmt="decimal" w:start="1"/>
          <w:cols w:space="0" w:num="1"/>
        </w:sectPr>
      </w:pPr>
    </w:p>
    <w:p w14:paraId="4C62AF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880" w:firstLineChars="200"/>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lang w:val="en-US" w:eastAsia="zh-CN"/>
        </w:rPr>
        <w:t>学前教育</w:t>
      </w:r>
      <w:r>
        <w:rPr>
          <w:rFonts w:hint="eastAsia" w:ascii="方正小标宋_GBK" w:hAnsi="方正小标宋_GBK" w:eastAsia="方正小标宋_GBK" w:cs="方正小标宋_GBK"/>
          <w:sz w:val="44"/>
          <w:szCs w:val="44"/>
        </w:rPr>
        <w:t>专业</w:t>
      </w:r>
      <w:r>
        <w:rPr>
          <w:rFonts w:hint="eastAsia" w:ascii="方正小标宋_GBK" w:hAnsi="方正小标宋_GBK" w:eastAsia="方正小标宋_GBK" w:cs="方正小标宋_GBK"/>
          <w:sz w:val="44"/>
          <w:szCs w:val="44"/>
          <w:lang w:val="en-US" w:eastAsia="zh-CN"/>
        </w:rPr>
        <w:t>必要性和可行性论证报告</w:t>
      </w:r>
    </w:p>
    <w:p w14:paraId="520652B0">
      <w:pPr>
        <w:keepNext w:val="0"/>
        <w:keepLines w:val="0"/>
        <w:pageBreakBefore w:val="0"/>
        <w:kinsoku/>
        <w:wordWrap/>
        <w:overflowPunct/>
        <w:topLinePunct w:val="0"/>
        <w:autoSpaceDE/>
        <w:autoSpaceDN/>
        <w:bidi w:val="0"/>
        <w:adjustRightInd/>
        <w:snapToGrid/>
        <w:spacing w:line="600" w:lineRule="exac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一、开设学前教育专业的必要性</w:t>
      </w:r>
    </w:p>
    <w:p w14:paraId="2D6F4846">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（一）专业分析</w:t>
      </w:r>
    </w:p>
    <w:p w14:paraId="0C7971DC">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1.专业面向广、需求具有省域普遍性</w:t>
      </w:r>
    </w:p>
    <w:p w14:paraId="747B290F">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学前教育专业主要面向幼儿园及相关学前教育服务机构的一线岗位，具有“覆盖面广、岗位分布广、就业流动性强”的特点。我院培养方案明确提出“立足德宏州、辐射云南各城乡区域”的服务面向，契合学生生源来自云南多地、就业去向不局限单一地州的现实。</w:t>
      </w:r>
    </w:p>
    <w:p w14:paraId="6C328C45">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2.职业岗位指向清晰，就业出口稳定</w:t>
      </w:r>
    </w:p>
    <w:p w14:paraId="0AF82EE7">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培养方案明确本专业职业面向为幼儿园教师、幼儿园保育员、早教中心教师等，岗位链条清晰（配班—主班—骨干发展），能够满足学生在不同类型园所（公办/普惠/民办）与不同区域就业与成长的需要。</w:t>
      </w:r>
    </w:p>
    <w:p w14:paraId="4B8BC057">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3.就业落实率高，专业设置具有现实支撑</w:t>
      </w:r>
    </w:p>
    <w:p w14:paraId="276F6056">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数据显示：近三届毕业去向落实率整体保持高位，说明专业设置与就业市场匹配度较高、岗位承载能力强。20级年终毕业去向落实率 99.02%；21级年终毕业去向落实率 98.87%；22级初次毕业去向落实率 92.67%。同时，22级本地就业率仅 2.8%，也说明毕业生跨区域就业明显，专业建设应面向省域就业市场进行能力对标与实践优化。</w:t>
      </w:r>
    </w:p>
    <w:p w14:paraId="12E83DF8">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4.岗位规范与质量要求提升，需要系统化、实践导向的人才培养</w:t>
      </w:r>
    </w:p>
    <w:p w14:paraId="7B0839EC">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幼儿园岗位具有强实践性：除教育活动设计实施外，还包括一日生活组织、保教融合、卫生保健、安全管理、家园沟通、幼儿观察与发展支持等综合能力。培养方案强调学生应掌握教育理论与保教实践能力，并形成持续发展能力，符合职业岗位对“综合胜任力”的要求。</w:t>
      </w:r>
    </w:p>
    <w:p w14:paraId="23CE3A0E">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（二）专业培养目标</w:t>
      </w:r>
    </w:p>
    <w:p w14:paraId="05D7995A">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本专业培养德智体美劳全面发展，热爱学前教育事业、师德高尚，掌握学前教育理论与保教实践技能，能够因地制宜选择教育内容、合理组织教育活动、科学管理幼儿班级、有效开展教育评价，能在云南各城乡区域学前教育行业从事一线教育教学工作的应用型人才；毕业五年左右成长为城乡区域学前教育青年骨干教师。</w:t>
      </w:r>
    </w:p>
    <w:p w14:paraId="77E0C353">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（三）学生发展与学校服务地方的需要</w:t>
      </w:r>
    </w:p>
    <w:p w14:paraId="19E094D3">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学前教育专业批准设置于2017年1月，首次招生于2017年9月，学制3年。专业运行已形成稳定基础，同时毕业生就业跨区域特征明显，学校有必要以“省域通用岗位胜任力”为导向持续优化培养方案与实践教学，提升毕业生就业质量与发展能力。</w:t>
      </w:r>
    </w:p>
    <w:p w14:paraId="0763CFC5">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二、我校开设学前教育专业的背景与优势</w:t>
      </w:r>
    </w:p>
    <w:p w14:paraId="06EFF01B">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（一）办学基础明确、专业运行稳定</w:t>
      </w:r>
    </w:p>
    <w:p w14:paraId="4F525117">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培养方案明确专业代码570102K、学制三年、办学起始与招生时间清晰，为专业持续改进、质量保障与稳定招生提供基础支撑。</w:t>
      </w:r>
    </w:p>
    <w:p w14:paraId="057D5AD3">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（二）“证书要求 + 岗位能力”双对接，培养出口更规范</w:t>
      </w:r>
    </w:p>
    <w:p w14:paraId="2652BAEE">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明确列出可对接的职业资格/技能等级证书体系，并要求毕业生取得其一，如：保育师技能等级证书、婴幼儿发展引导员技能等级证书、幼儿园教师资格证、1+X幼儿照护证书等，为“岗位准入—能力证明—就业竞争力”提供制度化路径。</w:t>
      </w:r>
    </w:p>
    <w:p w14:paraId="4FCBA45E">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（三）就业成效明显，反向验证专业设置的必要性</w:t>
      </w:r>
    </w:p>
    <w:p w14:paraId="3805D83A">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近三届毕业去向落实率处于高位，同时“就业+升学”双通道结构明显，能够支撑学生多元发展需求；对口就业率与高质量就业比例为后续“提升岗位匹配与就业质量”的教学改进提供了明确靶向（详见附表1）。</w:t>
      </w:r>
    </w:p>
    <w:p w14:paraId="1D9C1EE1">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三、开设学前教育专业的可行性</w:t>
      </w:r>
    </w:p>
    <w:p w14:paraId="37D39FD4">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（一）培养方案成熟，实践教学占比高，符合高职办学规律</w:t>
      </w:r>
    </w:p>
    <w:p w14:paraId="5848A99F">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培养方案总学时2832学时，其中实践性教学环节1556学时，占比55.29%；岗位实习6个月。该结构能够有效保障学生形成“可上岗、能胜任”的实践能力与职业素养，具备稳定办学的课程与教学组织基础。</w:t>
      </w:r>
    </w:p>
    <w:p w14:paraId="6EAA0A79">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（二）师资结构与双师队伍具备支撑力</w:t>
      </w:r>
    </w:p>
    <w:p w14:paraId="7EA38666">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该专业专任教师41人，兼职教师52人；研究生以上学历比例41.46%，高级职称比例46.34%，双师教师比例60.97%。</w:t>
      </w:r>
    </w:p>
    <w:p w14:paraId="7ADA0C5D">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上述师资结构能够支撑“理论教学—技能训练—园所实践指导—就业能力提升”的完整培养链条。</w:t>
      </w:r>
    </w:p>
    <w:p w14:paraId="6016ADC8">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（三）校内实训条件完备，覆盖保教核心技能训练</w:t>
      </w:r>
    </w:p>
    <w:p w14:paraId="462625AC">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明确：校内实训基地2个、校内实训工位939个，并列出形体/钢琴/奥尔夫/早期综合/幼儿园模拟/保育员/卫生保健/绘本阅读/智慧实训等实训室，能够覆盖“艺术技能+保育保健+班级管理+教学技能”的核心训练需求。</w:t>
      </w:r>
    </w:p>
    <w:p w14:paraId="05E8CEEC">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（四）校外实践基地数量充足，保障“见习—跟岗—顶岗”链条落实</w:t>
      </w:r>
    </w:p>
    <w:p w14:paraId="6E3529C8">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培养方案明确校外实训基地26个，并列明基地名称与建立时间（含州内外合作园所），可支撑学生在不同类型与不同区域园所开展岗位实践、提升适岗能力，符合毕业生跨区域就业现实。</w:t>
      </w:r>
    </w:p>
    <w:p w14:paraId="4DDE89A2">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（五）“岗课训评证”对接体系可落地</w:t>
      </w:r>
    </w:p>
    <w:p w14:paraId="5DA26719">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依据培养方案的职业面向、证书体系、实训条件与实践学时结构，可构建“核心岗位—典型任务—课程/实训室—考核产出—证书对接”的闭环体系（详见附表2），将用人单位最关注的“能带班、会保教融合、能沟通、守规范、能抗压”要求转化为可训练、可评价、可存档的学习成果，显著提升毕业生岗位胜任力与就业质量。</w:t>
      </w:r>
    </w:p>
    <w:p w14:paraId="797CCA5E">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四、发展前景</w:t>
      </w:r>
    </w:p>
    <w:p w14:paraId="7C87F249">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从毕业去向落实率与就业结构看，本专业具备稳定的就业吸纳能力与升学发展空间。随着学前教育行业对保教质量、规范办园与师资专业化要求不断提升，具备“教学实施+保教融合+班级管理+家园沟通+观察评估”综合胜任力的高职毕业生，在云南省各地州市幼儿园及相关机构均具有较广就业空间与成长路径。</w:t>
      </w:r>
    </w:p>
    <w:p w14:paraId="60CEB908">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同时，培养方案明确毕业五年左右成长为青年骨干教师的定位，为学生提供从入门到骨干的清晰发展通道。</w:t>
      </w:r>
    </w:p>
    <w:p w14:paraId="0C22C4D8">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五、结论</w:t>
      </w:r>
    </w:p>
    <w:p w14:paraId="795D1409">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学前教育专业职业面向明确、岗位链条完整，且符合学生跨区域就业现实；</w:t>
      </w:r>
    </w:p>
    <w:p w14:paraId="229C15D1">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近三届毕业去向落实率高，体现专业设置的现实必要性；</w:t>
      </w:r>
    </w:p>
    <w:p w14:paraId="1CF24B06">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我校自2017年9月开始办学，已形成成熟培养方案；实践教学占比高、岗位实习周期明确；师资结构、校内实训室与校外基地条件能够有效支撑专业人才培养；证书体系与岗位能力对接明确，具备“岗课训评证”闭环建设基础。</w:t>
      </w:r>
    </w:p>
    <w:p w14:paraId="53947098">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因此，在德宏职业学院继续设置并优化三年制高职大专学前教育专业，既必要，也可行。</w:t>
      </w:r>
    </w:p>
    <w:p w14:paraId="43D76FF7">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320CAAA5">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0479550">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39616DF">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13720B1E">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37CA0DC7">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80D4B02">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1E72C4DD">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45AF12A5">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25EC2793">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附表1 近三届毕业生去向落实情况</w:t>
      </w:r>
    </w:p>
    <w:tbl>
      <w:tblPr>
        <w:tblStyle w:val="4"/>
        <w:tblW w:w="8222"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00"/>
        <w:gridCol w:w="1908"/>
        <w:gridCol w:w="1841"/>
        <w:gridCol w:w="2673"/>
      </w:tblGrid>
      <w:tr w14:paraId="3B8B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1800" w:type="dxa"/>
            <w:shd w:val="clear" w:color="auto" w:fill="auto"/>
            <w:vAlign w:val="center"/>
          </w:tcPr>
          <w:p w14:paraId="551C18C0">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指标</w:t>
            </w:r>
          </w:p>
        </w:tc>
        <w:tc>
          <w:tcPr>
            <w:tcW w:w="1908" w:type="dxa"/>
            <w:shd w:val="clear" w:color="auto" w:fill="auto"/>
            <w:vAlign w:val="center"/>
          </w:tcPr>
          <w:p w14:paraId="0F9C39DB">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20级（年终）</w:t>
            </w:r>
          </w:p>
        </w:tc>
        <w:tc>
          <w:tcPr>
            <w:tcW w:w="1841" w:type="dxa"/>
            <w:shd w:val="clear" w:color="auto" w:fill="auto"/>
            <w:vAlign w:val="center"/>
          </w:tcPr>
          <w:p w14:paraId="031F7AF5">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21级（年终）</w:t>
            </w:r>
          </w:p>
        </w:tc>
        <w:tc>
          <w:tcPr>
            <w:tcW w:w="2673" w:type="dxa"/>
            <w:shd w:val="clear" w:color="auto" w:fill="auto"/>
            <w:vAlign w:val="center"/>
          </w:tcPr>
          <w:p w14:paraId="00AD0F01">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22级（初次）</w:t>
            </w:r>
          </w:p>
        </w:tc>
      </w:tr>
      <w:tr w14:paraId="1487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1800" w:type="dxa"/>
            <w:shd w:val="clear" w:color="auto" w:fill="auto"/>
            <w:vAlign w:val="center"/>
          </w:tcPr>
          <w:p w14:paraId="3918E0D4">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毕业去向落实率</w:t>
            </w:r>
          </w:p>
        </w:tc>
        <w:tc>
          <w:tcPr>
            <w:tcW w:w="1908" w:type="dxa"/>
            <w:shd w:val="clear" w:color="auto" w:fill="auto"/>
            <w:vAlign w:val="center"/>
          </w:tcPr>
          <w:p w14:paraId="197F17F7">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99.02%</w:t>
            </w:r>
          </w:p>
        </w:tc>
        <w:tc>
          <w:tcPr>
            <w:tcW w:w="1841" w:type="dxa"/>
            <w:shd w:val="clear" w:color="auto" w:fill="auto"/>
            <w:vAlign w:val="center"/>
          </w:tcPr>
          <w:p w14:paraId="43911CD6">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98.87%</w:t>
            </w:r>
          </w:p>
        </w:tc>
        <w:tc>
          <w:tcPr>
            <w:tcW w:w="2673" w:type="dxa"/>
            <w:shd w:val="clear" w:color="auto" w:fill="auto"/>
            <w:vAlign w:val="center"/>
          </w:tcPr>
          <w:p w14:paraId="7D3F7BF5">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92.67%</w:t>
            </w:r>
          </w:p>
        </w:tc>
      </w:tr>
      <w:tr w14:paraId="34F6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1800" w:type="dxa"/>
            <w:shd w:val="clear" w:color="auto" w:fill="auto"/>
            <w:vAlign w:val="center"/>
          </w:tcPr>
          <w:p w14:paraId="086B233C">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升学比例</w:t>
            </w:r>
          </w:p>
        </w:tc>
        <w:tc>
          <w:tcPr>
            <w:tcW w:w="1908" w:type="dxa"/>
            <w:shd w:val="clear" w:color="auto" w:fill="auto"/>
            <w:vAlign w:val="center"/>
          </w:tcPr>
          <w:p w14:paraId="77576A54">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23.10%</w:t>
            </w:r>
          </w:p>
        </w:tc>
        <w:tc>
          <w:tcPr>
            <w:tcW w:w="1841" w:type="dxa"/>
            <w:shd w:val="clear" w:color="auto" w:fill="auto"/>
            <w:vAlign w:val="center"/>
          </w:tcPr>
          <w:p w14:paraId="7B2B1ACD">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46.47%</w:t>
            </w:r>
          </w:p>
        </w:tc>
        <w:tc>
          <w:tcPr>
            <w:tcW w:w="2673" w:type="dxa"/>
            <w:shd w:val="clear" w:color="auto" w:fill="auto"/>
            <w:vAlign w:val="center"/>
          </w:tcPr>
          <w:p w14:paraId="522B52CE">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11.90%</w:t>
            </w:r>
          </w:p>
        </w:tc>
      </w:tr>
      <w:tr w14:paraId="4E544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1800" w:type="dxa"/>
            <w:shd w:val="clear" w:color="auto" w:fill="auto"/>
            <w:vAlign w:val="center"/>
          </w:tcPr>
          <w:p w14:paraId="01D6A316">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直接就业比例</w:t>
            </w:r>
          </w:p>
        </w:tc>
        <w:tc>
          <w:tcPr>
            <w:tcW w:w="1908" w:type="dxa"/>
            <w:shd w:val="clear" w:color="auto" w:fill="auto"/>
            <w:vAlign w:val="center"/>
          </w:tcPr>
          <w:p w14:paraId="27F146D6">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75.72%</w:t>
            </w:r>
          </w:p>
        </w:tc>
        <w:tc>
          <w:tcPr>
            <w:tcW w:w="1841" w:type="dxa"/>
            <w:shd w:val="clear" w:color="auto" w:fill="auto"/>
            <w:vAlign w:val="center"/>
          </w:tcPr>
          <w:p w14:paraId="7075F3D7">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52.39%</w:t>
            </w:r>
          </w:p>
        </w:tc>
        <w:tc>
          <w:tcPr>
            <w:tcW w:w="2673" w:type="dxa"/>
            <w:shd w:val="clear" w:color="auto" w:fill="auto"/>
            <w:vAlign w:val="center"/>
          </w:tcPr>
          <w:p w14:paraId="0109E581">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75.43%</w:t>
            </w:r>
          </w:p>
        </w:tc>
      </w:tr>
      <w:tr w14:paraId="53D6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1800" w:type="dxa"/>
            <w:shd w:val="clear" w:color="auto" w:fill="auto"/>
            <w:vAlign w:val="center"/>
          </w:tcPr>
          <w:p w14:paraId="0960F786">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高质量就业比例</w:t>
            </w:r>
          </w:p>
        </w:tc>
        <w:tc>
          <w:tcPr>
            <w:tcW w:w="1908" w:type="dxa"/>
            <w:shd w:val="clear" w:color="auto" w:fill="auto"/>
            <w:vAlign w:val="center"/>
          </w:tcPr>
          <w:p w14:paraId="1E1EE3C7">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30.58%</w:t>
            </w:r>
          </w:p>
        </w:tc>
        <w:tc>
          <w:tcPr>
            <w:tcW w:w="1841" w:type="dxa"/>
            <w:shd w:val="clear" w:color="auto" w:fill="auto"/>
            <w:vAlign w:val="center"/>
          </w:tcPr>
          <w:p w14:paraId="6CB3581C">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18.02%</w:t>
            </w:r>
          </w:p>
        </w:tc>
        <w:tc>
          <w:tcPr>
            <w:tcW w:w="2673" w:type="dxa"/>
            <w:shd w:val="clear" w:color="auto" w:fill="auto"/>
            <w:vAlign w:val="center"/>
          </w:tcPr>
          <w:p w14:paraId="7CB71B27">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24.00%</w:t>
            </w:r>
          </w:p>
        </w:tc>
      </w:tr>
      <w:tr w14:paraId="3746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00" w:type="dxa"/>
            <w:shd w:val="clear" w:color="auto" w:fill="auto"/>
            <w:vAlign w:val="center"/>
          </w:tcPr>
          <w:p w14:paraId="0AFE49EE">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对口就业率</w:t>
            </w:r>
          </w:p>
        </w:tc>
        <w:tc>
          <w:tcPr>
            <w:tcW w:w="1908" w:type="dxa"/>
            <w:shd w:val="clear" w:color="auto" w:fill="auto"/>
            <w:vAlign w:val="center"/>
          </w:tcPr>
          <w:p w14:paraId="169D4B0F">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33.25%</w:t>
            </w:r>
          </w:p>
        </w:tc>
        <w:tc>
          <w:tcPr>
            <w:tcW w:w="1841" w:type="dxa"/>
            <w:shd w:val="clear" w:color="auto" w:fill="auto"/>
            <w:vAlign w:val="center"/>
          </w:tcPr>
          <w:p w14:paraId="7BA64B78">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18.87%</w:t>
            </w:r>
          </w:p>
        </w:tc>
        <w:tc>
          <w:tcPr>
            <w:tcW w:w="2673" w:type="dxa"/>
            <w:shd w:val="clear" w:color="auto" w:fill="auto"/>
            <w:vAlign w:val="center"/>
          </w:tcPr>
          <w:p w14:paraId="1E32FFB2">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33.10%</w:t>
            </w:r>
          </w:p>
        </w:tc>
      </w:tr>
      <w:tr w14:paraId="0DED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trPr>
        <w:tc>
          <w:tcPr>
            <w:tcW w:w="1800" w:type="dxa"/>
            <w:shd w:val="clear" w:color="auto" w:fill="auto"/>
            <w:vAlign w:val="center"/>
          </w:tcPr>
          <w:p w14:paraId="2316D525">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本地就业率</w:t>
            </w:r>
          </w:p>
        </w:tc>
        <w:tc>
          <w:tcPr>
            <w:tcW w:w="1908" w:type="dxa"/>
            <w:shd w:val="clear" w:color="auto" w:fill="auto"/>
            <w:vAlign w:val="center"/>
          </w:tcPr>
          <w:p w14:paraId="7E2482CD">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w:t>
            </w:r>
          </w:p>
        </w:tc>
        <w:tc>
          <w:tcPr>
            <w:tcW w:w="1841" w:type="dxa"/>
            <w:shd w:val="clear" w:color="auto" w:fill="auto"/>
            <w:vAlign w:val="center"/>
          </w:tcPr>
          <w:p w14:paraId="3A0F8972">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w:t>
            </w:r>
          </w:p>
        </w:tc>
        <w:tc>
          <w:tcPr>
            <w:tcW w:w="2673" w:type="dxa"/>
            <w:shd w:val="clear" w:color="auto" w:fill="auto"/>
            <w:vAlign w:val="center"/>
          </w:tcPr>
          <w:p w14:paraId="6B0E1A2B">
            <w:pPr>
              <w:keepNext w:val="0"/>
              <w:keepLines w:val="0"/>
              <w:pageBreakBefore w:val="0"/>
              <w:widowControl/>
              <w:suppressLineNumbers w:val="0"/>
              <w:kinsoku/>
              <w:wordWrap/>
              <w:overflowPunct/>
              <w:topLinePunct w:val="0"/>
              <w:autoSpaceDE/>
              <w:autoSpaceDN/>
              <w:bidi w:val="0"/>
              <w:adjustRightInd/>
              <w:snapToGrid/>
              <w:spacing w:line="600" w:lineRule="exact"/>
              <w:jc w:val="righ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2.80%</w:t>
            </w:r>
          </w:p>
        </w:tc>
      </w:tr>
    </w:tbl>
    <w:p w14:paraId="2D10DB50">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9145FE6">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70836F3C">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DEDA509">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431F4DE0">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58C4F5DF">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086D632B">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50F674BB">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7DA5A131">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540CCBC7">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附表2 核心岗位—任务清单—课程/实训室—考核产出—证书对接</w:t>
      </w:r>
    </w:p>
    <w:tbl>
      <w:tblPr>
        <w:tblStyle w:val="4"/>
        <w:tblW w:w="8297"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20"/>
        <w:gridCol w:w="1020"/>
        <w:gridCol w:w="1838"/>
        <w:gridCol w:w="2394"/>
        <w:gridCol w:w="2025"/>
      </w:tblGrid>
      <w:tr w14:paraId="2808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0" w:hRule="atLeast"/>
        </w:trPr>
        <w:tc>
          <w:tcPr>
            <w:tcW w:w="1020" w:type="dxa"/>
            <w:shd w:val="clear" w:color="auto" w:fill="auto"/>
            <w:vAlign w:val="center"/>
          </w:tcPr>
          <w:p w14:paraId="60B702D8">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核心岗位</w:t>
            </w:r>
          </w:p>
        </w:tc>
        <w:tc>
          <w:tcPr>
            <w:tcW w:w="1020" w:type="dxa"/>
            <w:shd w:val="clear" w:color="auto" w:fill="auto"/>
            <w:vAlign w:val="center"/>
          </w:tcPr>
          <w:p w14:paraId="574DAB17">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任务清单化（可操作）</w:t>
            </w:r>
          </w:p>
        </w:tc>
        <w:tc>
          <w:tcPr>
            <w:tcW w:w="1838" w:type="dxa"/>
            <w:shd w:val="clear" w:color="auto" w:fill="auto"/>
            <w:vAlign w:val="center"/>
          </w:tcPr>
          <w:p w14:paraId="125709A8">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对应课程/实训室（支撑）</w:t>
            </w:r>
          </w:p>
        </w:tc>
        <w:tc>
          <w:tcPr>
            <w:tcW w:w="2394" w:type="dxa"/>
            <w:shd w:val="clear" w:color="auto" w:fill="auto"/>
            <w:vAlign w:val="center"/>
          </w:tcPr>
          <w:p w14:paraId="53E80512">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典型实训项目/考核产出（可存档）</w:t>
            </w:r>
          </w:p>
        </w:tc>
        <w:tc>
          <w:tcPr>
            <w:tcW w:w="2025" w:type="dxa"/>
            <w:shd w:val="clear" w:color="auto" w:fill="auto"/>
            <w:vAlign w:val="center"/>
          </w:tcPr>
          <w:p w14:paraId="514093BB">
            <w:pPr>
              <w:keepNext w:val="0"/>
              <w:keepLines w:val="0"/>
              <w:pageBreakBefore w:val="0"/>
              <w:widowControl/>
              <w:suppressLineNumbers w:val="0"/>
              <w:kinsoku/>
              <w:wordWrap/>
              <w:overflowPunct/>
              <w:topLinePunct w:val="0"/>
              <w:autoSpaceDE/>
              <w:autoSpaceDN/>
              <w:bidi w:val="0"/>
              <w:adjustRightInd/>
              <w:snapToGrid/>
              <w:spacing w:line="600" w:lineRule="exact"/>
              <w:jc w:val="center"/>
              <w:textAlignment w:val="center"/>
              <w:rPr>
                <w:rFonts w:hint="eastAsia" w:ascii="方正仿宋_GBK" w:hAnsi="方正仿宋_GBK" w:eastAsia="方正仿宋_GBK" w:cs="方正仿宋_GBK"/>
                <w:b/>
                <w:bCs/>
                <w:i w:val="0"/>
                <w:iCs w:val="0"/>
                <w:color w:val="000000"/>
                <w:sz w:val="32"/>
                <w:szCs w:val="32"/>
                <w:u w:val="none"/>
              </w:rPr>
            </w:pPr>
            <w:r>
              <w:rPr>
                <w:rFonts w:hint="eastAsia" w:ascii="方正仿宋_GBK" w:hAnsi="方正仿宋_GBK" w:eastAsia="方正仿宋_GBK" w:cs="方正仿宋_GBK"/>
                <w:b/>
                <w:bCs/>
                <w:i w:val="0"/>
                <w:iCs w:val="0"/>
                <w:color w:val="000000"/>
                <w:kern w:val="0"/>
                <w:sz w:val="32"/>
                <w:szCs w:val="32"/>
                <w:u w:val="none"/>
                <w:lang w:val="en-US" w:eastAsia="zh-CN" w:bidi="ar"/>
              </w:rPr>
              <w:t>证书对接</w:t>
            </w:r>
          </w:p>
        </w:tc>
      </w:tr>
      <w:tr w14:paraId="7A03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trPr>
        <w:tc>
          <w:tcPr>
            <w:tcW w:w="1020" w:type="dxa"/>
            <w:shd w:val="clear" w:color="auto" w:fill="auto"/>
            <w:vAlign w:val="center"/>
          </w:tcPr>
          <w:p w14:paraId="69DB81B3">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w:t>
            </w:r>
          </w:p>
        </w:tc>
        <w:tc>
          <w:tcPr>
            <w:tcW w:w="1020" w:type="dxa"/>
            <w:shd w:val="clear" w:color="auto" w:fill="auto"/>
            <w:vAlign w:val="center"/>
          </w:tcPr>
          <w:p w14:paraId="4E717F76">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一日生活组织（晨接/进餐/午睡/离园/交接）</w:t>
            </w:r>
          </w:p>
        </w:tc>
        <w:tc>
          <w:tcPr>
            <w:tcW w:w="1838" w:type="dxa"/>
            <w:shd w:val="clear" w:color="auto" w:fill="auto"/>
            <w:vAlign w:val="center"/>
          </w:tcPr>
          <w:p w14:paraId="07D12F94">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班级管理、卫生与保健 / 幼儿园模拟、智慧实训</w:t>
            </w:r>
          </w:p>
        </w:tc>
        <w:tc>
          <w:tcPr>
            <w:tcW w:w="2394" w:type="dxa"/>
            <w:shd w:val="clear" w:color="auto" w:fill="auto"/>
            <w:vAlign w:val="center"/>
          </w:tcPr>
          <w:p w14:paraId="3914408E">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《一日流程图》+《午睡巡视记录》+情境演练视频</w:t>
            </w:r>
          </w:p>
        </w:tc>
        <w:tc>
          <w:tcPr>
            <w:tcW w:w="2025" w:type="dxa"/>
            <w:shd w:val="clear" w:color="auto" w:fill="auto"/>
            <w:vAlign w:val="center"/>
          </w:tcPr>
          <w:p w14:paraId="3C5DEBBE">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幼儿园教师资格证</w:t>
            </w:r>
          </w:p>
        </w:tc>
      </w:tr>
      <w:tr w14:paraId="3E61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20" w:hRule="atLeast"/>
        </w:trPr>
        <w:tc>
          <w:tcPr>
            <w:tcW w:w="1020" w:type="dxa"/>
            <w:shd w:val="clear" w:color="auto" w:fill="auto"/>
            <w:vAlign w:val="center"/>
          </w:tcPr>
          <w:p w14:paraId="3A49BAE5">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w:t>
            </w:r>
          </w:p>
        </w:tc>
        <w:tc>
          <w:tcPr>
            <w:tcW w:w="1020" w:type="dxa"/>
            <w:shd w:val="clear" w:color="auto" w:fill="auto"/>
            <w:vAlign w:val="center"/>
          </w:tcPr>
          <w:p w14:paraId="3ED56380">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活动设计与实施（目标—过程—评价—反思）</w:t>
            </w:r>
          </w:p>
        </w:tc>
        <w:tc>
          <w:tcPr>
            <w:tcW w:w="1838" w:type="dxa"/>
            <w:shd w:val="clear" w:color="auto" w:fill="auto"/>
            <w:vAlign w:val="center"/>
          </w:tcPr>
          <w:p w14:paraId="1B9B5654">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活动设计与实施、课程概论 / 微格、幼儿园模拟</w:t>
            </w:r>
          </w:p>
        </w:tc>
        <w:tc>
          <w:tcPr>
            <w:tcW w:w="2394" w:type="dxa"/>
            <w:shd w:val="clear" w:color="auto" w:fill="auto"/>
            <w:vAlign w:val="center"/>
          </w:tcPr>
          <w:p w14:paraId="28BA83A3">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《活动设计方案》+微格试讲视频+反思报告</w:t>
            </w:r>
          </w:p>
        </w:tc>
        <w:tc>
          <w:tcPr>
            <w:tcW w:w="2025" w:type="dxa"/>
            <w:shd w:val="clear" w:color="auto" w:fill="auto"/>
            <w:vAlign w:val="center"/>
          </w:tcPr>
          <w:p w14:paraId="2348EDE5">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幼儿园教师资格证</w:t>
            </w:r>
          </w:p>
        </w:tc>
      </w:tr>
      <w:tr w14:paraId="20DF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0" w:hRule="atLeast"/>
        </w:trPr>
        <w:tc>
          <w:tcPr>
            <w:tcW w:w="1020" w:type="dxa"/>
            <w:shd w:val="clear" w:color="auto" w:fill="auto"/>
            <w:vAlign w:val="center"/>
          </w:tcPr>
          <w:p w14:paraId="36D19503">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w:t>
            </w:r>
          </w:p>
        </w:tc>
        <w:tc>
          <w:tcPr>
            <w:tcW w:w="1020" w:type="dxa"/>
            <w:shd w:val="clear" w:color="auto" w:fill="auto"/>
            <w:vAlign w:val="center"/>
          </w:tcPr>
          <w:p w14:paraId="06431E1F">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游戏支持（观察—介入—扩展）</w:t>
            </w:r>
          </w:p>
        </w:tc>
        <w:tc>
          <w:tcPr>
            <w:tcW w:w="1838" w:type="dxa"/>
            <w:shd w:val="clear" w:color="auto" w:fill="auto"/>
            <w:vAlign w:val="center"/>
          </w:tcPr>
          <w:p w14:paraId="4DF1E82F">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游戏与指导 / 幼儿园模拟、智慧实训</w:t>
            </w:r>
          </w:p>
        </w:tc>
        <w:tc>
          <w:tcPr>
            <w:tcW w:w="2394" w:type="dxa"/>
            <w:shd w:val="clear" w:color="auto" w:fill="auto"/>
            <w:vAlign w:val="center"/>
          </w:tcPr>
          <w:p w14:paraId="1B764CFE">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《游戏观察记录包》+介入策略单+案例复盘</w:t>
            </w:r>
          </w:p>
        </w:tc>
        <w:tc>
          <w:tcPr>
            <w:tcW w:w="2025" w:type="dxa"/>
            <w:shd w:val="clear" w:color="auto" w:fill="auto"/>
            <w:vAlign w:val="center"/>
          </w:tcPr>
          <w:p w14:paraId="713D8002">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幼儿园教师资格证</w:t>
            </w:r>
          </w:p>
        </w:tc>
      </w:tr>
      <w:tr w14:paraId="1235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trPr>
        <w:tc>
          <w:tcPr>
            <w:tcW w:w="1020" w:type="dxa"/>
            <w:shd w:val="clear" w:color="auto" w:fill="auto"/>
            <w:vAlign w:val="center"/>
          </w:tcPr>
          <w:p w14:paraId="165B02AF">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w:t>
            </w:r>
          </w:p>
        </w:tc>
        <w:tc>
          <w:tcPr>
            <w:tcW w:w="1020" w:type="dxa"/>
            <w:shd w:val="clear" w:color="auto" w:fill="auto"/>
            <w:vAlign w:val="center"/>
          </w:tcPr>
          <w:p w14:paraId="0E1861D4">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家园沟通（正向反馈/磕碰解释/冲突应对）</w:t>
            </w:r>
          </w:p>
        </w:tc>
        <w:tc>
          <w:tcPr>
            <w:tcW w:w="1838" w:type="dxa"/>
            <w:shd w:val="clear" w:color="auto" w:fill="auto"/>
            <w:vAlign w:val="center"/>
          </w:tcPr>
          <w:p w14:paraId="3B46EBFC">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班级管理、教师口语 / 微格</w:t>
            </w:r>
          </w:p>
        </w:tc>
        <w:tc>
          <w:tcPr>
            <w:tcW w:w="2394" w:type="dxa"/>
            <w:shd w:val="clear" w:color="auto" w:fill="auto"/>
            <w:vAlign w:val="center"/>
          </w:tcPr>
          <w:p w14:paraId="156EFCF2">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情境脚本+角色扮演录像+评分量表</w:t>
            </w:r>
          </w:p>
        </w:tc>
        <w:tc>
          <w:tcPr>
            <w:tcW w:w="2025" w:type="dxa"/>
            <w:shd w:val="clear" w:color="auto" w:fill="auto"/>
            <w:vAlign w:val="center"/>
          </w:tcPr>
          <w:p w14:paraId="7A20BDCF">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幼儿园教师资格证</w:t>
            </w:r>
          </w:p>
        </w:tc>
      </w:tr>
      <w:tr w14:paraId="5C0D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20" w:hRule="atLeast"/>
        </w:trPr>
        <w:tc>
          <w:tcPr>
            <w:tcW w:w="1020" w:type="dxa"/>
            <w:shd w:val="clear" w:color="auto" w:fill="auto"/>
            <w:vAlign w:val="center"/>
          </w:tcPr>
          <w:p w14:paraId="187EF309">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保育员/生活老师</w:t>
            </w:r>
          </w:p>
        </w:tc>
        <w:tc>
          <w:tcPr>
            <w:tcW w:w="1020" w:type="dxa"/>
            <w:shd w:val="clear" w:color="auto" w:fill="auto"/>
            <w:vAlign w:val="center"/>
          </w:tcPr>
          <w:p w14:paraId="27B972B1">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消毒配比、晨午检、午睡巡视、突发处置协同</w:t>
            </w:r>
          </w:p>
        </w:tc>
        <w:tc>
          <w:tcPr>
            <w:tcW w:w="1838" w:type="dxa"/>
            <w:shd w:val="clear" w:color="auto" w:fill="auto"/>
            <w:vAlign w:val="center"/>
          </w:tcPr>
          <w:p w14:paraId="76AC18AE">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卫生与保健/保育员实训、卫生保健实训</w:t>
            </w:r>
          </w:p>
        </w:tc>
        <w:tc>
          <w:tcPr>
            <w:tcW w:w="2394" w:type="dxa"/>
            <w:shd w:val="clear" w:color="auto" w:fill="auto"/>
            <w:vAlign w:val="center"/>
          </w:tcPr>
          <w:p w14:paraId="127D65BF">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《保育流程操作考核表》+现场操作视频+检查清单</w:t>
            </w:r>
          </w:p>
        </w:tc>
        <w:tc>
          <w:tcPr>
            <w:tcW w:w="2025" w:type="dxa"/>
            <w:shd w:val="clear" w:color="auto" w:fill="auto"/>
            <w:vAlign w:val="center"/>
          </w:tcPr>
          <w:p w14:paraId="668844D2">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保育师；1+X幼儿照护</w:t>
            </w:r>
          </w:p>
        </w:tc>
      </w:tr>
      <w:tr w14:paraId="6BEB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20" w:hRule="atLeast"/>
        </w:trPr>
        <w:tc>
          <w:tcPr>
            <w:tcW w:w="1020" w:type="dxa"/>
            <w:shd w:val="clear" w:color="auto" w:fill="auto"/>
            <w:vAlign w:val="center"/>
          </w:tcPr>
          <w:p w14:paraId="75C92035">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早教/婴幼儿发展引导</w:t>
            </w:r>
          </w:p>
        </w:tc>
        <w:tc>
          <w:tcPr>
            <w:tcW w:w="1020" w:type="dxa"/>
            <w:shd w:val="clear" w:color="auto" w:fill="auto"/>
            <w:vAlign w:val="center"/>
          </w:tcPr>
          <w:p w14:paraId="0AA36A11">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月龄活动设计、发展观察记录、家长指导</w:t>
            </w:r>
          </w:p>
        </w:tc>
        <w:tc>
          <w:tcPr>
            <w:tcW w:w="1838" w:type="dxa"/>
            <w:shd w:val="clear" w:color="auto" w:fill="auto"/>
            <w:vAlign w:val="center"/>
          </w:tcPr>
          <w:p w14:paraId="627CABD7">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心理发展、游戏与指导/早期综合、微格</w:t>
            </w:r>
          </w:p>
        </w:tc>
        <w:tc>
          <w:tcPr>
            <w:tcW w:w="2394" w:type="dxa"/>
            <w:shd w:val="clear" w:color="auto" w:fill="auto"/>
            <w:vAlign w:val="center"/>
          </w:tcPr>
          <w:p w14:paraId="20DEAD26">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《0–3亲子活动方案》+试教视频+观察记录包</w:t>
            </w:r>
          </w:p>
        </w:tc>
        <w:tc>
          <w:tcPr>
            <w:tcW w:w="2025" w:type="dxa"/>
            <w:shd w:val="clear" w:color="auto" w:fill="auto"/>
            <w:vAlign w:val="center"/>
          </w:tcPr>
          <w:p w14:paraId="79952267">
            <w:pPr>
              <w:keepNext w:val="0"/>
              <w:keepLines w:val="0"/>
              <w:pageBreakBefore w:val="0"/>
              <w:widowControl/>
              <w:suppressLineNumbers w:val="0"/>
              <w:kinsoku/>
              <w:wordWrap/>
              <w:overflowPunct/>
              <w:topLinePunct w:val="0"/>
              <w:autoSpaceDE/>
              <w:autoSpaceDN/>
              <w:bidi w:val="0"/>
              <w:adjustRightInd/>
              <w:snapToGrid/>
              <w:spacing w:line="600" w:lineRule="exact"/>
              <w:jc w:val="left"/>
              <w:textAlignment w:val="center"/>
              <w:rPr>
                <w:rFonts w:hint="eastAsia" w:ascii="方正仿宋_GBK" w:hAnsi="方正仿宋_GBK" w:eastAsia="方正仿宋_GBK" w:cs="方正仿宋_GBK"/>
                <w:i w:val="0"/>
                <w:iCs w:val="0"/>
                <w:color w:val="000000"/>
                <w:sz w:val="32"/>
                <w:szCs w:val="32"/>
                <w:u w:val="none"/>
              </w:rPr>
            </w:pPr>
            <w:r>
              <w:rPr>
                <w:rFonts w:hint="eastAsia" w:ascii="方正仿宋_GBK" w:hAnsi="方正仿宋_GBK" w:eastAsia="方正仿宋_GBK" w:cs="方正仿宋_GBK"/>
                <w:i w:val="0"/>
                <w:iCs w:val="0"/>
                <w:color w:val="000000"/>
                <w:kern w:val="0"/>
                <w:sz w:val="32"/>
                <w:szCs w:val="32"/>
                <w:u w:val="none"/>
                <w:lang w:val="en-US" w:eastAsia="zh-CN" w:bidi="ar"/>
              </w:rPr>
              <w:t>婴幼儿发展引导员；1+X幼儿照护</w:t>
            </w:r>
          </w:p>
        </w:tc>
      </w:tr>
    </w:tbl>
    <w:p w14:paraId="0B8320DE">
      <w:pPr>
        <w:keepNext w:val="0"/>
        <w:keepLines w:val="0"/>
        <w:pageBreakBefore w:val="0"/>
        <w:kinsoku/>
        <w:wordWrap/>
        <w:overflowPunct/>
        <w:topLinePunct w:val="0"/>
        <w:autoSpaceDE/>
        <w:autoSpaceDN/>
        <w:bidi w:val="0"/>
        <w:adjustRightInd/>
        <w:snapToGrid/>
        <w:spacing w:line="600" w:lineRule="exact"/>
        <w:rPr>
          <w:rFonts w:hint="eastAsia" w:ascii="方正仿宋_GBK" w:hAnsi="方正仿宋_GBK" w:eastAsia="方正仿宋_GBK" w:cs="方正仿宋_GBK"/>
          <w:sz w:val="32"/>
          <w:szCs w:val="32"/>
          <w:lang w:val="en-US" w:eastAsia="zh-CN"/>
        </w:rPr>
      </w:pPr>
    </w:p>
    <w:p w14:paraId="4F357934">
      <w:pPr>
        <w:keepNext w:val="0"/>
        <w:keepLines w:val="0"/>
        <w:pageBreakBefore w:val="0"/>
        <w:kinsoku/>
        <w:wordWrap/>
        <w:overflowPunct/>
        <w:topLinePunct w:val="0"/>
        <w:autoSpaceDE w:val="0"/>
        <w:autoSpaceDN w:val="0"/>
        <w:bidi w:val="0"/>
        <w:adjustRightInd/>
        <w:snapToGrid/>
        <w:spacing w:line="600" w:lineRule="exact"/>
        <w:jc w:val="left"/>
        <w:rPr>
          <w:rFonts w:hint="eastAsia" w:ascii="等线" w:hAnsi="等线" w:eastAsia="等线" w:cs="Times New Roman"/>
          <w:szCs w:val="22"/>
        </w:rPr>
      </w:pPr>
    </w:p>
    <w:p w14:paraId="391F39BF"/>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827FABA-FBC0-43F6-AB58-7ADBC7BF866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12FEC557-A2B6-449D-9D83-E4A0325B4F1C}"/>
  </w:font>
  <w:font w:name="方正小标宋_GBK">
    <w:panose1 w:val="02000000000000000000"/>
    <w:charset w:val="86"/>
    <w:family w:val="auto"/>
    <w:pitch w:val="default"/>
    <w:sig w:usb0="A00002BF" w:usb1="38CF7CFA" w:usb2="00082016" w:usb3="00000000" w:csb0="00040001" w:csb1="00000000"/>
    <w:embedRegular r:id="rId3" w:fontKey="{907A02AF-E74D-4F85-BFA6-EF4CFC2C2E02}"/>
  </w:font>
  <w:font w:name="方正仿宋_GBK">
    <w:panose1 w:val="02000000000000000000"/>
    <w:charset w:val="86"/>
    <w:family w:val="auto"/>
    <w:pitch w:val="default"/>
    <w:sig w:usb0="A00002BF" w:usb1="38CF7CFA" w:usb2="00082016" w:usb3="00000000" w:csb0="00040001" w:csb1="00000000"/>
    <w:embedRegular r:id="rId4" w:fontKey="{5E116941-8EEB-46A1-BB3E-CCEE434F1EC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A496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F6A5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DCF6A5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2EA11"/>
    <w:multiLevelType w:val="singleLevel"/>
    <w:tmpl w:val="87F2EA11"/>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4B50C9"/>
    <w:rsid w:val="040331EB"/>
    <w:rsid w:val="08993B8E"/>
    <w:rsid w:val="724B5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6084</Words>
  <Characters>6352</Characters>
  <Lines>0</Lines>
  <Paragraphs>0</Paragraphs>
  <TotalTime>5</TotalTime>
  <ScaleCrop>false</ScaleCrop>
  <LinksUpToDate>false</LinksUpToDate>
  <CharactersWithSpaces>6371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2026-03-01T04:07:00Z</dcterms:created>
  <dc:creator>段雯舒</dc:creator>
  <cp:lastModifiedBy>段雯舒</cp:lastModifiedBy>
  <dcterms:modified xsi:type="dcterms:W3CDTF">2026-03-10T03:57:06Z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608293E69C95465DA34301BB03AA299E_11</vt:lpwstr>
  </property>
  <property fmtid="{D5CDD505-2E9C-101B-9397-08002B2CF9AE}" pid="4" name="KSOTemplateDocerSaveRecord">
    <vt:lpwstr>eyJoZGlkIjoiNmUxYTYyN2Q2OGNlODIwZmVhNTE1OTNmMmJhYTRjMjkiLCJ1c2VySWQiOiIxNjU4OTI3MzkxIn0=</vt:lpwstr>
  </property>
</Properties>
</file>