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14" w:lineRule="exact"/>
        <w:jc w:val="center"/>
        <w:rPr>
          <w:rFonts w:hint="eastAsia"/>
        </w:rPr>
        <w:sectPr>
          <w:headerReference r:id="rId4" w:type="first"/>
          <w:footerReference r:id="rId6" w:type="first"/>
          <w:headerReference r:id="rId3" w:type="even"/>
          <w:footerReference r:id="rId5" w:type="even"/>
          <w:pgSz w:w="11900" w:h="16840"/>
          <w:pgMar w:top="1426" w:right="1701" w:bottom="992" w:left="1600" w:header="851" w:footer="992" w:gutter="0"/>
          <w:cols w:space="720" w:num="1"/>
        </w:sectPr>
      </w:pPr>
      <w:bookmarkStart w:id="0" w:name="_bookmark0"/>
      <w:bookmarkEnd w:id="0"/>
    </w:p>
    <w:p>
      <w:pPr>
        <w:autoSpaceDE w:val="0"/>
        <w:autoSpaceDN w:val="0"/>
        <w:spacing w:line="360" w:lineRule="auto"/>
        <w:jc w:val="center"/>
        <w:rPr>
          <w:rFonts w:hint="eastAsia"/>
        </w:rPr>
      </w:pPr>
    </w:p>
    <w:p>
      <w:pPr>
        <w:autoSpaceDE w:val="0"/>
        <w:autoSpaceDN w:val="0"/>
        <w:spacing w:line="360" w:lineRule="auto"/>
        <w:jc w:val="center"/>
        <w:rPr>
          <w:rFonts w:hint="eastAsia"/>
        </w:rPr>
      </w:pPr>
    </w:p>
    <w:p>
      <w:pPr>
        <w:autoSpaceDE w:val="0"/>
        <w:autoSpaceDN w:val="0"/>
        <w:spacing w:line="360" w:lineRule="auto"/>
        <w:jc w:val="center"/>
        <w:rPr>
          <w:rFonts w:hint="eastAsia"/>
        </w:rPr>
      </w:pPr>
    </w:p>
    <w:p>
      <w:pPr>
        <w:autoSpaceDE w:val="0"/>
        <w:autoSpaceDN w:val="0"/>
        <w:spacing w:line="360" w:lineRule="auto"/>
        <w:jc w:val="center"/>
        <w:rPr>
          <w:rFonts w:hint="eastAsia"/>
        </w:rPr>
      </w:pPr>
    </w:p>
    <w:p>
      <w:pPr>
        <w:autoSpaceDE w:val="0"/>
        <w:autoSpaceDN w:val="0"/>
        <w:spacing w:line="360" w:lineRule="auto"/>
        <w:jc w:val="center"/>
        <w:rPr>
          <w:rFonts w:hint="eastAsia" w:ascii="黑体" w:hAnsi="黑体" w:eastAsia="黑体" w:cs="黑体"/>
          <w:b/>
          <w:bCs/>
          <w:color w:val="000000"/>
          <w:kern w:val="0"/>
          <w:sz w:val="52"/>
        </w:rPr>
      </w:pPr>
      <w:r>
        <w:rPr>
          <w:rFonts w:ascii="黑体" w:hAnsi="黑体" w:eastAsia="黑体" w:cs="黑体"/>
          <w:b/>
          <w:bCs/>
          <w:color w:val="000000"/>
          <w:kern w:val="0"/>
          <w:sz w:val="52"/>
        </w:rPr>
        <w:t>德宏职业学院</w:t>
      </w:r>
      <w:r>
        <w:rPr>
          <w:rFonts w:hint="eastAsia" w:ascii="黑体" w:hAnsi="黑体" w:eastAsia="黑体" w:cs="黑体"/>
          <w:b/>
          <w:bCs/>
          <w:color w:val="000000"/>
          <w:kern w:val="0"/>
          <w:sz w:val="52"/>
        </w:rPr>
        <w:t>专业设置</w:t>
      </w:r>
    </w:p>
    <w:p>
      <w:pPr>
        <w:autoSpaceDE w:val="0"/>
        <w:autoSpaceDN w:val="0"/>
        <w:spacing w:line="360" w:lineRule="auto"/>
        <w:jc w:val="center"/>
        <w:rPr>
          <w:rFonts w:hint="eastAsia" w:ascii="黑体" w:hAnsi="黑体" w:eastAsia="黑体" w:cs="黑体"/>
          <w:b/>
          <w:bCs/>
          <w:color w:val="000000"/>
          <w:kern w:val="0"/>
          <w:sz w:val="52"/>
        </w:rPr>
      </w:pPr>
      <w:r>
        <w:rPr>
          <w:rFonts w:hint="eastAsia" w:ascii="黑体" w:hAnsi="黑体" w:eastAsia="黑体" w:cs="黑体"/>
          <w:b/>
          <w:bCs/>
          <w:color w:val="000000"/>
          <w:kern w:val="0"/>
          <w:sz w:val="52"/>
        </w:rPr>
        <w:t>人才需求调研、</w:t>
      </w:r>
      <w:r>
        <w:rPr>
          <w:rFonts w:ascii="黑体" w:hAnsi="黑体" w:eastAsia="黑体" w:cs="黑体"/>
          <w:b/>
          <w:bCs/>
          <w:color w:val="000000"/>
          <w:kern w:val="0"/>
          <w:sz w:val="52"/>
        </w:rPr>
        <w:t>开</w:t>
      </w:r>
      <w:r>
        <w:rPr>
          <w:rFonts w:ascii="黑体" w:hAnsi="黑体" w:eastAsia="黑体" w:cs="黑体"/>
          <w:b/>
          <w:bCs/>
          <w:color w:val="000000"/>
          <w:spacing w:val="-7"/>
          <w:w w:val="102"/>
          <w:kern w:val="0"/>
          <w:sz w:val="52"/>
        </w:rPr>
        <w:t>设</w:t>
      </w:r>
      <w:r>
        <w:rPr>
          <w:rFonts w:ascii="黑体" w:hAnsi="黑体" w:eastAsia="黑体" w:cs="黑体"/>
          <w:b/>
          <w:bCs/>
          <w:color w:val="000000"/>
          <w:kern w:val="0"/>
          <w:sz w:val="52"/>
        </w:rPr>
        <w:t>专</w:t>
      </w:r>
      <w:r>
        <w:rPr>
          <w:rFonts w:ascii="黑体" w:hAnsi="黑体" w:eastAsia="黑体" w:cs="黑体"/>
          <w:b/>
          <w:bCs/>
          <w:color w:val="000000"/>
          <w:spacing w:val="-12"/>
          <w:w w:val="103"/>
          <w:kern w:val="0"/>
          <w:sz w:val="52"/>
        </w:rPr>
        <w:t>业</w:t>
      </w:r>
      <w:r>
        <w:rPr>
          <w:rFonts w:ascii="黑体" w:hAnsi="黑体" w:eastAsia="黑体" w:cs="黑体"/>
          <w:b/>
          <w:bCs/>
          <w:color w:val="000000"/>
          <w:kern w:val="0"/>
          <w:sz w:val="52"/>
        </w:rPr>
        <w:t>的</w:t>
      </w:r>
      <w:r>
        <w:rPr>
          <w:rFonts w:ascii="黑体" w:hAnsi="黑体" w:eastAsia="黑体" w:cs="黑体"/>
          <w:b/>
          <w:bCs/>
          <w:color w:val="000000"/>
          <w:spacing w:val="-7"/>
          <w:w w:val="102"/>
          <w:kern w:val="0"/>
          <w:sz w:val="52"/>
        </w:rPr>
        <w:t>必</w:t>
      </w:r>
      <w:r>
        <w:rPr>
          <w:rFonts w:ascii="黑体" w:hAnsi="黑体" w:eastAsia="黑体" w:cs="黑体"/>
          <w:b/>
          <w:bCs/>
          <w:color w:val="000000"/>
          <w:kern w:val="0"/>
          <w:sz w:val="52"/>
        </w:rPr>
        <w:t>要</w:t>
      </w:r>
      <w:r>
        <w:rPr>
          <w:rFonts w:ascii="黑体" w:hAnsi="黑体" w:eastAsia="黑体" w:cs="黑体"/>
          <w:b/>
          <w:bCs/>
          <w:color w:val="000000"/>
          <w:spacing w:val="-7"/>
          <w:w w:val="102"/>
          <w:kern w:val="0"/>
          <w:sz w:val="52"/>
        </w:rPr>
        <w:t>性</w:t>
      </w:r>
      <w:r>
        <w:rPr>
          <w:rFonts w:hint="eastAsia" w:ascii="黑体" w:hAnsi="黑体" w:eastAsia="黑体" w:cs="黑体"/>
          <w:b/>
          <w:bCs/>
          <w:color w:val="000000"/>
          <w:spacing w:val="-7"/>
          <w:w w:val="102"/>
          <w:kern w:val="0"/>
          <w:sz w:val="52"/>
        </w:rPr>
        <w:t>、</w:t>
      </w:r>
      <w:r>
        <w:rPr>
          <w:rFonts w:ascii="黑体" w:hAnsi="黑体" w:eastAsia="黑体" w:cs="黑体"/>
          <w:b/>
          <w:bCs/>
          <w:color w:val="000000"/>
          <w:spacing w:val="-7"/>
          <w:w w:val="102"/>
          <w:kern w:val="0"/>
          <w:sz w:val="52"/>
        </w:rPr>
        <w:t>可</w:t>
      </w:r>
      <w:r>
        <w:rPr>
          <w:rFonts w:ascii="黑体" w:hAnsi="黑体" w:eastAsia="黑体" w:cs="黑体"/>
          <w:b/>
          <w:bCs/>
          <w:color w:val="000000"/>
          <w:kern w:val="0"/>
          <w:sz w:val="52"/>
        </w:rPr>
        <w:t>行</w:t>
      </w:r>
      <w:r>
        <w:rPr>
          <w:rFonts w:ascii="黑体" w:hAnsi="黑体" w:eastAsia="黑体" w:cs="黑体"/>
          <w:b/>
          <w:bCs/>
          <w:color w:val="000000"/>
          <w:spacing w:val="-17"/>
          <w:w w:val="104"/>
          <w:kern w:val="0"/>
          <w:sz w:val="52"/>
        </w:rPr>
        <w:t>性</w:t>
      </w:r>
      <w:r>
        <w:rPr>
          <w:rFonts w:ascii="黑体" w:hAnsi="黑体" w:eastAsia="黑体" w:cs="黑体"/>
          <w:b/>
          <w:bCs/>
          <w:color w:val="000000"/>
          <w:kern w:val="0"/>
          <w:sz w:val="52"/>
        </w:rPr>
        <w:t>论</w:t>
      </w:r>
      <w:r>
        <w:rPr>
          <w:rFonts w:ascii="黑体" w:hAnsi="黑体" w:eastAsia="黑体" w:cs="黑体"/>
          <w:b/>
          <w:bCs/>
          <w:color w:val="000000"/>
          <w:spacing w:val="-7"/>
          <w:w w:val="102"/>
          <w:kern w:val="0"/>
          <w:sz w:val="52"/>
        </w:rPr>
        <w:t>证</w:t>
      </w:r>
      <w:r>
        <w:rPr>
          <w:rFonts w:ascii="黑体" w:hAnsi="黑体" w:eastAsia="黑体" w:cs="黑体"/>
          <w:b/>
          <w:bCs/>
          <w:color w:val="000000"/>
          <w:kern w:val="0"/>
          <w:sz w:val="52"/>
        </w:rPr>
        <w:t>报</w:t>
      </w:r>
      <w:r>
        <w:rPr>
          <w:rFonts w:ascii="黑体" w:hAnsi="黑体" w:eastAsia="黑体" w:cs="黑体"/>
          <w:b/>
          <w:bCs/>
          <w:color w:val="000000"/>
          <w:spacing w:val="-17"/>
          <w:w w:val="104"/>
          <w:kern w:val="0"/>
          <w:sz w:val="52"/>
        </w:rPr>
        <w:t>告</w:t>
      </w:r>
    </w:p>
    <w:p>
      <w:pPr>
        <w:spacing w:line="14" w:lineRule="exact"/>
        <w:jc w:val="center"/>
        <w:rPr>
          <w:rFonts w:hint="eastAsia"/>
        </w:rPr>
        <w:sectPr>
          <w:type w:val="continuous"/>
          <w:pgSz w:w="11900" w:h="16840"/>
          <w:pgMar w:top="1426" w:right="1701" w:bottom="992" w:left="1600" w:header="851" w:footer="992" w:gutter="0"/>
          <w:cols w:space="0" w:num="1"/>
        </w:sectPr>
      </w:pPr>
    </w:p>
    <w:p>
      <w:pPr>
        <w:autoSpaceDE w:val="0"/>
        <w:autoSpaceDN w:val="0"/>
        <w:spacing w:line="5972" w:lineRule="exact"/>
        <w:jc w:val="left"/>
        <w:rPr>
          <w:rFonts w:hint="eastAsia"/>
        </w:rPr>
      </w:pPr>
    </w:p>
    <w:p>
      <w:pPr>
        <w:autoSpaceDE w:val="0"/>
        <w:autoSpaceDN w:val="0"/>
        <w:spacing w:line="474" w:lineRule="exact"/>
        <w:ind w:left="3070" w:right="2332" w:hanging="479"/>
        <w:jc w:val="center"/>
        <w:rPr>
          <w:rFonts w:hint="eastAsia" w:ascii="黑体" w:hAnsi="黑体" w:eastAsia="黑体" w:cs="黑体"/>
          <w:bCs/>
          <w:color w:val="000000"/>
          <w:kern w:val="0"/>
          <w:sz w:val="32"/>
        </w:rPr>
      </w:pPr>
      <w:r>
        <w:rPr>
          <w:rFonts w:ascii="黑体" w:hAnsi="黑体" w:eastAsia="黑体" w:cs="黑体"/>
          <w:bCs/>
          <w:color w:val="000000"/>
          <w:spacing w:val="-1"/>
          <w:kern w:val="0"/>
          <w:sz w:val="32"/>
        </w:rPr>
        <w:t>德宏职业学院</w:t>
      </w:r>
    </w:p>
    <w:p>
      <w:pPr>
        <w:autoSpaceDE w:val="0"/>
        <w:autoSpaceDN w:val="0"/>
        <w:spacing w:line="474" w:lineRule="exact"/>
        <w:ind w:left="3070" w:right="2332" w:hanging="479"/>
        <w:jc w:val="center"/>
        <w:rPr>
          <w:rFonts w:hint="eastAsia"/>
        </w:rPr>
      </w:pPr>
      <w:r>
        <w:rPr>
          <w:rFonts w:ascii="黑体" w:hAnsi="黑体" w:eastAsia="黑体" w:cs="黑体"/>
          <w:bCs/>
          <w:color w:val="000000"/>
          <w:spacing w:val="-1"/>
          <w:kern w:val="0"/>
          <w:sz w:val="32"/>
        </w:rPr>
        <w:t>二〇</w:t>
      </w:r>
      <w:r>
        <w:rPr>
          <w:rFonts w:ascii="黑体" w:hAnsi="黑体" w:eastAsia="黑体" w:cs="黑体"/>
          <w:bCs/>
          <w:color w:val="000000"/>
          <w:spacing w:val="-5"/>
          <w:w w:val="102"/>
          <w:kern w:val="0"/>
          <w:sz w:val="32"/>
        </w:rPr>
        <w:t>二</w:t>
      </w:r>
      <w:r>
        <w:rPr>
          <w:rFonts w:hint="eastAsia" w:ascii="黑体" w:hAnsi="黑体" w:eastAsia="黑体" w:cs="黑体"/>
          <w:bCs/>
          <w:color w:val="000000"/>
          <w:spacing w:val="-1"/>
          <w:kern w:val="0"/>
          <w:sz w:val="32"/>
        </w:rPr>
        <w:t>四</w:t>
      </w:r>
      <w:r>
        <w:rPr>
          <w:rFonts w:ascii="黑体" w:hAnsi="黑体" w:eastAsia="黑体" w:cs="黑体"/>
          <w:bCs/>
          <w:color w:val="000000"/>
          <w:spacing w:val="-1"/>
          <w:kern w:val="0"/>
          <w:sz w:val="32"/>
        </w:rPr>
        <w:t>年</w:t>
      </w:r>
      <w:r>
        <w:rPr>
          <w:rFonts w:ascii="黑体" w:hAnsi="黑体" w:eastAsia="黑体" w:cs="黑体"/>
          <w:bCs/>
          <w:color w:val="000000"/>
          <w:spacing w:val="-5"/>
          <w:w w:val="102"/>
          <w:kern w:val="0"/>
          <w:sz w:val="32"/>
        </w:rPr>
        <w:t>十</w:t>
      </w:r>
      <w:r>
        <w:rPr>
          <w:rFonts w:hint="eastAsia" w:ascii="黑体" w:hAnsi="黑体" w:eastAsia="黑体" w:cs="黑体"/>
          <w:bCs/>
          <w:color w:val="000000"/>
          <w:kern w:val="0"/>
          <w:sz w:val="32"/>
        </w:rPr>
        <w:t>二</w:t>
      </w:r>
      <w:r>
        <w:rPr>
          <w:rFonts w:ascii="黑体" w:hAnsi="黑体" w:eastAsia="黑体" w:cs="黑体"/>
          <w:bCs/>
          <w:color w:val="000000"/>
          <w:spacing w:val="-2"/>
          <w:kern w:val="0"/>
          <w:sz w:val="32"/>
        </w:rPr>
        <w:t>月</w:t>
      </w:r>
    </w:p>
    <w:p>
      <w:pPr>
        <w:spacing w:line="14" w:lineRule="exact"/>
        <w:jc w:val="center"/>
        <w:rPr>
          <w:rFonts w:hint="eastAsia"/>
        </w:rPr>
        <w:sectPr>
          <w:type w:val="continuous"/>
          <w:pgSz w:w="11900" w:h="16840"/>
          <w:pgMar w:top="1426" w:right="1701" w:bottom="992" w:left="1600" w:header="851" w:footer="992" w:gutter="0"/>
          <w:cols w:space="0" w:num="1"/>
        </w:sectPr>
      </w:pPr>
    </w:p>
    <w:p>
      <w:pPr>
        <w:widowControl/>
        <w:jc w:val="center"/>
        <w:rPr>
          <w:rFonts w:hint="eastAsia" w:ascii="黑体" w:hAnsi="黑体" w:eastAsia="黑体"/>
          <w:sz w:val="44"/>
          <w:szCs w:val="44"/>
        </w:rPr>
      </w:pPr>
      <w:bookmarkStart w:id="1" w:name="_bookmark1"/>
      <w:bookmarkEnd w:id="1"/>
    </w:p>
    <w:p>
      <w:pPr>
        <w:widowControl/>
        <w:jc w:val="center"/>
        <w:rPr>
          <w:rFonts w:hint="eastAsia" w:ascii="黑体" w:hAnsi="黑体" w:eastAsia="黑体"/>
          <w:sz w:val="44"/>
          <w:szCs w:val="44"/>
        </w:rPr>
      </w:pPr>
    </w:p>
    <w:p>
      <w:pPr>
        <w:pageBreakBefore w:val="0"/>
        <w:widowControl/>
        <w:kinsoku/>
        <w:wordWrap/>
        <w:overflowPunct/>
        <w:topLinePunct w:val="0"/>
        <w:autoSpaceDE/>
        <w:autoSpaceDN/>
        <w:bidi w:val="0"/>
        <w:adjustRightInd/>
        <w:snapToGrid/>
        <w:spacing w:line="600" w:lineRule="exact"/>
        <w:ind w:firstLine="640" w:firstLineChars="200"/>
        <w:jc w:val="center"/>
        <w:textAlignment w:val="auto"/>
        <w:rPr>
          <w:rFonts w:hint="eastAsia" w:ascii="方正仿宋_GBK" w:hAnsi="方正仿宋_GBK" w:eastAsia="方正仿宋_GBK" w:cs="方正仿宋_GBK"/>
          <w:sz w:val="32"/>
          <w:szCs w:val="32"/>
        </w:rPr>
      </w:pPr>
    </w:p>
    <w:p>
      <w:pPr>
        <w:pageBreakBefore w:val="0"/>
        <w:widowControl/>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德宏职业学院开设中高职“3+2”贯通培养宝玉石鉴定与加工专业人才需求调研</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黑体" w:hAnsi="黑体" w:eastAsia="黑体" w:cs="黑体"/>
          <w:sz w:val="32"/>
          <w:szCs w:val="32"/>
          <w:lang w:val="en-US" w:eastAsia="zh-CN"/>
        </w:rPr>
        <w:t>一、专业行业背景</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随着人们生活水平的提高和对美的追求日益增强，珠宝行业在全球范围内持续展现出强劲的发展势头。尤其是在消费升级和个性化需求</w:t>
      </w:r>
      <w:r>
        <w:rPr>
          <w:rFonts w:hint="eastAsia" w:ascii="方正仿宋_GBK" w:hAnsi="方正仿宋_GBK" w:eastAsia="方正仿宋_GBK" w:cs="方正仿宋_GBK"/>
          <w:sz w:val="32"/>
          <w:szCs w:val="32"/>
          <w:lang w:eastAsia="zh-CN"/>
        </w:rPr>
        <w:t>增加的背</w:t>
      </w:r>
      <w:r>
        <w:rPr>
          <w:rFonts w:hint="eastAsia" w:ascii="方正仿宋_GBK" w:hAnsi="方正仿宋_GBK" w:eastAsia="方正仿宋_GBK" w:cs="方正仿宋_GBK"/>
          <w:sz w:val="32"/>
          <w:szCs w:val="32"/>
        </w:rPr>
        <w:t>景下，珠宝首饰的市场需求不断扩大，为珠宝行业带来了前所未有的发展机遇。云南历史上就是玉石资源富集区和翡翠文化的传承之地、聚集之地、中转之地，珠宝产业在云南经济发展中有着不可低估的作用。今天的云南珠宝产业已形成一个以昆明为中心，西南延伸到普洱、西双版纳，西北延伸到大理、丽江、香格里拉等风景旅游区终端零售市场，同时连接瑞丽、盈江、腾冲、龙陵等传统口岸和产业基地的四个结构层次的市场，初步形成“一个中心、两条黄金线路、四个热点区域”的产业大区，致使珠宝行业人才需求不断增加，省政府为缓解这个难题推出不少政策以扶持珠宝专业人才的培养，针对这样的情况，云南省着手实施职业学校培训10万人计划，而作为云南翡翠产业重镇的德宏，是珠宝人才培养计划的重要基地，同时云南省也提出做大做强三石（石材、玉石、建材用石）产业大的政治环境下与结合德宏玉文化特色，职业院校珠宝专业人才的培养和输送成为行业发展的重要支撑。</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二、专业技术工作的需要</w:t>
      </w:r>
    </w:p>
    <w:p>
      <w:pPr>
        <w:pageBreakBefore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（一）珠宝玉石产业发展急需本专业人才</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当代中国珠宝首饰业异军突起。随着经济的发展和人民生活水平的不断提高,珠宝首饰越来越多地进入到普通百姓的生活中，珠宝首饰流通也日益频繁,成为继住房、汽车后中国百姓的第三大消费热点。珠宝首饰业是我国的朝阳产业，《2023中国珠宝行业发展报告》数据显示： 2023年，中国珠宝玉石首饰产业市场规模约8200亿元，同比增长14%，创历史新高。在国际金价屡创新高的背景下，中国也成为全球黄金市场重要的增长引擎。2023年中国黄金产品市场规模约为5180亿元，同比增长26%，有黄金饰品销售商表示，销量跟5年前比翻了好几番。珠宝首饰行业市场规模巨大，从事该行业的企业众多。2023 年全国珠宝从业人员数量近400万人，其中线下零售终端相关从业人员规模约为85万人。 据不完全统计，2022 年，学历教育珠宝专业相关院校为行业输送人才仅仅1万人。珠宝相关专业毕业生就业率较高，剔除升学深造的学生，其他人员就业率达 95%以上。从先期鉴别、设计制作，到后期的销售、评估等环节的珠宝人才全面紧缺，有丰富行业经验和较高技术水平的从业人士非常抢手。珠宝首饰行业的迅速发展造成珠宝专业人才短缺的问题严重。</w:t>
      </w:r>
    </w:p>
    <w:p>
      <w:pPr>
        <w:pStyle w:val="15"/>
        <w:pageBreakBefore w:val="0"/>
        <w:numPr>
          <w:numId w:val="0"/>
        </w:numPr>
        <w:kinsoku/>
        <w:wordWrap/>
        <w:overflowPunct/>
        <w:topLinePunct w:val="0"/>
        <w:autoSpaceDE/>
        <w:autoSpaceDN/>
        <w:bidi w:val="0"/>
        <w:adjustRightInd/>
        <w:snapToGrid/>
        <w:spacing w:line="600" w:lineRule="exact"/>
        <w:ind w:left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（二）</w:t>
      </w:r>
      <w:r>
        <w:rPr>
          <w:rFonts w:hint="eastAsia" w:ascii="方正仿宋_GBK" w:hAnsi="方正仿宋_GBK" w:eastAsia="方正仿宋_GBK" w:cs="方正仿宋_GBK"/>
          <w:sz w:val="32"/>
          <w:szCs w:val="32"/>
        </w:rPr>
        <w:t>贯彻执行政策的需要</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云南省“十四五”发展规划中，明确指出加快珠宝玉石、有色金属交易中心建设，高技能人才培养是重要的支撑。落实好德宏州《中国(德宏)跨境电子商务综合试验区实施方案》对传统电商销售模式向5G直播转变，为进一步实现德宏州珠宝玉石产业链的完整，切实需要大量输送懂珠宝玉石设计、加工、镶嵌、销售、市场和品牌运作的专业。</w:t>
      </w:r>
    </w:p>
    <w:p>
      <w:pPr>
        <w:pStyle w:val="15"/>
        <w:pageBreakBefore w:val="0"/>
        <w:numPr>
          <w:numId w:val="0"/>
        </w:numPr>
        <w:kinsoku/>
        <w:wordWrap/>
        <w:overflowPunct/>
        <w:topLinePunct w:val="0"/>
        <w:autoSpaceDE/>
        <w:autoSpaceDN/>
        <w:bidi w:val="0"/>
        <w:adjustRightInd/>
        <w:snapToGrid/>
        <w:spacing w:line="600" w:lineRule="exact"/>
        <w:ind w:left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（三）</w:t>
      </w:r>
      <w:r>
        <w:rPr>
          <w:rFonts w:hint="eastAsia" w:ascii="方正仿宋_GBK" w:hAnsi="方正仿宋_GBK" w:eastAsia="方正仿宋_GBK" w:cs="方正仿宋_GBK"/>
          <w:sz w:val="32"/>
          <w:szCs w:val="32"/>
        </w:rPr>
        <w:t>学校发展的需要</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为跟上学校“3515”战略发展“升本”目标的要求，迫切需要提升目前我校珠宝专业的人才培养质量。</w:t>
      </w:r>
    </w:p>
    <w:p>
      <w:pPr>
        <w:pStyle w:val="15"/>
        <w:pageBreakBefore w:val="0"/>
        <w:numPr>
          <w:numId w:val="0"/>
        </w:numPr>
        <w:kinsoku/>
        <w:wordWrap/>
        <w:overflowPunct/>
        <w:topLinePunct w:val="0"/>
        <w:autoSpaceDE/>
        <w:autoSpaceDN/>
        <w:bidi w:val="0"/>
        <w:adjustRightInd/>
        <w:snapToGrid/>
        <w:spacing w:line="600" w:lineRule="exact"/>
        <w:ind w:left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（四）</w:t>
      </w:r>
      <w:r>
        <w:rPr>
          <w:rFonts w:hint="eastAsia" w:ascii="方正仿宋_GBK" w:hAnsi="方正仿宋_GBK" w:eastAsia="方正仿宋_GBK" w:cs="方正仿宋_GBK"/>
          <w:sz w:val="32"/>
          <w:szCs w:val="32"/>
        </w:rPr>
        <w:t>区域地理位置的需要</w:t>
      </w:r>
    </w:p>
    <w:p>
      <w:pPr>
        <w:pageBreakBefore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云南由于是历史上的玉石资源富集区和翡翠文化的传承之地，是云南的珠重要的支柱产业。“做大做强云南珠宝产业、防止边缘化”，人才是重要的支撑，根据有关规划，目前云南珠宝玉石产业人才约需5万从业人员，专业人员的就业前景非常广阔。目前珠宝集散地地区具有珠宝鉴定证书的专业人员不过数百人，珠宝鉴定方面的老专家仅为十余人，具有国际水准的高级珠宝鉴定、顾问人才更是“一将难求”。</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黑体" w:hAnsi="黑体" w:eastAsia="黑体" w:cs="黑体"/>
          <w:sz w:val="32"/>
          <w:szCs w:val="32"/>
        </w:rPr>
      </w:pPr>
      <w:r>
        <w:rPr>
          <w:rFonts w:hint="eastAsia" w:ascii="黑体" w:hAnsi="黑体" w:eastAsia="黑体" w:cs="黑体"/>
          <w:sz w:val="32"/>
          <w:szCs w:val="32"/>
          <w:lang w:eastAsia="zh-CN"/>
        </w:rPr>
        <w:t>三、</w:t>
      </w:r>
      <w:r>
        <w:rPr>
          <w:rFonts w:hint="eastAsia" w:ascii="黑体" w:hAnsi="黑体" w:eastAsia="黑体" w:cs="黑体"/>
          <w:sz w:val="32"/>
          <w:szCs w:val="32"/>
        </w:rPr>
        <w:t>就业市场的需求</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随着经济水平的不断提高，人们对于生活质量的要求也在不断提高。越来越多的人开始注重自己的形象和品味，珠宝首饰市场需求也在不断增加。</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lang w:eastAsia="zh-CN"/>
        </w:rPr>
        <w:t>（一）</w:t>
      </w:r>
      <w:r>
        <w:rPr>
          <w:rFonts w:hint="eastAsia" w:ascii="方正楷体_GBK" w:hAnsi="方正楷体_GBK" w:eastAsia="方正楷体_GBK" w:cs="方正楷体_GBK"/>
          <w:sz w:val="32"/>
          <w:szCs w:val="32"/>
        </w:rPr>
        <w:t>消费需求引导珠宝首饰市场持续增长</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随着经济环境的不断改善，人们的收入与物质水平逐年提高，珠宝首饰作为高端消费品，具有一定的收藏和保值功能。同时，珠宝首饰也是个性化消费的重要方向之一，符合现代人对品位和个性塑造的需求。因此，消费需求的不断引导促使珠宝首饰市场持续增长。</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方正楷体_GBK" w:hAnsi="方正楷体_GBK" w:eastAsia="方正楷体_GBK" w:cs="方正楷体_GBK"/>
          <w:sz w:val="32"/>
          <w:szCs w:val="32"/>
          <w:lang w:eastAsia="zh-CN"/>
        </w:rPr>
      </w:pPr>
      <w:r>
        <w:rPr>
          <w:rFonts w:hint="eastAsia" w:ascii="方正楷体_GBK" w:hAnsi="方正楷体_GBK" w:eastAsia="方正楷体_GBK" w:cs="方正楷体_GBK"/>
          <w:sz w:val="32"/>
          <w:szCs w:val="32"/>
          <w:lang w:eastAsia="zh-CN"/>
        </w:rPr>
        <w:t>（二）珠宝首饰的情感属性吸引更多消费者</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珠宝首饰除了作为高价值的时尚饰品，更具有情感价值。在社交场合、纪念日、重大庆典等重要场合，珠宝首饰的礼赠价值再次凸显。尤其对于女性消费者而言，珠宝首饰既可以烘托出个人魅力，又可以表达亲情、友情和爱情等情感，因而被广泛青睐。</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方正楷体_GBK" w:hAnsi="方正楷体_GBK" w:eastAsia="方正楷体_GBK" w:cs="方正楷体_GBK"/>
          <w:sz w:val="32"/>
          <w:szCs w:val="32"/>
        </w:rPr>
      </w:pPr>
      <w:r>
        <w:rPr>
          <w:rFonts w:hint="eastAsia" w:ascii="方正楷体_GBK" w:hAnsi="方正楷体_GBK" w:eastAsia="方正楷体_GBK" w:cs="方正楷体_GBK"/>
          <w:sz w:val="32"/>
          <w:szCs w:val="32"/>
          <w:lang w:eastAsia="zh-CN"/>
        </w:rPr>
        <w:t>（三）</w:t>
      </w:r>
      <w:r>
        <w:rPr>
          <w:rFonts w:hint="eastAsia" w:ascii="方正楷体_GBK" w:hAnsi="方正楷体_GBK" w:eastAsia="方正楷体_GBK" w:cs="方正楷体_GBK"/>
          <w:sz w:val="32"/>
          <w:szCs w:val="32"/>
        </w:rPr>
        <w:t>年轻化趋势引领珠宝首饰市场发展</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近年来，珠宝首饰市场呈现出“年轻化”的趋势，越来越多的年轻人成为珠宝首饰的消费者。在年轻消费者中，更注重珠宝首饰的品牌和设计，品牌和设计的高度匹配可以有效提升消费者的体验感和满意度。同时，亚洲消费者占据了全球珠宝首饰市场的38%以上，亚洲地区崛起，也为珠宝首饰市场的发展带来了更多机遇</w:t>
      </w:r>
    </w:p>
    <w:p>
      <w:pPr>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hint="eastAsia" w:ascii="黑体" w:hAnsi="黑体" w:eastAsia="黑体" w:cs="黑体"/>
          <w:sz w:val="32"/>
          <w:szCs w:val="32"/>
        </w:rPr>
      </w:pPr>
      <w:r>
        <w:rPr>
          <w:rFonts w:hint="eastAsia" w:ascii="黑体" w:hAnsi="黑体" w:eastAsia="黑体" w:cs="黑体"/>
          <w:sz w:val="32"/>
          <w:szCs w:val="32"/>
        </w:rPr>
        <w:t>四、根据企业对技能型人才的需求确定岗位</w:t>
      </w:r>
    </w:p>
    <w:tbl>
      <w:tblPr>
        <w:tblStyle w:val="7"/>
        <w:tblW w:w="85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8"/>
        <w:gridCol w:w="6099"/>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职业岗位</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典型工作任务（或岗位职责任务）</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预计平均获得的时间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宝玉石检验员</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1、对送检的珠宝玉石进行检测、鉴定，并出具检测结果</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2、对各类珠宝玉石进行质量检验、质量监控及结果上报</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3、按作业指导书及相应流程对待检珠宝进行检验、清理，检验前以及检验过程中核对待检品，填写检验记录，并提交主检</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4、出具检验报告，制作鉴定证书</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5、汇总、存档各项质检记录及相关资料</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6、从专业角度解答消费者的相关提问</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钻石检验员</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1、裸钻及钻石首饰总体外观特征描述与记录</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2、钻石真伪判别</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3、钻石4C要素的观察、描述与记录</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4、鉴定分级结论的审核、复查与确认</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5、鉴定证书的签发</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玉石雕刻工</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1、根据市场需求和材料特征设计雕刻图案</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2、雕刻符合市场消费需求的玉石饰品</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宝石琢磨工</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1、根据要求设计宝石琢型</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2、根据设计要求加工宝石</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珠宝首饰营业员</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1、销售管理</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2、帐务与安全管理</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3、货品保管与柜台卫生管理</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4、个人与团队结合的管理</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珠宝讲解员</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顾客接待与引导，珠宝首饰产品介绍与推荐，产品加工</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珠宝导购员</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1、向消费者宣传产品和企业形象</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2、做好卖场的生动化陈列，产品和各种助销品的维护</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3、及时收集顾客对产品及企业的意见/建议/和期望，并及时反馈</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4、收集信息，全力完成公司的销售任务</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5、完成各种报表及行政工作</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货管员</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负责所保管货物的登记、保管、发放、回收等工作记录财产流动帐目，建立建全仓库保管明细账</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宝石鉴定师</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1、常见宝玉石总体外观特征的描述与记录</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2、常见宝玉石鉴定特征的观察、描述与记录</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3、鉴定结论的审核、复查与确认</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4、鉴定证书的签发</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珠宝评估师</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1、对圆形及异形琢型钻石进行品质分级和价值评估</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2、分析处理宝石（含处理钻石）、人工宝石（含合成钻石）的品质特征并进行价值评估</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3、对名贵宝玉石进行品质分级和价值评估</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4、对成套首饰饰品进行品质分级和价值评估</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5、对彩色钻石进行品质分级和价值评估</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6、对摆件饰品进行品质分级和价值评估</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玉石雕刻师</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1、根据市场需求和材料特征设计雕刻图案</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2、雕刻符合市场消费需求的玉石饰品</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店长</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1、珠宝首饰消费需求调查</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2、珠宝首饰店面交易</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3、珠宝首饰售后服务</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营销经理</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1、珠宝首饰店面销售管理</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2、珠宝首饰营销客户接洽</w:t>
            </w:r>
          </w:p>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3、珠宝首饰营销业务拓展</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生产主管</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生产任务下达、生产人员调配与管理、生产工艺流程管理</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3-5年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8" w:type="dxa"/>
            <w:tcBorders>
              <w:lef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产品质量技术总监</w:t>
            </w:r>
          </w:p>
        </w:tc>
        <w:tc>
          <w:tcPr>
            <w:tcW w:w="6099" w:type="dxa"/>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首饰生产最终产品质量审核、生产工艺流程和设备质量监控</w:t>
            </w:r>
          </w:p>
        </w:tc>
        <w:tc>
          <w:tcPr>
            <w:tcW w:w="1260" w:type="dxa"/>
            <w:tcBorders>
              <w:right w:val="nil"/>
            </w:tcBorders>
            <w:vAlign w:val="center"/>
          </w:tcPr>
          <w:p>
            <w:pPr>
              <w:rPr>
                <w:rFonts w:hint="eastAsia" w:ascii="方正仿宋_GBK" w:hAnsi="方正仿宋_GBK" w:eastAsia="方正仿宋_GBK" w:cs="方正仿宋_GBK"/>
                <w:b w:val="0"/>
                <w:bCs/>
              </w:rPr>
            </w:pPr>
            <w:r>
              <w:rPr>
                <w:rFonts w:hint="eastAsia" w:ascii="方正仿宋_GBK" w:hAnsi="方正仿宋_GBK" w:eastAsia="方正仿宋_GBK" w:cs="方正仿宋_GBK"/>
                <w:b w:val="0"/>
                <w:bCs/>
              </w:rPr>
              <w:t>5-10年</w:t>
            </w:r>
          </w:p>
        </w:tc>
      </w:tr>
    </w:tbl>
    <w:p>
      <w:pPr>
        <w:rPr>
          <w:rFonts w:hint="eastAsia"/>
        </w:rPr>
      </w:pPr>
    </w:p>
    <w:p>
      <w:pPr>
        <w:pStyle w:val="15"/>
        <w:rPr>
          <w:rFonts w:hint="eastAsia"/>
        </w:rPr>
      </w:pPr>
    </w:p>
    <w:p>
      <w:pPr>
        <w:rPr>
          <w:rFonts w:hint="eastAsia"/>
        </w:rPr>
      </w:pPr>
    </w:p>
    <w:p>
      <w:pPr>
        <w:widowControl/>
        <w:jc w:val="left"/>
        <w:rPr>
          <w:rFonts w:hint="eastAsia" w:ascii="黑体" w:hAnsi="黑体" w:eastAsia="黑体" w:cstheme="majorBidi"/>
          <w:b/>
          <w:bCs/>
          <w:sz w:val="44"/>
          <w:szCs w:val="44"/>
        </w:rPr>
      </w:pPr>
    </w:p>
    <w:p>
      <w:pPr>
        <w:widowControl/>
        <w:jc w:val="left"/>
        <w:rPr>
          <w:rFonts w:hint="eastAsia" w:ascii="黑体" w:hAnsi="黑体" w:eastAsia="黑体" w:cstheme="majorBidi"/>
          <w:b/>
          <w:bCs/>
          <w:sz w:val="44"/>
          <w:szCs w:val="44"/>
        </w:rPr>
      </w:pPr>
    </w:p>
    <w:p>
      <w:pPr>
        <w:widowControl/>
        <w:jc w:val="left"/>
        <w:rPr>
          <w:rFonts w:hint="eastAsia" w:ascii="黑体" w:hAnsi="黑体" w:eastAsia="黑体" w:cstheme="majorBidi"/>
          <w:b/>
          <w:bCs/>
          <w:sz w:val="44"/>
          <w:szCs w:val="44"/>
        </w:rPr>
      </w:pPr>
    </w:p>
    <w:p>
      <w:pPr>
        <w:widowControl/>
        <w:jc w:val="left"/>
        <w:rPr>
          <w:rFonts w:hint="eastAsia" w:ascii="黑体" w:hAnsi="黑体" w:eastAsia="黑体" w:cstheme="majorBidi"/>
          <w:b/>
          <w:bCs/>
          <w:sz w:val="44"/>
          <w:szCs w:val="44"/>
        </w:rPr>
      </w:pP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德宏职业学院开设中高职“3+2”贯通培养宝玉石鉴定与加工专业必要性和可行性论证报告</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一、开设宝玉石鉴定与加工专业的必要性</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（一）专业分析</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随着人们生活水平的提高，对珠宝饰品需求与日俱增，珠宝首饰正成为继住房、汽车之后的又一消费热点。云南历史上就是玉石资源富集区和翡翠文化的传承之地、聚集之地、中转之地，珠宝产业在云南经济发展中有着不可低估的作用。今天的云南珠宝产业已形成一个以昆明为中心，西南延伸到普洱、西双版纳，西北延伸到大理、丽江、香格里拉等风景旅游区终端零售市场，同时连接瑞丽、盈江、腾冲、龙陵等传统口岸和产业基地的四个结构层次的市场，初步形成“一个中心、两条黄金线路、四个热点区域”的产业大区，致使珠宝行业人才需求不断增加，省政府为缓解这个难题推出不少政策以扶持珠宝专业人才的培养，针对这样的情况，云南省着手实施职业学校培训10万人计划，而作为云南翡翠产业重镇的德宏，是珠宝人才培养计划的重要基地。同时，云南省“十四五”发展规划中，明确指出加快珠宝玉石、有色金属交易中心建设，高技能人才培养是重要的支撑。落实好德宏州《中国(德宏)跨境电子商务综合试验区实施方案》对传统电商销售模式向5G直播转变，为进一步实现德宏州珠宝玉石产业链的完整，切实需要大量输送懂珠宝玉石设计、加工、镶嵌、销售、市场和品牌运作的专业。在产业大的政治环境下与结合德宏玉文化特色，职业院校珠宝专业人才的培养和输送成为行业发展的重要支撑。</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（二）专业培养目标</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本专业培养能够践行社会主义核心价值观，德、智、体美、劳全面发展，具有一定的科学文化水平，良好的人文素养、职业道德和创新意识，精益求精的工匠精神，较强的就业创业能力和可持续发展的能力，掌握本专业知识和技术技能人才。本专业宝玉石鉴定与加工专业人才培养目标定位于：培养适应珠宝玉石鉴定、珠宝首饰营销等领域第一线需要，具有良好的职业道德，掌握系统的珠宝玉石鉴定、珠宝首饰鉴定与评估、珠宝首饰营销的专业知识；具有珠宝玉石鉴定、珠宝首饰营销、珠宝首饰企业管理等相关专业技能；熟知珠宝市场的运作模式、政策法规、货源渠道、营销策略；既可在国家珠宝玉石质检部门、珠宝商贸企业和玉雕公司就业，也可独立自主地在珠宝行业创业的高素质应用型技术人才。</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(1)产教融合</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专业与2015年建设校中厂，实现课程学习与岗位无缝对接，有效推动学校就业。同时，专业充分发挥校外实训基地优势，不断为行业输送高技能人才。</w:t>
      </w:r>
      <w:bookmarkStart w:id="3" w:name="_GoBack"/>
      <w:bookmarkEnd w:id="3"/>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(2)现代学徒制</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专业目前已3家珠宝企业进行现代学徒制合作培养。结合当地珠宝产业链，培养“上岗即上手”的技术人才‌。学院紧密结合当地的珠宝产业链，培养出的珠宝专业人才能够直接上岗，满足了当地珠宝行业对技术人才的需求‌。首先，珠宝专业注重培养学生的实践能力，通过实习实训、项目合作等方式，让学生在实践中掌握珠宝设计、制作、鉴定和营销等专业技能。这种实践能力的培养，使得学生毕业后能够直接上岗，无需企业再进行长时间的培训‌。珠宝专业积极与珠宝企业建立紧密的合作关系，其次，通过校企合作，学生可以获得更多的实践机会和就业指导，同时企业也可以直接从学校选拔优秀人才，到珠宝行业发达地区实习就业，实现了人才与企业的无缝对接‌。</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二、我校开宝玉石鉴定与加工专业的背景和优势</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（一）具备开展教学的基本条件，教育教学有保障</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专业自2010年开始创建至今，已经有13年的办学经验，已为社会输送近千名毕业生，部分毕业生已成为州乃至周边地区珠宝玉石行业的技术和管理骨干。2011 年结合市场需求并与企业建立联合办学,将现有宝玉石鉴定与加工专业分成珠宝鉴定与商贸方向、珠宝首饰设计方向、玉石加工和宝石琢磨。办学形式灵活多样，校企深度合作，取得了良好的社会效益和经济效益。</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（二）具备开展高等学历继续教育专业支撑</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我校宝玉石鉴定与加工专业坚持以服务地方经济发展为导向，注重产教融合和校企合作，培养了一批具有创新设计、制作及营销能力的技术技能型人才，并得到了行业认可。学校已初步搭建产学研合作平台，与企业合作密切，具有企业宣传力，这为开展高等学历继续教育提供了良好的实践环境和资源支持。学校珠宝加工专业配备了先进的教学设备和实验室，如宝石鉴定实训室、宝石加工实训室、首饰设计实训室等，能够满足高等学历继续教育的教学需求。学校拥有一支高素质的教师队伍，他们具有丰富的行业经验和教学经验，能够为学员提供高质量的教学和指导。学校积极响应国家关于加快发展现代职业教育的号召，坚持服务地方经济发展，以学生就业为导向，产教融合，提升办学质量，这为开展高等学历继续教育提供了有力的政策支持。目前，学校已与多家珠宝企业建立了紧密的合作关系，共同开展人才培养、技术研发和产学研合作。这些案例为开展高等学历继续教育提供了丰富的实践经验和成功案例。</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（三）具有较好的实训条件</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(1)校内实训条件</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目前宝玉石鉴定与加工专业拥有4个实验实训室，包括画室;宝石鉴定实训室;玉石加工实训室;珠宝玉石销售实训室。校内实训基地的主要任务是完成课程的基础实训、学生基本技能实训、宝玉石作品设计开发等实训任务，校内实训室基本能满足教学的需要。对于实操性比较强、比较综合性的实训，主要通过稳定的校外实训基地完成。现阶段，学院每年投入资金，用于改善校内实训环境，能满足教学需要，能让学生在实训过程中获得综合技术能力以及职业综合素质。</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(2)校外实训条件</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目前主要与德宏州25家珠宝玉石质检站，10家玉石加工店建立合作关系,分别为学生提供首饰设计、首饰加工、珠宝营销、珠宝鉴定等顶岗实习职务。</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 xml:space="preserve">三、开设宝玉石鉴定与加工专业的可行性 </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（一）设置宝玉石鉴定与加工专业的良好基础</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我院自2010年就开始创办宝玉石鉴定与加工专业，至今开设本专业已有14年之久。在当前珠宝行业蓬勃发展的背景下，我校凭借其在教育资源、师资力量、实训设施、校企合作以及市场前景等方面的显著优势，具备设置宝玉石鉴定与加工专业的良好基础。</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（二）我校宝玉石鉴定与加工专业的生源基础</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我校宝玉石鉴定与加工专业作为融合了自然科学、艺术设计与人文情怀的特色专业，吸引了来自不同背景、怀揣着共同梦想与追求的广大学子。我专业生源基础主要涵盖高中毕业生与初中、中职毕业生。</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（三）师资有保障</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方正仿宋_GBK" w:hAnsi="方正仿宋_GBK" w:eastAsia="方正仿宋_GBK" w:cs="方正仿宋_GBK"/>
          <w:sz w:val="32"/>
          <w:szCs w:val="32"/>
          <w:lang w:val="en-US" w:eastAsia="zh-CN"/>
        </w:rPr>
        <w:t>自开设宝玉石鉴定与加工专业以来，我专业师资队伍逐渐完善，现有专业教师8人，其中高级职称8人，兼职外聘教师4人。是一支科研服务能力强、教学理念先进、实践经验丰富、学术水平较高、勇于探索创新的教学队伍，通过培训学习宝玉石鉴定与加工知识技能，能胜任专业课程的教学。</w:t>
      </w:r>
    </w:p>
    <w:p>
      <w:pPr>
        <w:jc w:val="center"/>
        <w:rPr>
          <w:rFonts w:ascii="仿宋_GB2312" w:hAnsi="仿宋_GB2312" w:eastAsia="仿宋_GB2312" w:cs="仿宋_GB2312"/>
          <w:sz w:val="32"/>
          <w:szCs w:val="32"/>
        </w:rPr>
      </w:pPr>
      <w:r>
        <w:rPr>
          <w:rFonts w:hint="eastAsia" w:ascii="仿宋_GB2312" w:hAnsi="仿宋_GB2312" w:eastAsia="仿宋_GB2312" w:cs="仿宋_GB2312"/>
          <w:sz w:val="32"/>
          <w:szCs w:val="32"/>
        </w:rPr>
        <w:t>师资情况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125"/>
        <w:gridCol w:w="996"/>
        <w:gridCol w:w="1452"/>
        <w:gridCol w:w="1212"/>
        <w:gridCol w:w="28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序号</w:t>
            </w:r>
          </w:p>
        </w:tc>
        <w:tc>
          <w:tcPr>
            <w:tcW w:w="112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姓名</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学历/学位</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所学专业</w:t>
            </w:r>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教师系列职称</w:t>
            </w:r>
          </w:p>
        </w:tc>
        <w:tc>
          <w:tcPr>
            <w:tcW w:w="2899" w:type="dxa"/>
          </w:tcPr>
          <w:p>
            <w:pPr>
              <w:keepNext w:val="0"/>
              <w:keepLines w:val="0"/>
              <w:pageBreakBefore w:val="0"/>
              <w:widowControl w:val="0"/>
              <w:kinsoku/>
              <w:wordWrap/>
              <w:overflowPunct/>
              <w:topLinePunct w:val="0"/>
              <w:autoSpaceDE/>
              <w:autoSpaceDN/>
              <w:bidi w:val="0"/>
              <w:adjustRightInd/>
              <w:snapToGrid/>
              <w:spacing w:line="300" w:lineRule="exact"/>
              <w:ind w:firstLine="850" w:firstLineChars="500"/>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教授课程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1</w:t>
            </w:r>
          </w:p>
        </w:tc>
        <w:tc>
          <w:tcPr>
            <w:tcW w:w="112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李府承</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本科、学士</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bookmarkStart w:id="2" w:name="_Hlk184653819"/>
            <w:r>
              <w:rPr>
                <w:rFonts w:hint="eastAsia" w:ascii="方正仿宋_GBK" w:hAnsi="方正仿宋_GBK" w:eastAsia="方正仿宋_GBK" w:cs="方正仿宋_GBK"/>
                <w:sz w:val="21"/>
                <w:szCs w:val="21"/>
              </w:rPr>
              <w:t>宝石及材料工艺学</w:t>
            </w:r>
            <w:bookmarkEnd w:id="2"/>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副教授</w:t>
            </w:r>
          </w:p>
        </w:tc>
        <w:tc>
          <w:tcPr>
            <w:tcW w:w="289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珠宝玉石鉴定综合实训（2）、宝石矿物肉眼识别、贵金属首饰材料检验、玉文化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2</w:t>
            </w:r>
          </w:p>
        </w:tc>
        <w:tc>
          <w:tcPr>
            <w:tcW w:w="112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段登涛</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本科、硕士</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宝石及材料工艺学</w:t>
            </w:r>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副教授</w:t>
            </w:r>
          </w:p>
        </w:tc>
        <w:tc>
          <w:tcPr>
            <w:tcW w:w="289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珠宝玉石优化处理、珠宝首饰评估、玉文化、宝石矿物肉眼识别、地质学基础、宝石学基础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3</w:t>
            </w:r>
          </w:p>
        </w:tc>
        <w:tc>
          <w:tcPr>
            <w:tcW w:w="112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杨茜</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本科、硕士</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美术</w:t>
            </w:r>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副教授</w:t>
            </w:r>
          </w:p>
        </w:tc>
        <w:tc>
          <w:tcPr>
            <w:tcW w:w="289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珠宝首饰手绘表现技法、中国传统纹饰与玉文化、珠宝佩饰编结技巧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4</w:t>
            </w:r>
          </w:p>
        </w:tc>
        <w:tc>
          <w:tcPr>
            <w:tcW w:w="112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陈国总</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本科、硕士</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美术</w:t>
            </w:r>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副教授</w:t>
            </w:r>
          </w:p>
        </w:tc>
        <w:tc>
          <w:tcPr>
            <w:tcW w:w="289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珠宝首饰手绘表现技法、素描、色彩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5</w:t>
            </w:r>
          </w:p>
        </w:tc>
        <w:tc>
          <w:tcPr>
            <w:tcW w:w="112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彭秋砚</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本科</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绘画</w:t>
            </w:r>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副教授</w:t>
            </w:r>
          </w:p>
        </w:tc>
        <w:tc>
          <w:tcPr>
            <w:tcW w:w="289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珠宝首饰手绘表现技法、素描、白描、泥塑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6</w:t>
            </w:r>
          </w:p>
        </w:tc>
        <w:tc>
          <w:tcPr>
            <w:tcW w:w="1125"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梅春燕</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本科</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经济学</w:t>
            </w:r>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副教授</w:t>
            </w:r>
          </w:p>
        </w:tc>
        <w:tc>
          <w:tcPr>
            <w:tcW w:w="289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珠宝首饰市场营销与推广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7</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杨锦</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本科、硕士</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市场营销</w:t>
            </w:r>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副教授</w:t>
            </w:r>
          </w:p>
        </w:tc>
        <w:tc>
          <w:tcPr>
            <w:tcW w:w="289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珠宝首饰市场营销与推广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8</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杨霖盈</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本科、硕士</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计算机科学与技术</w:t>
            </w:r>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副教授</w:t>
            </w:r>
          </w:p>
        </w:tc>
        <w:tc>
          <w:tcPr>
            <w:tcW w:w="289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首饰设计软件应用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9</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张鑫（外聘）</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本科、学士</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首饰设计</w:t>
            </w:r>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GIC翡翠鉴定师</w:t>
            </w:r>
          </w:p>
        </w:tc>
        <w:tc>
          <w:tcPr>
            <w:tcW w:w="289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珠宝玉石鉴定综合实训（有机宝石鉴定）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10</w:t>
            </w:r>
          </w:p>
        </w:tc>
        <w:tc>
          <w:tcPr>
            <w:tcW w:w="1125"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杨岩哏保</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（外聘）</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大专</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玉雕</w:t>
            </w:r>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宝石琢磨工（高级）、工艺品雕刻工（高级）</w:t>
            </w:r>
          </w:p>
        </w:tc>
        <w:tc>
          <w:tcPr>
            <w:tcW w:w="289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z w:val="21"/>
                <w:szCs w:val="21"/>
              </w:rPr>
              <w:t>玉雕工艺综合实训（4）、玉雕作品创作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pacing w:val="-20"/>
                <w:sz w:val="21"/>
                <w:szCs w:val="21"/>
              </w:rPr>
            </w:pPr>
            <w:r>
              <w:rPr>
                <w:rFonts w:hint="eastAsia" w:ascii="方正仿宋_GBK" w:hAnsi="方正仿宋_GBK" w:eastAsia="方正仿宋_GBK" w:cs="方正仿宋_GBK"/>
                <w:spacing w:val="-20"/>
                <w:sz w:val="21"/>
                <w:szCs w:val="21"/>
              </w:rPr>
              <w:t>11</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黄浩（外聘）</w:t>
            </w:r>
          </w:p>
        </w:tc>
        <w:tc>
          <w:tcPr>
            <w:tcW w:w="996"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大专</w:t>
            </w:r>
          </w:p>
        </w:tc>
        <w:tc>
          <w:tcPr>
            <w:tcW w:w="145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玉雕</w:t>
            </w:r>
          </w:p>
        </w:tc>
        <w:tc>
          <w:tcPr>
            <w:tcW w:w="1212"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外聘</w:t>
            </w:r>
          </w:p>
        </w:tc>
        <w:tc>
          <w:tcPr>
            <w:tcW w:w="2899" w:type="dxa"/>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方正仿宋_GBK" w:hAnsi="方正仿宋_GBK" w:eastAsia="方正仿宋_GBK" w:cs="方正仿宋_GBK"/>
                <w:sz w:val="21"/>
                <w:szCs w:val="21"/>
              </w:rPr>
            </w:pPr>
            <w:r>
              <w:rPr>
                <w:rFonts w:hint="eastAsia" w:ascii="方正仿宋_GBK" w:hAnsi="方正仿宋_GBK" w:eastAsia="方正仿宋_GBK" w:cs="方正仿宋_GBK"/>
                <w:sz w:val="21"/>
                <w:szCs w:val="21"/>
              </w:rPr>
              <w:t>玉器雕刻工艺设计与制作（初级）、玉器雕刻工艺设计与制作（中级）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vAlign w:val="center"/>
          </w:tcPr>
          <w:p>
            <w:pPr>
              <w:jc w:val="center"/>
              <w:rPr>
                <w:rFonts w:hint="eastAsia" w:ascii="方正仿宋_GBK" w:hAnsi="方正仿宋_GBK" w:cs="方正仿宋_GBK"/>
                <w:spacing w:val="-20"/>
              </w:rPr>
            </w:pPr>
            <w:r>
              <w:rPr>
                <w:rFonts w:hint="eastAsia" w:ascii="方正仿宋_GBK" w:hAnsi="方正仿宋_GBK" w:cs="方正仿宋_GBK"/>
                <w:spacing w:val="-20"/>
              </w:rPr>
              <w:t>12</w:t>
            </w:r>
          </w:p>
        </w:tc>
        <w:tc>
          <w:tcPr>
            <w:tcW w:w="1125" w:type="dxa"/>
            <w:tcBorders>
              <w:top w:val="nil"/>
              <w:left w:val="single" w:color="auto" w:sz="4" w:space="0"/>
              <w:bottom w:val="single" w:color="auto" w:sz="4" w:space="0"/>
              <w:right w:val="single" w:color="auto" w:sz="4" w:space="0"/>
            </w:tcBorders>
            <w:shd w:val="clear" w:color="auto" w:fill="auto"/>
            <w:vAlign w:val="center"/>
          </w:tcPr>
          <w:p>
            <w:pPr>
              <w:jc w:val="center"/>
              <w:rPr>
                <w:rFonts w:ascii="仿宋" w:hAnsi="仿宋" w:eastAsia="仿宋"/>
                <w:sz w:val="18"/>
                <w:szCs w:val="18"/>
              </w:rPr>
            </w:pPr>
            <w:r>
              <w:rPr>
                <w:rFonts w:hint="eastAsia" w:ascii="仿宋" w:hAnsi="仿宋" w:eastAsia="仿宋"/>
                <w:sz w:val="18"/>
                <w:szCs w:val="18"/>
              </w:rPr>
              <w:t>许延平</w:t>
            </w:r>
          </w:p>
          <w:p>
            <w:pPr>
              <w:jc w:val="center"/>
              <w:rPr>
                <w:rFonts w:hint="eastAsia" w:ascii="仿宋" w:hAnsi="仿宋" w:eastAsia="仿宋"/>
                <w:sz w:val="18"/>
                <w:szCs w:val="18"/>
              </w:rPr>
            </w:pPr>
            <w:r>
              <w:rPr>
                <w:rFonts w:hint="eastAsia" w:ascii="仿宋" w:hAnsi="仿宋" w:eastAsia="仿宋"/>
                <w:sz w:val="18"/>
                <w:szCs w:val="18"/>
              </w:rPr>
              <w:t>（外聘）</w:t>
            </w:r>
          </w:p>
        </w:tc>
        <w:tc>
          <w:tcPr>
            <w:tcW w:w="996" w:type="dxa"/>
            <w:shd w:val="clear" w:color="auto" w:fill="auto"/>
            <w:vAlign w:val="center"/>
          </w:tcPr>
          <w:p>
            <w:pPr>
              <w:jc w:val="center"/>
              <w:rPr>
                <w:rFonts w:hint="eastAsia" w:ascii="仿宋" w:hAnsi="仿宋" w:eastAsia="仿宋"/>
                <w:sz w:val="18"/>
                <w:szCs w:val="18"/>
              </w:rPr>
            </w:pPr>
            <w:r>
              <w:rPr>
                <w:rFonts w:hint="eastAsia" w:ascii="仿宋" w:hAnsi="仿宋" w:eastAsia="仿宋"/>
                <w:sz w:val="18"/>
                <w:szCs w:val="18"/>
              </w:rPr>
              <w:t>大专</w:t>
            </w:r>
          </w:p>
        </w:tc>
        <w:tc>
          <w:tcPr>
            <w:tcW w:w="1452" w:type="dxa"/>
            <w:shd w:val="clear" w:color="auto" w:fill="auto"/>
            <w:vAlign w:val="center"/>
          </w:tcPr>
          <w:p>
            <w:pPr>
              <w:ind w:firstLine="360" w:firstLineChars="200"/>
              <w:jc w:val="center"/>
              <w:rPr>
                <w:rFonts w:hint="eastAsia" w:ascii="仿宋" w:hAnsi="仿宋" w:eastAsia="仿宋"/>
                <w:sz w:val="18"/>
                <w:szCs w:val="18"/>
              </w:rPr>
            </w:pPr>
            <w:r>
              <w:rPr>
                <w:rFonts w:hint="eastAsia" w:ascii="仿宋" w:hAnsi="仿宋" w:eastAsia="仿宋"/>
                <w:sz w:val="18"/>
                <w:szCs w:val="18"/>
              </w:rPr>
              <w:t>玉雕</w:t>
            </w:r>
          </w:p>
        </w:tc>
        <w:tc>
          <w:tcPr>
            <w:tcW w:w="1212" w:type="dxa"/>
            <w:shd w:val="clear" w:color="auto" w:fill="auto"/>
            <w:vAlign w:val="center"/>
          </w:tcPr>
          <w:p>
            <w:pPr>
              <w:jc w:val="center"/>
              <w:rPr>
                <w:rFonts w:hint="eastAsia" w:ascii="仿宋" w:hAnsi="仿宋" w:eastAsia="仿宋"/>
                <w:sz w:val="18"/>
                <w:szCs w:val="18"/>
              </w:rPr>
            </w:pPr>
            <w:r>
              <w:rPr>
                <w:rFonts w:hint="eastAsia" w:ascii="仿宋" w:hAnsi="仿宋" w:eastAsia="仿宋"/>
                <w:sz w:val="18"/>
                <w:szCs w:val="18"/>
              </w:rPr>
              <w:t>外聘</w:t>
            </w:r>
          </w:p>
        </w:tc>
        <w:tc>
          <w:tcPr>
            <w:tcW w:w="2899" w:type="dxa"/>
            <w:vAlign w:val="center"/>
          </w:tcPr>
          <w:p>
            <w:pPr>
              <w:jc w:val="center"/>
              <w:rPr>
                <w:rFonts w:hint="eastAsia" w:ascii="仿宋" w:hAnsi="仿宋" w:eastAsia="仿宋"/>
                <w:sz w:val="18"/>
                <w:szCs w:val="18"/>
              </w:rPr>
            </w:pPr>
            <w:r>
              <w:rPr>
                <w:rFonts w:hint="eastAsia" w:ascii="仿宋" w:hAnsi="仿宋" w:eastAsia="仿宋"/>
                <w:sz w:val="18"/>
                <w:szCs w:val="18"/>
              </w:rPr>
              <w:t>玉雕工艺综合实训（4）、玉雕作品创作</w:t>
            </w:r>
          </w:p>
        </w:tc>
      </w:tr>
    </w:tbl>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（四）具有满足办学需要的实践教学设备、基地</w:t>
      </w:r>
    </w:p>
    <w:p>
      <w:pPr>
        <w:pStyle w:val="15"/>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sz w:val="32"/>
          <w:szCs w:val="32"/>
          <w:lang w:val="en-US" w:eastAsia="zh-CN"/>
        </w:rPr>
        <w:t>宝玉石鉴定与加工生产实训中心以实现教育教学过程与行业企业生产过程的深度融合为目标，在充分调研企业生产过程的前提下，与企业合作共建实验实训室10个，可开展22个实训及生产项目，服务于我院宝玉石鉴定与加工专业4个方向的学生实训以及首饰设计制作、珠宝玉石鉴定、玉石雕刻等合作企业的生产项目。在生产环节，企业主要以提供原材料的方式，实现公私合伙</w:t>
      </w:r>
      <w:r>
        <w:rPr>
          <w:rFonts w:hint="eastAsia" w:ascii="方正仿宋_GBK" w:hAnsi="方正仿宋_GBK" w:eastAsia="方正仿宋_GBK" w:cs="方正仿宋_GBK"/>
          <w:kern w:val="2"/>
          <w:sz w:val="32"/>
          <w:szCs w:val="32"/>
          <w:lang w:val="en-US" w:eastAsia="zh-CN" w:bidi="ar-SA"/>
        </w:rPr>
        <w:t>（PPP模式）的突破、建立利益共享、风险共担的伙伴关系，发挥校企各自优势，构建产业新体系。</w:t>
      </w:r>
    </w:p>
    <w:p>
      <w:pPr>
        <w:snapToGrid w:val="0"/>
        <w:spacing w:line="331" w:lineRule="auto"/>
        <w:jc w:val="center"/>
        <w:rPr>
          <w:rFonts w:hint="eastAsia" w:ascii="方正仿宋_GBK" w:hAnsi="方正仿宋_GBK" w:eastAsia="方正仿宋_GBK" w:cs="方正仿宋_GBK"/>
          <w:sz w:val="24"/>
          <w:szCs w:val="24"/>
        </w:rPr>
      </w:pPr>
    </w:p>
    <w:p>
      <w:pPr>
        <w:snapToGrid w:val="0"/>
        <w:spacing w:line="331" w:lineRule="auto"/>
        <w:jc w:val="cente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宝玉石鉴定与加工生产实训中心建设内容一览表</w:t>
      </w:r>
    </w:p>
    <w:tbl>
      <w:tblPr>
        <w:tblStyle w:val="7"/>
        <w:tblW w:w="8196" w:type="dxa"/>
        <w:jc w:val="center"/>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
      <w:tblGrid>
        <w:gridCol w:w="654"/>
        <w:gridCol w:w="2247"/>
        <w:gridCol w:w="3140"/>
        <w:gridCol w:w="850"/>
        <w:gridCol w:w="1305"/>
      </w:tblGrid>
      <w:tr>
        <w:tblPrEx>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654" w:type="dxa"/>
            <w:tcBorders>
              <w:top w:val="single" w:color="auto" w:sz="18" w:space="0"/>
              <w:bottom w:val="single" w:color="auto" w:sz="12" w:space="0"/>
            </w:tcBorders>
            <w:vAlign w:val="center"/>
          </w:tcPr>
          <w:p>
            <w:pPr>
              <w:jc w:val="center"/>
              <w:outlineLvl w:val="5"/>
              <w:rPr>
                <w:rFonts w:hint="eastAsia" w:ascii="方正仿宋_GBK" w:hAnsi="方正仿宋_GBK" w:eastAsia="方正仿宋_GBK" w:cs="方正仿宋_GBK"/>
                <w:b/>
                <w:sz w:val="24"/>
                <w:szCs w:val="24"/>
              </w:rPr>
            </w:pPr>
            <w:r>
              <w:rPr>
                <w:rFonts w:hint="eastAsia" w:ascii="方正仿宋_GBK" w:hAnsi="方正仿宋_GBK" w:eastAsia="方正仿宋_GBK" w:cs="方正仿宋_GBK"/>
                <w:b/>
                <w:sz w:val="24"/>
                <w:szCs w:val="24"/>
              </w:rPr>
              <w:t>序号</w:t>
            </w:r>
          </w:p>
        </w:tc>
        <w:tc>
          <w:tcPr>
            <w:tcW w:w="2247" w:type="dxa"/>
            <w:tcBorders>
              <w:top w:val="single" w:color="auto" w:sz="18" w:space="0"/>
              <w:bottom w:val="single" w:color="auto" w:sz="12" w:space="0"/>
            </w:tcBorders>
            <w:vAlign w:val="center"/>
          </w:tcPr>
          <w:p>
            <w:pPr>
              <w:jc w:val="center"/>
              <w:outlineLvl w:val="5"/>
              <w:rPr>
                <w:rFonts w:hint="eastAsia" w:ascii="方正仿宋_GBK" w:hAnsi="方正仿宋_GBK" w:eastAsia="方正仿宋_GBK" w:cs="方正仿宋_GBK"/>
                <w:b/>
                <w:sz w:val="24"/>
                <w:szCs w:val="24"/>
              </w:rPr>
            </w:pPr>
            <w:r>
              <w:rPr>
                <w:rFonts w:hint="eastAsia" w:ascii="方正仿宋_GBK" w:hAnsi="方正仿宋_GBK" w:eastAsia="方正仿宋_GBK" w:cs="方正仿宋_GBK"/>
                <w:b/>
                <w:sz w:val="24"/>
                <w:szCs w:val="24"/>
              </w:rPr>
              <w:t>实训室名称</w:t>
            </w:r>
          </w:p>
        </w:tc>
        <w:tc>
          <w:tcPr>
            <w:tcW w:w="3140" w:type="dxa"/>
            <w:tcBorders>
              <w:top w:val="single" w:color="auto" w:sz="18" w:space="0"/>
              <w:bottom w:val="single" w:color="auto" w:sz="12" w:space="0"/>
            </w:tcBorders>
            <w:vAlign w:val="center"/>
          </w:tcPr>
          <w:p>
            <w:pPr>
              <w:jc w:val="center"/>
              <w:outlineLvl w:val="5"/>
              <w:rPr>
                <w:rFonts w:hint="eastAsia" w:ascii="方正仿宋_GBK" w:hAnsi="方正仿宋_GBK" w:eastAsia="方正仿宋_GBK" w:cs="方正仿宋_GBK"/>
                <w:b/>
                <w:sz w:val="24"/>
                <w:szCs w:val="24"/>
              </w:rPr>
            </w:pPr>
            <w:r>
              <w:rPr>
                <w:rFonts w:hint="eastAsia" w:ascii="方正仿宋_GBK" w:hAnsi="方正仿宋_GBK" w:eastAsia="方正仿宋_GBK" w:cs="方正仿宋_GBK"/>
                <w:b/>
                <w:sz w:val="24"/>
                <w:szCs w:val="24"/>
              </w:rPr>
              <w:t>服务专业</w:t>
            </w:r>
          </w:p>
        </w:tc>
        <w:tc>
          <w:tcPr>
            <w:tcW w:w="850" w:type="dxa"/>
            <w:tcBorders>
              <w:top w:val="single" w:color="auto" w:sz="18" w:space="0"/>
              <w:bottom w:val="single" w:color="auto" w:sz="12" w:space="0"/>
            </w:tcBorders>
            <w:vAlign w:val="center"/>
          </w:tcPr>
          <w:p>
            <w:pPr>
              <w:jc w:val="center"/>
              <w:outlineLvl w:val="5"/>
              <w:rPr>
                <w:rFonts w:hint="eastAsia" w:ascii="方正仿宋_GBK" w:hAnsi="方正仿宋_GBK" w:eastAsia="方正仿宋_GBK" w:cs="方正仿宋_GBK"/>
                <w:b/>
                <w:sz w:val="24"/>
                <w:szCs w:val="24"/>
              </w:rPr>
            </w:pPr>
            <w:r>
              <w:rPr>
                <w:rFonts w:hint="eastAsia" w:ascii="方正仿宋_GBK" w:hAnsi="方正仿宋_GBK" w:eastAsia="方正仿宋_GBK" w:cs="方正仿宋_GBK"/>
                <w:b/>
                <w:sz w:val="24"/>
                <w:szCs w:val="24"/>
              </w:rPr>
              <w:t>工位数</w:t>
            </w:r>
          </w:p>
        </w:tc>
        <w:tc>
          <w:tcPr>
            <w:tcW w:w="1305" w:type="dxa"/>
            <w:tcBorders>
              <w:top w:val="single" w:color="auto" w:sz="18" w:space="0"/>
              <w:bottom w:val="single" w:color="auto" w:sz="12" w:space="0"/>
            </w:tcBorders>
            <w:vAlign w:val="center"/>
          </w:tcPr>
          <w:p>
            <w:pPr>
              <w:jc w:val="center"/>
              <w:outlineLvl w:val="5"/>
              <w:rPr>
                <w:rFonts w:hint="eastAsia" w:ascii="方正仿宋_GBK" w:hAnsi="方正仿宋_GBK" w:eastAsia="方正仿宋_GBK" w:cs="方正仿宋_GBK"/>
                <w:b/>
                <w:sz w:val="24"/>
                <w:szCs w:val="24"/>
              </w:rPr>
            </w:pPr>
            <w:r>
              <w:rPr>
                <w:rFonts w:hint="eastAsia" w:ascii="方正仿宋_GBK" w:hAnsi="方正仿宋_GBK" w:eastAsia="方正仿宋_GBK" w:cs="方正仿宋_GBK"/>
                <w:b/>
                <w:sz w:val="24"/>
                <w:szCs w:val="24"/>
              </w:rPr>
              <w:t>设备台套数</w:t>
            </w:r>
          </w:p>
        </w:tc>
      </w:tr>
      <w:tr>
        <w:tblPrEx>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654" w:type="dxa"/>
            <w:tcBorders>
              <w:top w:val="single" w:color="auto" w:sz="12" w:space="0"/>
            </w:tcBorders>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1</w:t>
            </w:r>
          </w:p>
        </w:tc>
        <w:tc>
          <w:tcPr>
            <w:tcW w:w="2247" w:type="dxa"/>
            <w:tcBorders>
              <w:top w:val="single" w:color="auto" w:sz="12" w:space="0"/>
            </w:tcBorders>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钻石分级室</w:t>
            </w:r>
          </w:p>
        </w:tc>
        <w:tc>
          <w:tcPr>
            <w:tcW w:w="3140" w:type="dxa"/>
            <w:tcBorders>
              <w:top w:val="single" w:color="auto" w:sz="12" w:space="0"/>
            </w:tcBorders>
          </w:tcPr>
          <w:p>
            <w:pP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宝玉石鉴定与加工技术（加工、鉴定、营销方向）</w:t>
            </w:r>
          </w:p>
        </w:tc>
        <w:tc>
          <w:tcPr>
            <w:tcW w:w="850" w:type="dxa"/>
            <w:tcBorders>
              <w:top w:val="single" w:color="auto" w:sz="12" w:space="0"/>
            </w:tcBorders>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60</w:t>
            </w:r>
          </w:p>
        </w:tc>
        <w:tc>
          <w:tcPr>
            <w:tcW w:w="1305" w:type="dxa"/>
            <w:tcBorders>
              <w:top w:val="single" w:color="auto" w:sz="12" w:space="0"/>
            </w:tcBorders>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145</w:t>
            </w:r>
          </w:p>
        </w:tc>
      </w:tr>
      <w:tr>
        <w:tblPrEx>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654"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2</w:t>
            </w:r>
          </w:p>
        </w:tc>
        <w:tc>
          <w:tcPr>
            <w:tcW w:w="2247"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贵金属检验室</w:t>
            </w:r>
          </w:p>
        </w:tc>
        <w:tc>
          <w:tcPr>
            <w:tcW w:w="3140" w:type="dxa"/>
          </w:tcPr>
          <w:p>
            <w:pP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宝玉石鉴定与加工技术（加工、鉴定、营销方向）</w:t>
            </w:r>
          </w:p>
        </w:tc>
        <w:tc>
          <w:tcPr>
            <w:tcW w:w="850"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60</w:t>
            </w:r>
          </w:p>
        </w:tc>
        <w:tc>
          <w:tcPr>
            <w:tcW w:w="1305"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14</w:t>
            </w:r>
          </w:p>
        </w:tc>
      </w:tr>
      <w:tr>
        <w:tblPrEx>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654"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3</w:t>
            </w:r>
          </w:p>
        </w:tc>
        <w:tc>
          <w:tcPr>
            <w:tcW w:w="2247"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宝玉石鉴定部（云南省文化艺术品鉴定评估中心—科研创新基地）</w:t>
            </w:r>
          </w:p>
        </w:tc>
        <w:tc>
          <w:tcPr>
            <w:tcW w:w="3140" w:type="dxa"/>
          </w:tcPr>
          <w:p>
            <w:pP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宝玉石鉴定与加工技术（加工、鉴定、营销、设计方向）</w:t>
            </w:r>
          </w:p>
        </w:tc>
        <w:tc>
          <w:tcPr>
            <w:tcW w:w="850"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60</w:t>
            </w:r>
          </w:p>
        </w:tc>
        <w:tc>
          <w:tcPr>
            <w:tcW w:w="1305"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353</w:t>
            </w:r>
          </w:p>
        </w:tc>
      </w:tr>
      <w:tr>
        <w:tblPrEx>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654"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4</w:t>
            </w:r>
          </w:p>
        </w:tc>
        <w:tc>
          <w:tcPr>
            <w:tcW w:w="2247"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首饰设计室</w:t>
            </w:r>
          </w:p>
        </w:tc>
        <w:tc>
          <w:tcPr>
            <w:tcW w:w="3140" w:type="dxa"/>
          </w:tcPr>
          <w:p>
            <w:pP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宝玉石鉴定与加工技术（加工、鉴定、设计、营销方向）</w:t>
            </w:r>
          </w:p>
        </w:tc>
        <w:tc>
          <w:tcPr>
            <w:tcW w:w="850"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60</w:t>
            </w:r>
          </w:p>
        </w:tc>
        <w:tc>
          <w:tcPr>
            <w:tcW w:w="1305"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27</w:t>
            </w:r>
          </w:p>
        </w:tc>
      </w:tr>
      <w:tr>
        <w:tblPrEx>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654"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5</w:t>
            </w:r>
          </w:p>
        </w:tc>
        <w:tc>
          <w:tcPr>
            <w:tcW w:w="2247"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首饰制造工艺室</w:t>
            </w:r>
          </w:p>
        </w:tc>
        <w:tc>
          <w:tcPr>
            <w:tcW w:w="3140" w:type="dxa"/>
          </w:tcPr>
          <w:p>
            <w:pP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宝玉石鉴定与加工技术（加工、鉴定、营销方向）</w:t>
            </w:r>
          </w:p>
        </w:tc>
        <w:tc>
          <w:tcPr>
            <w:tcW w:w="850"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60</w:t>
            </w:r>
          </w:p>
        </w:tc>
        <w:tc>
          <w:tcPr>
            <w:tcW w:w="1305"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130</w:t>
            </w:r>
          </w:p>
        </w:tc>
      </w:tr>
      <w:tr>
        <w:tblPrEx>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654"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6</w:t>
            </w:r>
          </w:p>
        </w:tc>
        <w:tc>
          <w:tcPr>
            <w:tcW w:w="2247"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镶石工艺室</w:t>
            </w:r>
          </w:p>
        </w:tc>
        <w:tc>
          <w:tcPr>
            <w:tcW w:w="3140" w:type="dxa"/>
          </w:tcPr>
          <w:p>
            <w:pP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宝玉石鉴定与加工技术（加工、鉴定、营销方向）</w:t>
            </w:r>
          </w:p>
        </w:tc>
        <w:tc>
          <w:tcPr>
            <w:tcW w:w="850"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60</w:t>
            </w:r>
          </w:p>
        </w:tc>
        <w:tc>
          <w:tcPr>
            <w:tcW w:w="1305"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148</w:t>
            </w:r>
          </w:p>
        </w:tc>
      </w:tr>
      <w:tr>
        <w:tblPrEx>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654"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7</w:t>
            </w:r>
          </w:p>
        </w:tc>
        <w:tc>
          <w:tcPr>
            <w:tcW w:w="2247"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微镶室</w:t>
            </w:r>
          </w:p>
        </w:tc>
        <w:tc>
          <w:tcPr>
            <w:tcW w:w="3140" w:type="dxa"/>
          </w:tcPr>
          <w:p>
            <w:pP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宝玉石鉴定与加工技术（加工、鉴定、营销方向）</w:t>
            </w:r>
          </w:p>
        </w:tc>
        <w:tc>
          <w:tcPr>
            <w:tcW w:w="850"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60</w:t>
            </w:r>
          </w:p>
        </w:tc>
        <w:tc>
          <w:tcPr>
            <w:tcW w:w="1305"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156</w:t>
            </w:r>
          </w:p>
        </w:tc>
      </w:tr>
      <w:tr>
        <w:tblPrEx>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654"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8</w:t>
            </w:r>
          </w:p>
        </w:tc>
        <w:tc>
          <w:tcPr>
            <w:tcW w:w="2247"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宝石琢型室</w:t>
            </w:r>
          </w:p>
        </w:tc>
        <w:tc>
          <w:tcPr>
            <w:tcW w:w="3140" w:type="dxa"/>
          </w:tcPr>
          <w:p>
            <w:pP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宝玉石鉴定与加工技术（加工、鉴定、营销方向）</w:t>
            </w:r>
          </w:p>
        </w:tc>
        <w:tc>
          <w:tcPr>
            <w:tcW w:w="850"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60</w:t>
            </w:r>
          </w:p>
        </w:tc>
        <w:tc>
          <w:tcPr>
            <w:tcW w:w="1305"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170</w:t>
            </w:r>
          </w:p>
        </w:tc>
      </w:tr>
      <w:tr>
        <w:tblPrEx>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654"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9</w:t>
            </w:r>
          </w:p>
        </w:tc>
        <w:tc>
          <w:tcPr>
            <w:tcW w:w="2247"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数控（CNC）工艺室</w:t>
            </w:r>
          </w:p>
        </w:tc>
        <w:tc>
          <w:tcPr>
            <w:tcW w:w="3140" w:type="dxa"/>
          </w:tcPr>
          <w:p>
            <w:pP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宝玉石鉴定与加工技术（加工、鉴定、营销方向）</w:t>
            </w:r>
          </w:p>
        </w:tc>
        <w:tc>
          <w:tcPr>
            <w:tcW w:w="850"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10</w:t>
            </w:r>
          </w:p>
        </w:tc>
        <w:tc>
          <w:tcPr>
            <w:tcW w:w="1305" w:type="dxa"/>
            <w:vAlign w:val="center"/>
          </w:tcPr>
          <w:p>
            <w:pPr>
              <w:jc w:val="cente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74</w:t>
            </w:r>
          </w:p>
        </w:tc>
      </w:tr>
      <w:tr>
        <w:tblPrEx>
          <w:tblBorders>
            <w:top w:val="single" w:color="auto" w:sz="18" w:space="0"/>
            <w:left w:val="none" w:color="auto" w:sz="0" w:space="0"/>
            <w:bottom w:val="single" w:color="auto" w:sz="18"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10" w:hRule="atLeast"/>
          <w:jc w:val="center"/>
        </w:trPr>
        <w:tc>
          <w:tcPr>
            <w:tcW w:w="654"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10</w:t>
            </w:r>
          </w:p>
        </w:tc>
        <w:tc>
          <w:tcPr>
            <w:tcW w:w="2247"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玉雕工艺室</w:t>
            </w:r>
          </w:p>
        </w:tc>
        <w:tc>
          <w:tcPr>
            <w:tcW w:w="3140" w:type="dxa"/>
          </w:tcPr>
          <w:p>
            <w:pPr>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宝玉石鉴定与加工技术（加工、鉴定、营销方向）</w:t>
            </w:r>
          </w:p>
        </w:tc>
        <w:tc>
          <w:tcPr>
            <w:tcW w:w="850"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60</w:t>
            </w:r>
          </w:p>
        </w:tc>
        <w:tc>
          <w:tcPr>
            <w:tcW w:w="1305" w:type="dxa"/>
            <w:vAlign w:val="center"/>
          </w:tcPr>
          <w:p>
            <w:pPr>
              <w:jc w:val="center"/>
              <w:outlineLvl w:val="5"/>
              <w:rPr>
                <w:rFonts w:hint="eastAsia"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74</w:t>
            </w:r>
          </w:p>
        </w:tc>
      </w:tr>
    </w:tbl>
    <w:p>
      <w:pPr>
        <w:spacing w:line="600" w:lineRule="exact"/>
        <w:ind w:firstLine="3000" w:firstLineChars="1000"/>
        <w:rPr>
          <w:rFonts w:hint="eastAsia" w:ascii="方正仿宋_GBK" w:hAnsi="方正仿宋_GBK" w:eastAsia="方正仿宋_GBK" w:cs="方正仿宋_GBK"/>
          <w:b/>
          <w:bCs/>
          <w:sz w:val="30"/>
          <w:szCs w:val="30"/>
        </w:rPr>
      </w:pPr>
      <w:r>
        <w:rPr>
          <w:rFonts w:hint="eastAsia" w:ascii="方正仿宋_GBK" w:hAnsi="方正仿宋_GBK" w:eastAsia="方正仿宋_GBK" w:cs="方正仿宋_GBK"/>
          <w:b w:val="0"/>
          <w:bCs w:val="0"/>
          <w:sz w:val="30"/>
          <w:szCs w:val="30"/>
        </w:rPr>
        <w:t>校外实践教学基地</w:t>
      </w:r>
    </w:p>
    <w:tbl>
      <w:tblPr>
        <w:tblStyle w:val="8"/>
        <w:tblW w:w="8797" w:type="dxa"/>
        <w:tblInd w:w="-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962"/>
        <w:gridCol w:w="1008"/>
        <w:gridCol w:w="1039"/>
        <w:gridCol w:w="708"/>
        <w:gridCol w:w="1037"/>
        <w:gridCol w:w="916"/>
        <w:gridCol w:w="8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263" w:type="dxa"/>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b w:val="0"/>
                <w:bCs w:val="0"/>
                <w:sz w:val="28"/>
                <w:szCs w:val="28"/>
              </w:rPr>
            </w:pPr>
            <w:r>
              <w:rPr>
                <w:rFonts w:hint="eastAsia" w:ascii="方正仿宋_GBK" w:hAnsi="方正仿宋_GBK" w:eastAsia="方正仿宋_GBK" w:cs="方正仿宋_GBK"/>
                <w:b w:val="0"/>
                <w:bCs w:val="0"/>
                <w:sz w:val="28"/>
                <w:szCs w:val="28"/>
              </w:rPr>
              <w:t>合作企业名称</w:t>
            </w:r>
          </w:p>
        </w:tc>
        <w:tc>
          <w:tcPr>
            <w:tcW w:w="962" w:type="dxa"/>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b w:val="0"/>
                <w:bCs w:val="0"/>
                <w:sz w:val="28"/>
                <w:szCs w:val="28"/>
              </w:rPr>
            </w:pPr>
            <w:r>
              <w:rPr>
                <w:rFonts w:hint="eastAsia" w:ascii="方正仿宋_GBK" w:hAnsi="方正仿宋_GBK" w:eastAsia="方正仿宋_GBK" w:cs="方正仿宋_GBK"/>
                <w:b w:val="0"/>
                <w:bCs w:val="0"/>
                <w:sz w:val="28"/>
                <w:szCs w:val="28"/>
              </w:rPr>
              <w:t>建立时间</w:t>
            </w:r>
          </w:p>
        </w:tc>
        <w:tc>
          <w:tcPr>
            <w:tcW w:w="10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b w:val="0"/>
                <w:bCs w:val="0"/>
              </w:rPr>
            </w:pPr>
            <w:r>
              <w:rPr>
                <w:rFonts w:hint="eastAsia" w:ascii="方正仿宋_GBK" w:hAnsi="方正仿宋_GBK" w:eastAsia="方正仿宋_GBK" w:cs="方正仿宋_GBK"/>
                <w:b w:val="0"/>
                <w:bCs w:val="0"/>
              </w:rPr>
              <w:t>企业投入资金(万元)</w:t>
            </w:r>
          </w:p>
        </w:tc>
        <w:tc>
          <w:tcPr>
            <w:tcW w:w="1039"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b w:val="0"/>
                <w:bCs w:val="0"/>
              </w:rPr>
            </w:pPr>
            <w:r>
              <w:rPr>
                <w:rFonts w:hint="eastAsia" w:ascii="方正仿宋_GBK" w:hAnsi="方正仿宋_GBK" w:eastAsia="方正仿宋_GBK" w:cs="方正仿宋_GBK"/>
                <w:b w:val="0"/>
                <w:bCs w:val="0"/>
              </w:rPr>
              <w:t>企业投入场地面积(㎡)</w:t>
            </w:r>
          </w:p>
        </w:tc>
        <w:tc>
          <w:tcPr>
            <w:tcW w:w="7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b w:val="0"/>
                <w:bCs w:val="0"/>
              </w:rPr>
            </w:pPr>
            <w:r>
              <w:rPr>
                <w:rFonts w:hint="eastAsia" w:ascii="方正仿宋_GBK" w:hAnsi="方正仿宋_GBK" w:eastAsia="方正仿宋_GBK" w:cs="方正仿宋_GBK"/>
                <w:b w:val="0"/>
                <w:bCs w:val="0"/>
              </w:rPr>
              <w:t>设备数量(台、套)</w:t>
            </w:r>
          </w:p>
        </w:tc>
        <w:tc>
          <w:tcPr>
            <w:tcW w:w="1037"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b w:val="0"/>
                <w:bCs w:val="0"/>
              </w:rPr>
            </w:pPr>
            <w:r>
              <w:rPr>
                <w:rFonts w:hint="eastAsia" w:ascii="方正仿宋_GBK" w:hAnsi="方正仿宋_GBK" w:eastAsia="方正仿宋_GBK" w:cs="方正仿宋_GBK"/>
                <w:b w:val="0"/>
                <w:bCs w:val="0"/>
              </w:rPr>
              <w:t>实训项目名称</w:t>
            </w:r>
          </w:p>
        </w:tc>
        <w:tc>
          <w:tcPr>
            <w:tcW w:w="916"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b w:val="0"/>
                <w:bCs w:val="0"/>
              </w:rPr>
            </w:pPr>
            <w:r>
              <w:rPr>
                <w:rFonts w:hint="eastAsia" w:ascii="方正仿宋_GBK" w:hAnsi="方正仿宋_GBK" w:eastAsia="方正仿宋_GBK" w:cs="方正仿宋_GBK"/>
                <w:b w:val="0"/>
                <w:bCs w:val="0"/>
              </w:rPr>
              <w:t>每次可接纳学生数(人)</w:t>
            </w:r>
          </w:p>
        </w:tc>
        <w:tc>
          <w:tcPr>
            <w:tcW w:w="864"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b w:val="0"/>
                <w:bCs w:val="0"/>
              </w:rPr>
            </w:pPr>
            <w:r>
              <w:rPr>
                <w:rFonts w:hint="eastAsia" w:ascii="方正仿宋_GBK" w:hAnsi="方正仿宋_GBK" w:eastAsia="方正仿宋_GBK" w:cs="方正仿宋_GBK"/>
                <w:b w:val="0"/>
                <w:bCs w:val="0"/>
              </w:rPr>
              <w:t>每年接纳学生总数(人次)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2263" w:type="dxa"/>
            <w:noWrap/>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rPr>
              <w:t>德宏州姐告玉城实业有限责任公司</w:t>
            </w:r>
          </w:p>
        </w:tc>
        <w:tc>
          <w:tcPr>
            <w:tcW w:w="962" w:type="dxa"/>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rPr>
              <w:t>201年10月</w:t>
            </w:r>
          </w:p>
        </w:tc>
        <w:tc>
          <w:tcPr>
            <w:tcW w:w="10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20</w:t>
            </w:r>
          </w:p>
        </w:tc>
        <w:tc>
          <w:tcPr>
            <w:tcW w:w="1039"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1000</w:t>
            </w:r>
          </w:p>
        </w:tc>
        <w:tc>
          <w:tcPr>
            <w:tcW w:w="7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100</w:t>
            </w:r>
          </w:p>
        </w:tc>
        <w:tc>
          <w:tcPr>
            <w:tcW w:w="1037"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珠宝营销、珠宝电子商务</w:t>
            </w:r>
          </w:p>
        </w:tc>
        <w:tc>
          <w:tcPr>
            <w:tcW w:w="916"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10</w:t>
            </w:r>
          </w:p>
        </w:tc>
        <w:tc>
          <w:tcPr>
            <w:tcW w:w="864"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2263" w:type="dxa"/>
            <w:noWrap/>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rPr>
              <w:t>龙陵县福建华盛玉雕创意厂</w:t>
            </w:r>
          </w:p>
        </w:tc>
        <w:tc>
          <w:tcPr>
            <w:tcW w:w="962" w:type="dxa"/>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rPr>
              <w:t>2015年10月</w:t>
            </w:r>
          </w:p>
        </w:tc>
        <w:tc>
          <w:tcPr>
            <w:tcW w:w="10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30</w:t>
            </w:r>
          </w:p>
        </w:tc>
        <w:tc>
          <w:tcPr>
            <w:tcW w:w="1039"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1000</w:t>
            </w:r>
          </w:p>
        </w:tc>
        <w:tc>
          <w:tcPr>
            <w:tcW w:w="7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250</w:t>
            </w:r>
          </w:p>
        </w:tc>
        <w:tc>
          <w:tcPr>
            <w:tcW w:w="1037"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玉雕</w:t>
            </w:r>
          </w:p>
        </w:tc>
        <w:tc>
          <w:tcPr>
            <w:tcW w:w="916"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20</w:t>
            </w:r>
          </w:p>
        </w:tc>
        <w:tc>
          <w:tcPr>
            <w:tcW w:w="864"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2263" w:type="dxa"/>
            <w:noWrap/>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rPr>
              <w:t>瑞丽市荣丰民族文化传播有限公司</w:t>
            </w:r>
          </w:p>
        </w:tc>
        <w:tc>
          <w:tcPr>
            <w:tcW w:w="962" w:type="dxa"/>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rPr>
              <w:t>2024年1月</w:t>
            </w:r>
          </w:p>
        </w:tc>
        <w:tc>
          <w:tcPr>
            <w:tcW w:w="10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50</w:t>
            </w:r>
          </w:p>
        </w:tc>
        <w:tc>
          <w:tcPr>
            <w:tcW w:w="1039"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1200</w:t>
            </w:r>
          </w:p>
        </w:tc>
        <w:tc>
          <w:tcPr>
            <w:tcW w:w="7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20</w:t>
            </w:r>
          </w:p>
        </w:tc>
        <w:tc>
          <w:tcPr>
            <w:tcW w:w="1037"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文创设计</w:t>
            </w:r>
          </w:p>
        </w:tc>
        <w:tc>
          <w:tcPr>
            <w:tcW w:w="916"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50</w:t>
            </w:r>
          </w:p>
        </w:tc>
        <w:tc>
          <w:tcPr>
            <w:tcW w:w="864"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2263" w:type="dxa"/>
            <w:noWrap/>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rPr>
              <w:t>瑞丽市点土文化创意设计有限公司</w:t>
            </w:r>
          </w:p>
        </w:tc>
        <w:tc>
          <w:tcPr>
            <w:tcW w:w="962" w:type="dxa"/>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rPr>
              <w:t>2024年1月</w:t>
            </w:r>
          </w:p>
        </w:tc>
        <w:tc>
          <w:tcPr>
            <w:tcW w:w="10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70</w:t>
            </w:r>
          </w:p>
        </w:tc>
        <w:tc>
          <w:tcPr>
            <w:tcW w:w="1039"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2300</w:t>
            </w:r>
          </w:p>
        </w:tc>
        <w:tc>
          <w:tcPr>
            <w:tcW w:w="7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40</w:t>
            </w:r>
          </w:p>
        </w:tc>
        <w:tc>
          <w:tcPr>
            <w:tcW w:w="1037"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文创设计、玉雕实训</w:t>
            </w:r>
          </w:p>
        </w:tc>
        <w:tc>
          <w:tcPr>
            <w:tcW w:w="916"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50</w:t>
            </w:r>
          </w:p>
        </w:tc>
        <w:tc>
          <w:tcPr>
            <w:tcW w:w="864"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263" w:type="dxa"/>
            <w:noWrap/>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rPr>
              <w:t>瑞丽市玉塑尘埃玉雕工作室</w:t>
            </w:r>
          </w:p>
        </w:tc>
        <w:tc>
          <w:tcPr>
            <w:tcW w:w="962" w:type="dxa"/>
            <w:vAlign w:val="center"/>
          </w:tcPr>
          <w:p>
            <w:pPr>
              <w:keepNext w:val="0"/>
              <w:keepLines w:val="0"/>
              <w:pageBreakBefore w:val="0"/>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rPr>
              <w:t>2024年1月</w:t>
            </w:r>
          </w:p>
        </w:tc>
        <w:tc>
          <w:tcPr>
            <w:tcW w:w="10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10</w:t>
            </w:r>
          </w:p>
        </w:tc>
        <w:tc>
          <w:tcPr>
            <w:tcW w:w="1039"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200</w:t>
            </w:r>
          </w:p>
        </w:tc>
        <w:tc>
          <w:tcPr>
            <w:tcW w:w="708"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36</w:t>
            </w:r>
          </w:p>
        </w:tc>
        <w:tc>
          <w:tcPr>
            <w:tcW w:w="1037"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玉石雕刻</w:t>
            </w:r>
          </w:p>
        </w:tc>
        <w:tc>
          <w:tcPr>
            <w:tcW w:w="916"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5</w:t>
            </w:r>
          </w:p>
        </w:tc>
        <w:tc>
          <w:tcPr>
            <w:tcW w:w="864" w:type="dxa"/>
            <w:vAlign w:val="center"/>
          </w:tcPr>
          <w:p>
            <w:pPr>
              <w:keepNext w:val="0"/>
              <w:keepLines w:val="0"/>
              <w:pageBreakBefore w:val="0"/>
              <w:widowControl/>
              <w:kinsoku/>
              <w:wordWrap/>
              <w:overflowPunct/>
              <w:topLinePunct w:val="0"/>
              <w:autoSpaceDE/>
              <w:autoSpaceDN/>
              <w:bidi w:val="0"/>
              <w:adjustRightInd/>
              <w:snapToGrid/>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000000"/>
                <w:sz w:val="22"/>
              </w:rPr>
              <w:t>5</w:t>
            </w:r>
          </w:p>
        </w:tc>
      </w:tr>
    </w:tbl>
    <w:p>
      <w:pPr>
        <w:rPr>
          <w:rFonts w:hint="eastAsia"/>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四、发展前景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kern w:val="2"/>
          <w:sz w:val="32"/>
          <w:szCs w:val="32"/>
          <w:lang w:val="en-US" w:eastAsia="zh-CN" w:bidi="ar-SA"/>
        </w:rPr>
        <w:t>随着国内珠宝市场的不断扩大和规范化，人们生活水平的不断提升以及消费者对珠宝玉石品质和文化内涵的日益重视，宝玉石鉴定与加工行业的市场潜力巨大。未来，该行业将继续保持快速增长的态势，为宝玉石鉴定与加工专业的学生提供更多的就业机会和发展空间。同时，随着科技的进步和互联网的普及，线上珠宝玉石鉴定和交易平台也将迎来爆发式增长，为毕业生提供了更多的创业机会和发展空间，宝玉石鉴定与加工专业具有广阔的发展前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五、结论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kern w:val="2"/>
          <w:sz w:val="32"/>
          <w:szCs w:val="32"/>
          <w:lang w:val="en-US" w:eastAsia="zh-CN" w:bidi="ar-SA"/>
        </w:rPr>
        <w:t>为满足珠宝玉石产业对宝玉石鉴定、营销、设计加工类专业人才的需要，根据教育部颁发的《普通高等学校高职高专教育指导性专业目录》，学院结合自身办学条件、师资队伍状况、专业建设和招生规模的特点，经过认真准备，在充分调查、研究和论证的前提下，认为在财经旅游学院开设宝玉石鉴定与加工专业是必要的也是可行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仿宋_GBK" w:hAnsi="方正仿宋_GBK" w:eastAsia="方正仿宋_GBK" w:cs="方正仿宋_GBK"/>
          <w:kern w:val="2"/>
          <w:sz w:val="32"/>
          <w:szCs w:val="32"/>
          <w:lang w:val="en-US" w:eastAsia="zh-CN" w:bidi="ar-SA"/>
        </w:rPr>
      </w:pPr>
    </w:p>
    <w:sectPr>
      <w:type w:val="continuous"/>
      <w:pgSz w:w="11900" w:h="16840"/>
      <w:pgMar w:top="1426" w:right="1698" w:bottom="992" w:left="1799"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宋体"/>
    <w:panose1 w:val="02010600030101010101"/>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AFF" w:usb1="C0007843" w:usb2="00000009" w:usb3="00000000" w:csb0="400001FF" w:csb1="FFFF0000"/>
  </w:font>
  <w:font w:name="方正仿宋_GBK">
    <w:panose1 w:val="02000000000000000000"/>
    <w:charset w:val="86"/>
    <w:family w:val="auto"/>
    <w:pitch w:val="default"/>
    <w:sig w:usb0="A00002BF" w:usb1="38CF7CFA" w:usb2="00082016" w:usb3="00000000" w:csb0="00040001" w:csb1="00000000"/>
  </w:font>
  <w:font w:name="仿宋">
    <w:panose1 w:val="02010609060101010101"/>
    <w:charset w:val="86"/>
    <w:family w:val="modern"/>
    <w:pitch w:val="default"/>
    <w:sig w:usb0="800002BF" w:usb1="38CF7CFA" w:usb2="00000016" w:usb3="00000000" w:csb0="00040001" w:csb1="00000000"/>
  </w:font>
  <w:font w:name="Kaiti SC">
    <w:altName w:val="Microsoft JhengHei"/>
    <w:panose1 w:val="00000000000000000000"/>
    <w:charset w:val="88"/>
    <w:family w:val="auto"/>
    <w:pitch w:val="default"/>
    <w:sig w:usb0="00000000" w:usb1="00000000" w:usb2="00000010" w:usb3="00000000" w:csb0="00100000" w:csb1="00000000"/>
  </w:font>
  <w:font w:name="Songti SC">
    <w:altName w:val="Microsoft JhengHei"/>
    <w:panose1 w:val="00000000000000000000"/>
    <w:charset w:val="88"/>
    <w:family w:val="auto"/>
    <w:pitch w:val="default"/>
    <w:sig w:usb0="00000000" w:usb1="00000000" w:usb2="00000010" w:usb3="00000000" w:csb0="00100000" w:csb1="00000000"/>
  </w:font>
  <w:font w:name="Arial Unicode MS">
    <w:panose1 w:val="020B0604020202020204"/>
    <w:charset w:val="86"/>
    <w:family w:val="auto"/>
    <w:pitch w:val="default"/>
    <w:sig w:usb0="FFFFFFFF" w:usb1="E9FFFFFF" w:usb2="0000003F" w:usb3="00000000" w:csb0="603F01FF" w:csb1="FFFF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JhengHei">
    <w:panose1 w:val="020B0604030504040204"/>
    <w:charset w:val="88"/>
    <w:family w:val="auto"/>
    <w:pitch w:val="default"/>
    <w:sig w:usb0="00000087" w:usb1="28AF4000" w:usb2="00000016" w:usb3="00000000" w:csb0="00100009" w:csb1="00000000"/>
  </w:font>
  <w:font w:name="方正楷体_GBK">
    <w:panose1 w:val="02000000000000000000"/>
    <w:charset w:val="86"/>
    <w:family w:val="auto"/>
    <w:pitch w:val="default"/>
    <w:sig w:usb0="A00002BF" w:usb1="38CF7CFA" w:usb2="00082016" w:usb3="00000000" w:csb0="00040001" w:csb1="00000000"/>
  </w:font>
  <w:font w:name="方正小标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isplayHorizontalDrawingGridEvery w:val="1"/>
  <w:displayVerticalDrawingGridEvery w:val="1"/>
  <w:noPunctuationKerning w:val="1"/>
  <w:characterSpacingControl w:val="doNotCompress"/>
  <w:compat>
    <w:spaceForUL/>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BhZDVkOWE5YjA5YzExYTFkMDQ5MmEwM2UwNGUyOTgifQ=="/>
  </w:docVars>
  <w:rsids>
    <w:rsidRoot w:val="007506BE"/>
    <w:rsid w:val="00065B94"/>
    <w:rsid w:val="00076331"/>
    <w:rsid w:val="000B2B85"/>
    <w:rsid w:val="0011276D"/>
    <w:rsid w:val="001650D3"/>
    <w:rsid w:val="001C0E15"/>
    <w:rsid w:val="002B50DA"/>
    <w:rsid w:val="002F0423"/>
    <w:rsid w:val="003210D9"/>
    <w:rsid w:val="004B1AEF"/>
    <w:rsid w:val="004B477B"/>
    <w:rsid w:val="0056206A"/>
    <w:rsid w:val="005A5F9E"/>
    <w:rsid w:val="00664A58"/>
    <w:rsid w:val="0068514F"/>
    <w:rsid w:val="006F6CE1"/>
    <w:rsid w:val="007322DA"/>
    <w:rsid w:val="007506BE"/>
    <w:rsid w:val="007A2681"/>
    <w:rsid w:val="007D3498"/>
    <w:rsid w:val="00895871"/>
    <w:rsid w:val="008B18AB"/>
    <w:rsid w:val="008C209E"/>
    <w:rsid w:val="00900711"/>
    <w:rsid w:val="00916D63"/>
    <w:rsid w:val="009172FE"/>
    <w:rsid w:val="0095485C"/>
    <w:rsid w:val="009C19B1"/>
    <w:rsid w:val="009F07C9"/>
    <w:rsid w:val="00A47AD6"/>
    <w:rsid w:val="00A700D7"/>
    <w:rsid w:val="00A9713D"/>
    <w:rsid w:val="00B03C49"/>
    <w:rsid w:val="00B17FFC"/>
    <w:rsid w:val="00BA20A7"/>
    <w:rsid w:val="00BC04E1"/>
    <w:rsid w:val="00BF52B1"/>
    <w:rsid w:val="00DC382A"/>
    <w:rsid w:val="00E34A5E"/>
    <w:rsid w:val="00F234CA"/>
    <w:rsid w:val="00F302AB"/>
    <w:rsid w:val="00F34D9D"/>
    <w:rsid w:val="00F96A83"/>
    <w:rsid w:val="00FC740F"/>
    <w:rsid w:val="078132CC"/>
    <w:rsid w:val="11D95B65"/>
    <w:rsid w:val="1E8F40C9"/>
    <w:rsid w:val="28E55B77"/>
    <w:rsid w:val="3559140E"/>
    <w:rsid w:val="4C0C65B6"/>
    <w:rsid w:val="60FA1ACC"/>
    <w:rsid w:val="68727968"/>
    <w:rsid w:val="6A814C34"/>
    <w:rsid w:val="76562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3"/>
    <w:autoRedefine/>
    <w:unhideWhenUsed/>
    <w:qFormat/>
    <w:uiPriority w:val="9"/>
    <w:pPr>
      <w:keepNext/>
      <w:keepLines/>
      <w:spacing w:before="260" w:after="260" w:line="416" w:lineRule="auto"/>
      <w:outlineLvl w:val="2"/>
    </w:pPr>
    <w:rPr>
      <w:b/>
      <w:bCs/>
      <w:sz w:val="32"/>
      <w:szCs w:val="32"/>
    </w:rPr>
  </w:style>
  <w:style w:type="character" w:default="1" w:styleId="9">
    <w:name w:val="Default Paragraph Font"/>
    <w:autoRedefine/>
    <w:unhideWhenUsed/>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5">
    <w:name w:val="footer"/>
    <w:basedOn w:val="1"/>
    <w:link w:val="11"/>
    <w:unhideWhenUsed/>
    <w:uiPriority w:val="99"/>
    <w:pPr>
      <w:tabs>
        <w:tab w:val="center" w:pos="4153"/>
        <w:tab w:val="right" w:pos="8306"/>
      </w:tabs>
      <w:snapToGrid w:val="0"/>
      <w:jc w:val="left"/>
    </w:pPr>
    <w:rPr>
      <w:sz w:val="18"/>
      <w:szCs w:val="18"/>
    </w:rPr>
  </w:style>
  <w:style w:type="paragraph" w:styleId="6">
    <w:name w:val="header"/>
    <w:basedOn w:val="1"/>
    <w:link w:val="10"/>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6"/>
    <w:autoRedefine/>
    <w:qFormat/>
    <w:uiPriority w:val="99"/>
    <w:rPr>
      <w:sz w:val="18"/>
      <w:szCs w:val="18"/>
    </w:rPr>
  </w:style>
  <w:style w:type="character" w:customStyle="1" w:styleId="11">
    <w:name w:val="页脚 字符"/>
    <w:basedOn w:val="9"/>
    <w:link w:val="5"/>
    <w:uiPriority w:val="99"/>
    <w:rPr>
      <w:sz w:val="18"/>
      <w:szCs w:val="18"/>
    </w:rPr>
  </w:style>
  <w:style w:type="character" w:customStyle="1" w:styleId="12">
    <w:name w:val="标题 2 字符"/>
    <w:basedOn w:val="9"/>
    <w:link w:val="3"/>
    <w:uiPriority w:val="9"/>
    <w:rPr>
      <w:rFonts w:asciiTheme="majorHAnsi" w:hAnsiTheme="majorHAnsi" w:eastAsiaTheme="majorEastAsia" w:cstheme="majorBidi"/>
      <w:b/>
      <w:bCs/>
      <w:sz w:val="32"/>
      <w:szCs w:val="32"/>
    </w:rPr>
  </w:style>
  <w:style w:type="character" w:customStyle="1" w:styleId="13">
    <w:name w:val="标题 3 字符"/>
    <w:basedOn w:val="9"/>
    <w:link w:val="4"/>
    <w:uiPriority w:val="9"/>
    <w:rPr>
      <w:b/>
      <w:bCs/>
      <w:sz w:val="32"/>
      <w:szCs w:val="32"/>
    </w:rPr>
  </w:style>
  <w:style w:type="character" w:customStyle="1" w:styleId="14">
    <w:name w:val="标题 1 字符"/>
    <w:basedOn w:val="9"/>
    <w:link w:val="2"/>
    <w:uiPriority w:val="9"/>
    <w:rPr>
      <w:b/>
      <w:bCs/>
      <w:kern w:val="44"/>
      <w:sz w:val="44"/>
      <w:szCs w:val="44"/>
    </w:rPr>
  </w:style>
  <w:style w:type="paragraph" w:styleId="15">
    <w:name w:val="List Paragraph"/>
    <w:basedOn w:val="1"/>
    <w:qFormat/>
    <w:uiPriority w:val="34"/>
    <w:pPr>
      <w:ind w:firstLine="420" w:firstLineChars="200"/>
    </w:pPr>
  </w:style>
  <w:style w:type="paragraph" w:customStyle="1" w:styleId="16">
    <w:name w:val="is-blur"/>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1155</Words>
  <Characters>6586</Characters>
  <Lines>54</Lines>
  <Paragraphs>15</Paragraphs>
  <TotalTime>6</TotalTime>
  <ScaleCrop>false</ScaleCrop>
  <LinksUpToDate>false</LinksUpToDate>
  <CharactersWithSpaces>7726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2024-12-15T07:24:00Z</dcterms:created>
  <dc:creator>锐 余</dc:creator>
  <cp:lastModifiedBy>李府承</cp:lastModifiedBy>
  <dcterms:modified xsi:type="dcterms:W3CDTF">2024-12-16T03:31:54Z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C513E33908854CDCB92D80E3A003215F_12</vt:lpwstr>
  </property>
</Properties>
</file>