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val="0"/>
        <w:topLinePunct w:val="0"/>
        <w:bidi w:val="0"/>
        <w:spacing w:line="360" w:lineRule="auto"/>
        <w:ind w:firstLine="723" w:firstLineChars="200"/>
        <w:jc w:val="center"/>
        <w:textAlignment w:val="auto"/>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婴幼儿托育服务与管理专业人才培养方案</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val="en-US" w:eastAsia="zh-CN"/>
        </w:rPr>
      </w:pPr>
      <w:r>
        <w:rPr>
          <w:rFonts w:hint="eastAsia" w:ascii="Calibri" w:hAnsi="Calibri" w:eastAsia="方正仿宋简体" w:cs="Times New Roman"/>
          <w:sz w:val="28"/>
          <w:szCs w:val="22"/>
          <w:lang w:val="en-US" w:eastAsia="zh-CN"/>
        </w:rPr>
        <w:t>（一）专业名称</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专业名称：</w:t>
      </w:r>
      <w:r>
        <w:rPr>
          <w:rFonts w:hint="eastAsia" w:eastAsia="方正仿宋简体" w:cs="Times New Roman"/>
          <w:sz w:val="24"/>
          <w:szCs w:val="21"/>
          <w:lang w:val="en-US" w:eastAsia="zh-CN"/>
        </w:rPr>
        <w:t>婴幼儿托育服务与管理</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专业代码：</w:t>
      </w:r>
      <w:r>
        <w:rPr>
          <w:rFonts w:hint="eastAsia" w:eastAsia="方正仿宋简体" w:cs="Times New Roman"/>
          <w:sz w:val="24"/>
          <w:szCs w:val="21"/>
          <w:lang w:val="en-US" w:eastAsia="zh-CN"/>
        </w:rPr>
        <w:t>520802</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val="en-US" w:eastAsia="zh-CN"/>
        </w:rPr>
      </w:pPr>
      <w:r>
        <w:rPr>
          <w:rFonts w:hint="eastAsia" w:ascii="Calibri" w:hAnsi="Calibri" w:eastAsia="方正仿宋简体" w:cs="Times New Roman"/>
          <w:sz w:val="28"/>
          <w:szCs w:val="22"/>
          <w:lang w:val="en-US" w:eastAsia="zh-CN"/>
        </w:rPr>
        <w:t>（二）招生对象及学制</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招生对象：普通高中毕业生、“三校生”（职高、中专、技校毕业生）或同等学历者。</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学    制：标准修业年限3年，有效修业年限</w:t>
      </w:r>
      <w:r>
        <w:rPr>
          <w:rFonts w:hint="eastAsia" w:eastAsia="方正仿宋简体" w:cs="Times New Roman"/>
          <w:sz w:val="24"/>
          <w:szCs w:val="21"/>
          <w:lang w:val="en-US" w:eastAsia="zh-CN"/>
        </w:rPr>
        <w:t>3</w:t>
      </w:r>
      <w:r>
        <w:rPr>
          <w:rFonts w:hint="eastAsia" w:ascii="Calibri" w:hAnsi="Calibri" w:eastAsia="方正仿宋简体" w:cs="Times New Roman"/>
          <w:sz w:val="24"/>
          <w:szCs w:val="21"/>
          <w:lang w:val="en-US" w:eastAsia="zh-CN"/>
        </w:rPr>
        <w:t>年，全日制专科学历</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val="en-US" w:eastAsia="zh-CN"/>
        </w:rPr>
      </w:pPr>
      <w:r>
        <w:rPr>
          <w:rFonts w:hint="eastAsia" w:ascii="Calibri" w:hAnsi="Calibri" w:eastAsia="方正仿宋简体" w:cs="Times New Roman"/>
          <w:sz w:val="28"/>
          <w:szCs w:val="22"/>
          <w:lang w:val="en-US" w:eastAsia="zh-CN"/>
        </w:rPr>
        <w:t>（三）人才培养目标与规格</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1.培养目标</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本专业培养思想政治坚定、德技并修、</w:t>
      </w:r>
      <w:r>
        <w:rPr>
          <w:rFonts w:hint="eastAsia" w:ascii="Calibri" w:hAnsi="Calibri" w:eastAsia="方正仿宋简体" w:cs="Times New Roman"/>
          <w:sz w:val="24"/>
          <w:szCs w:val="21"/>
          <w:lang w:eastAsia="zh-CN"/>
        </w:rPr>
        <w:t>德、智、体、美全面发展，具有良好职业道德和人文素养，</w:t>
      </w:r>
      <w:r>
        <w:rPr>
          <w:rFonts w:hint="eastAsia" w:ascii="Calibri" w:hAnsi="Calibri" w:eastAsia="方正仿宋简体" w:cs="Times New Roman"/>
          <w:sz w:val="24"/>
          <w:szCs w:val="21"/>
          <w:lang w:val="en-US" w:eastAsia="zh-CN"/>
        </w:rPr>
        <w:t>适应云南省和德宏州区域经济发展特别是学前教育</w:t>
      </w:r>
      <w:r>
        <w:rPr>
          <w:rFonts w:hint="eastAsia" w:eastAsia="方正仿宋简体" w:cs="Times New Roman"/>
          <w:sz w:val="24"/>
          <w:szCs w:val="21"/>
          <w:lang w:val="en-US" w:eastAsia="zh-CN"/>
        </w:rPr>
        <w:t>、托育行业</w:t>
      </w:r>
      <w:r>
        <w:rPr>
          <w:rFonts w:hint="eastAsia" w:ascii="Calibri" w:hAnsi="Calibri" w:eastAsia="方正仿宋简体" w:cs="Times New Roman"/>
          <w:sz w:val="24"/>
          <w:szCs w:val="21"/>
          <w:lang w:val="en-US" w:eastAsia="zh-CN"/>
        </w:rPr>
        <w:t>及相关产业发展需要，具有正确的世界观、人生观和价值观，具备一定的国际视野、创新意识、创业精神，能在幼儿教育工作一线从事</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保育与教学管理等工作，熟悉现代幼儿教育思想与方法，掌握较扎实的婴幼儿保健保育科学知识及幼儿教育理论知识，并能根据婴幼儿生理、心理发展特点及保育工作的要求，熟练掌握幼儿保育与教育工作各项技能的</w:t>
      </w:r>
      <w:r>
        <w:rPr>
          <w:rFonts w:hint="eastAsia" w:ascii="Calibri" w:hAnsi="Calibri" w:eastAsia="方正仿宋简体" w:cs="Times New Roman"/>
          <w:sz w:val="24"/>
          <w:szCs w:val="21"/>
          <w:lang w:eastAsia="zh-CN"/>
        </w:rPr>
        <w:t>高素质技能型人才。</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2.培养规格</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（1）素质要求</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1 \* GB3 \* MERGEFORMAT </w:instrText>
      </w:r>
      <w:r>
        <w:rPr>
          <w:rFonts w:hint="eastAsia" w:ascii="Calibri" w:hAnsi="Calibri" w:eastAsia="方正仿宋简体" w:cs="Times New Roman"/>
          <w:sz w:val="24"/>
          <w:szCs w:val="21"/>
          <w:lang w:val="en-US" w:eastAsia="zh-CN"/>
        </w:rPr>
        <w:fldChar w:fldCharType="separate"/>
      </w:r>
      <w:r>
        <w:t>①</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具有坚定的政治方向和良好的社会公德与行为规范，遵纪守法；</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2 \* GB3 \* MERGEFORMAT </w:instrText>
      </w:r>
      <w:r>
        <w:rPr>
          <w:rFonts w:hint="eastAsia" w:ascii="Calibri" w:hAnsi="Calibri" w:eastAsia="方正仿宋简体" w:cs="Times New Roman"/>
          <w:sz w:val="24"/>
          <w:szCs w:val="21"/>
          <w:lang w:val="en-US" w:eastAsia="zh-CN"/>
        </w:rPr>
        <w:fldChar w:fldCharType="separate"/>
      </w:r>
      <w:r>
        <w:t>②</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具有正确的世界观、人生观、价值观；</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3 \* GB3 \* MERGEFORMAT </w:instrText>
      </w:r>
      <w:r>
        <w:rPr>
          <w:rFonts w:hint="eastAsia" w:ascii="Calibri" w:hAnsi="Calibri" w:eastAsia="方正仿宋简体" w:cs="Times New Roman"/>
          <w:sz w:val="24"/>
          <w:szCs w:val="21"/>
          <w:lang w:val="en-US" w:eastAsia="zh-CN"/>
        </w:rPr>
        <w:fldChar w:fldCharType="separate"/>
      </w:r>
      <w:r>
        <w:t>③</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具有良好的心理素质和健全的人格；</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4 \* GB3 \* MERGEFORMAT </w:instrText>
      </w:r>
      <w:r>
        <w:rPr>
          <w:rFonts w:hint="eastAsia" w:ascii="Calibri" w:hAnsi="Calibri" w:eastAsia="方正仿宋简体" w:cs="Times New Roman"/>
          <w:sz w:val="24"/>
          <w:szCs w:val="21"/>
          <w:lang w:val="en-US" w:eastAsia="zh-CN"/>
        </w:rPr>
        <w:fldChar w:fldCharType="separate"/>
      </w:r>
      <w:r>
        <w:t>④</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具有良好的行业职业道德，爱岗敬业，诚实守信，</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5 \* GB3 \* MERGEFORMAT </w:instrText>
      </w:r>
      <w:r>
        <w:rPr>
          <w:rFonts w:hint="eastAsia" w:ascii="Calibri" w:hAnsi="Calibri" w:eastAsia="方正仿宋简体" w:cs="Times New Roman"/>
          <w:sz w:val="24"/>
          <w:szCs w:val="21"/>
          <w:lang w:val="en-US" w:eastAsia="zh-CN"/>
        </w:rPr>
        <w:fldChar w:fldCharType="separate"/>
      </w:r>
      <w:r>
        <w:t>⑤</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具有开拓创新、团结合作的精神，具有终身学习和职业规划的品质。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（2）能力要求</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1 \* GB3 \* MERGEFORMAT </w:instrText>
      </w:r>
      <w:r>
        <w:rPr>
          <w:rFonts w:hint="eastAsia" w:ascii="Calibri" w:hAnsi="Calibri" w:eastAsia="方正仿宋简体" w:cs="Times New Roman"/>
          <w:sz w:val="24"/>
          <w:szCs w:val="21"/>
          <w:lang w:val="en-US" w:eastAsia="zh-CN"/>
        </w:rPr>
        <w:fldChar w:fldCharType="separate"/>
      </w:r>
      <w:r>
        <w:t>①</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掌握幼儿教育的方针、政策、法规及国家健康战略的基本要求和发展趋势；</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2 \* GB3 \* MERGEFORMAT </w:instrText>
      </w:r>
      <w:r>
        <w:rPr>
          <w:rFonts w:hint="eastAsia" w:ascii="Calibri" w:hAnsi="Calibri" w:eastAsia="方正仿宋简体" w:cs="Times New Roman"/>
          <w:sz w:val="24"/>
          <w:szCs w:val="21"/>
          <w:lang w:val="en-US" w:eastAsia="zh-CN"/>
        </w:rPr>
        <w:fldChar w:fldCharType="separate"/>
      </w:r>
      <w:r>
        <w:t>②</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具有编制具体教育方案和实施方案的能力；</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3 \* GB3 \* MERGEFORMAT </w:instrText>
      </w:r>
      <w:r>
        <w:rPr>
          <w:rFonts w:hint="eastAsia" w:ascii="Calibri" w:hAnsi="Calibri" w:eastAsia="方正仿宋简体" w:cs="Times New Roman"/>
          <w:sz w:val="24"/>
          <w:szCs w:val="21"/>
          <w:lang w:val="en-US" w:eastAsia="zh-CN"/>
        </w:rPr>
        <w:fldChar w:fldCharType="separate"/>
      </w:r>
      <w:r>
        <w:t>③</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具有对幼儿实施保育和教育的能力；</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4 \* GB3 \* MERGEFORMAT </w:instrText>
      </w:r>
      <w:r>
        <w:rPr>
          <w:rFonts w:hint="eastAsia" w:ascii="Calibri" w:hAnsi="Calibri" w:eastAsia="方正仿宋简体" w:cs="Times New Roman"/>
          <w:sz w:val="24"/>
          <w:szCs w:val="21"/>
          <w:lang w:val="en-US" w:eastAsia="zh-CN"/>
        </w:rPr>
        <w:fldChar w:fldCharType="separate"/>
      </w:r>
      <w:r>
        <w:t>④</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具有指导幼儿科学成长的能力；</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5 \* GB3 \* MERGEFORMAT </w:instrText>
      </w:r>
      <w:r>
        <w:rPr>
          <w:rFonts w:hint="eastAsia" w:ascii="Calibri" w:hAnsi="Calibri" w:eastAsia="方正仿宋简体" w:cs="Times New Roman"/>
          <w:sz w:val="24"/>
          <w:szCs w:val="21"/>
          <w:lang w:val="en-US" w:eastAsia="zh-CN"/>
        </w:rPr>
        <w:fldChar w:fldCharType="separate"/>
      </w:r>
      <w:r>
        <w:t>⑤</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具有良好的人际交往、沟通的能力；</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（3）知识结构要求</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1 \* GB3 \* MERGEFORMAT </w:instrText>
      </w:r>
      <w:r>
        <w:rPr>
          <w:rFonts w:hint="eastAsia" w:ascii="Calibri" w:hAnsi="Calibri" w:eastAsia="方正仿宋简体" w:cs="Times New Roman"/>
          <w:sz w:val="24"/>
          <w:szCs w:val="21"/>
          <w:lang w:val="en-US" w:eastAsia="zh-CN"/>
        </w:rPr>
        <w:fldChar w:fldCharType="separate"/>
      </w:r>
      <w:r>
        <w:t>①</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掌握本专业应有的文化基础知识、政治、法律常识；</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2 \* GB3 \* MERGEFORMAT </w:instrText>
      </w:r>
      <w:r>
        <w:rPr>
          <w:rFonts w:hint="eastAsia" w:ascii="Calibri" w:hAnsi="Calibri" w:eastAsia="方正仿宋简体" w:cs="Times New Roman"/>
          <w:sz w:val="24"/>
          <w:szCs w:val="21"/>
          <w:lang w:val="en-US" w:eastAsia="zh-CN"/>
        </w:rPr>
        <w:fldChar w:fldCharType="separate"/>
      </w:r>
      <w:r>
        <w:t>②</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掌握幼儿发展、教育教学等专业基础知识</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3 \* GB3 \* MERGEFORMAT </w:instrText>
      </w:r>
      <w:r>
        <w:rPr>
          <w:rFonts w:hint="eastAsia" w:ascii="Calibri" w:hAnsi="Calibri" w:eastAsia="方正仿宋简体" w:cs="Times New Roman"/>
          <w:sz w:val="24"/>
          <w:szCs w:val="21"/>
          <w:lang w:val="en-US" w:eastAsia="zh-CN"/>
        </w:rPr>
        <w:fldChar w:fldCharType="separate"/>
      </w:r>
      <w:r>
        <w:t>③</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掌握婴幼儿卫生保健、健康管理等基本知识；</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4 \* GB3 \* MERGEFORMAT </w:instrText>
      </w:r>
      <w:r>
        <w:rPr>
          <w:rFonts w:hint="eastAsia" w:ascii="Calibri" w:hAnsi="Calibri" w:eastAsia="方正仿宋简体" w:cs="Times New Roman"/>
          <w:sz w:val="24"/>
          <w:szCs w:val="21"/>
          <w:lang w:val="en-US" w:eastAsia="zh-CN"/>
        </w:rPr>
        <w:fldChar w:fldCharType="separate"/>
      </w:r>
      <w:r>
        <w:t>④</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掌握家庭教育的相关伦理知识；</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fldChar w:fldCharType="begin"/>
      </w:r>
      <w:r>
        <w:rPr>
          <w:rFonts w:hint="eastAsia" w:ascii="Calibri" w:hAnsi="Calibri" w:eastAsia="方正仿宋简体" w:cs="Times New Roman"/>
          <w:sz w:val="24"/>
          <w:szCs w:val="21"/>
          <w:lang w:val="en-US" w:eastAsia="zh-CN"/>
        </w:rPr>
        <w:instrText xml:space="preserve"> = 5 \* GB3 \* MERGEFORMAT </w:instrText>
      </w:r>
      <w:r>
        <w:rPr>
          <w:rFonts w:hint="eastAsia" w:ascii="Calibri" w:hAnsi="Calibri" w:eastAsia="方正仿宋简体" w:cs="Times New Roman"/>
          <w:sz w:val="24"/>
          <w:szCs w:val="21"/>
          <w:lang w:val="en-US" w:eastAsia="zh-CN"/>
        </w:rPr>
        <w:fldChar w:fldCharType="separate"/>
      </w:r>
      <w:r>
        <w:t>⑤</w:t>
      </w:r>
      <w:r>
        <w:rPr>
          <w:rFonts w:hint="eastAsia" w:ascii="Calibri" w:hAnsi="Calibri" w:eastAsia="方正仿宋简体" w:cs="Times New Roman"/>
          <w:sz w:val="24"/>
          <w:szCs w:val="21"/>
          <w:lang w:val="en-US" w:eastAsia="zh-CN"/>
        </w:rPr>
        <w:fldChar w:fldCharType="end"/>
      </w:r>
      <w:r>
        <w:rPr>
          <w:rFonts w:hint="eastAsia" w:ascii="Calibri" w:hAnsi="Calibri" w:eastAsia="方正仿宋简体" w:cs="Times New Roman"/>
          <w:sz w:val="24"/>
          <w:szCs w:val="21"/>
          <w:lang w:val="en-US" w:eastAsia="zh-CN"/>
        </w:rPr>
        <w:t>掌握婴幼儿启蒙教育的方式、方法。</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val="en-US" w:eastAsia="zh-CN"/>
        </w:rPr>
      </w:pPr>
      <w:r>
        <w:rPr>
          <w:rFonts w:hint="eastAsia" w:ascii="Calibri" w:hAnsi="Calibri" w:eastAsia="方正仿宋简体" w:cs="Times New Roman"/>
          <w:sz w:val="28"/>
          <w:szCs w:val="22"/>
          <w:lang w:val="en-US" w:eastAsia="zh-CN"/>
        </w:rPr>
        <w:t>（四）主要课程设置</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1.公共基础课程</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（1）思想道德修养与法律基础             考核方式：考试   学时：3/周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思想道德修养与法律基础是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本课程以社会主义核心价值观为逻辑主线，以中国梦和依法治国为教育主线，对学生系统地进行世界观、人生观、价值观、道德观、法律观等教育，着重培养学生的方法能力与实践能力、学习与创新能力以及适应、自律、沟通、协作能力、维权能力与弘扬践行社会主义核心价值观的实践能力、明辨是非与提升道德实践的能力、成功就业与自主创业的意识和能力，以提高学生 政治素养、思想素养、道德素养、法律素养为目的，满足学生成长成才的共同需要。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 xml:space="preserve">（2）毛泽东思想和中国特色社会主义理论体系概论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毛泽东思想和中国特色社会主义理论体系概论是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本课程着重讲授中国共产党把马克思主义基本原理与中国实际相结合的历史进程，充分反映马克思主义中国化的两大理论成果，帮助学生系统掌握毛泽东思想、邓小平理论、“三个代表 ”重要思想、科学发展观、习近平新时代中国特色社会主义思想。通过本课程的学习引导大学生正确认识肩负的历史使命，努力成为德、智、体、美、劳全面发展的中国特色社会主义事业的建设者和接班人，为学生的健康成长、文明生活、科学发展打下良好的基础。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（3）大学英语                       考核方式：考试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大学英语是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通过本课程的学习，可使学生掌握一定的英语基础知识和基本技能，具有一定的英语语言综合应用能力，能借助词典阅读和翻译有关英语业务资料，在涉外交际的日常活动和业务活动进行简单的口头和书面交流，并为高职院校学生后续专业课程打下 基础，使学生的英语能力能够满足未来职业（岗位）的实际需求。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（4）大学生心理健康教育              考核方式：考试   学时：1/周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大学生心理健康教育是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本课程主要根据学生的心理特点，有针对性地讲授心理健康知识，常见心理问题的表现、类型及其成因，心理保健常识等。通过本课程的学习，帮助学生树立心理意识，优化心理品质，增强心理调适能力和社会生活的适应能力，预防和缓解心理问题；帮助他们处理好环境适应、自我管理、学习成才、人际交往、交友恋爱、求职择业、人格发展和情绪调节等方面的困惑，提高健康水平，促进德智体美等全面发展。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（5）大学语文                        考核方式：考试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大学语文是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的公共基础课程，属于必修课程。本课程以系统建构</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学生的语文素养为目标，通过对古今中外文学经典名篇的分析与解读，使学生理解传统文化精华的内涵，提升人文品格，培养学生的阅读及交流表达能力和工作后指导幼儿习得语言、组织运用语言的能力。通过对文章写作要领及表达技巧的领悟，以及应用文写作训练，提高语言文字的实际应用能力，为幼教工作和终身学习奠定扎实基础。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 xml:space="preserve">（6）体育                            考核方式：考查   学时：2/周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体育是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的公共基础课程，属于必修课。本课程主要学习体育知识与技能、健身健康知识与方法。 通过本课程的学习，使学生树立正确的运动观和健康观，培养学生参与锻炼的积极性；使学生能自觉地、积极地、经常地参与锻炼，实现 身体健康目标、心理健康目标和社会适应性目标等身心健康目标。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（7）计算机基础                      考核方式：考试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计算机基础是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的公共基础课程，属于必修课程。本课程主要学习信息技术与计算机文化、 </w:t>
      </w:r>
      <w:r>
        <w:rPr>
          <w:rFonts w:hint="default" w:ascii="Calibri" w:hAnsi="Calibri" w:eastAsia="方正仿宋简体" w:cs="Times New Roman"/>
          <w:sz w:val="24"/>
          <w:szCs w:val="21"/>
          <w:lang w:val="en-US" w:eastAsia="zh-CN"/>
        </w:rPr>
        <w:t xml:space="preserve">Windows </w:t>
      </w:r>
      <w:r>
        <w:rPr>
          <w:rFonts w:hint="eastAsia" w:ascii="Calibri" w:hAnsi="Calibri" w:eastAsia="方正仿宋简体" w:cs="Times New Roman"/>
          <w:sz w:val="24"/>
          <w:szCs w:val="21"/>
          <w:lang w:val="en-US" w:eastAsia="zh-CN"/>
        </w:rPr>
        <w:t>操作系统、</w:t>
      </w:r>
      <w:r>
        <w:rPr>
          <w:rFonts w:hint="default" w:ascii="Calibri" w:hAnsi="Calibri" w:eastAsia="方正仿宋简体" w:cs="Times New Roman"/>
          <w:sz w:val="24"/>
          <w:szCs w:val="21"/>
          <w:lang w:val="en-US" w:eastAsia="zh-CN"/>
        </w:rPr>
        <w:t xml:space="preserve">office </w:t>
      </w:r>
      <w:r>
        <w:rPr>
          <w:rFonts w:hint="eastAsia" w:ascii="Calibri" w:hAnsi="Calibri" w:eastAsia="方正仿宋简体" w:cs="Times New Roman"/>
          <w:sz w:val="24"/>
          <w:szCs w:val="21"/>
          <w:lang w:val="en-US" w:eastAsia="zh-CN"/>
        </w:rPr>
        <w:t xml:space="preserve">办公软件以及计算机网络基础。通过本课 程的学习，培养学生文字处理、数据处理、信息获取整合加工等信息处理能力，计算机和网络技术的基本应用技能，提高学生以计算机和网络应用技术为工具学习其他课程的续航能力，同时为其今后的工作和可持续发展奠定信息技术应用基础。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（8）就业与创业指导                   考核方式：考查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就业与创业指导是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的公共基础课程，属于必修课程学分。本课程主要学习职业发展与职业生涯规划的基本概念，培育职业与职业生涯意识；了解职业、认识自我， 形成初步的职业发展规划；了解目标职业对专业技能、通用技能及个人素质的要求，制定大学期间的学业规划；了解、搜集、分析和利用就业信息，进行求职过程指导等。通过本课程的学习，培养和提高学生的自我探索、信息搜集与管理、职业生涯决策、求职等技能，促进学生高质量就业。此外，本课程还致力于对学生进行价值观的引领，引导学生树立良好的职业价值观、职业道德、敬业精神等。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（9）形势与政策                    考核方式：考查   学时：讲座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形势与政策是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的公共基础课程，属于必修课程。本课程根据教育部社科司每学期下发的</w:t>
      </w:r>
      <w:r>
        <w:rPr>
          <w:rFonts w:hint="default" w:ascii="Calibri" w:hAnsi="Calibri" w:eastAsia="方正仿宋简体" w:cs="Times New Roman"/>
          <w:sz w:val="24"/>
          <w:szCs w:val="21"/>
          <w:lang w:val="en-US" w:eastAsia="zh-CN"/>
        </w:rPr>
        <w:t>“</w:t>
      </w:r>
      <w:r>
        <w:rPr>
          <w:rFonts w:hint="eastAsia" w:ascii="Calibri" w:hAnsi="Calibri" w:eastAsia="方正仿宋简体" w:cs="Times New Roman"/>
          <w:sz w:val="24"/>
          <w:szCs w:val="21"/>
          <w:lang w:val="en-US" w:eastAsia="zh-CN"/>
        </w:rPr>
        <w:t>形势与 政策</w:t>
      </w:r>
      <w:r>
        <w:rPr>
          <w:rFonts w:hint="default" w:ascii="Calibri" w:hAnsi="Calibri" w:eastAsia="方正仿宋简体" w:cs="Times New Roman"/>
          <w:sz w:val="24"/>
          <w:szCs w:val="21"/>
          <w:lang w:val="en-US" w:eastAsia="zh-CN"/>
        </w:rPr>
        <w:t>”</w:t>
      </w:r>
      <w:r>
        <w:rPr>
          <w:rFonts w:hint="eastAsia" w:ascii="Calibri" w:hAnsi="Calibri" w:eastAsia="方正仿宋简体" w:cs="Times New Roman"/>
          <w:sz w:val="24"/>
          <w:szCs w:val="21"/>
          <w:lang w:val="en-US" w:eastAsia="zh-CN"/>
        </w:rPr>
        <w:t xml:space="preserve">教育教学要点，主要学习国际国内形势的新变化以及广大师生 关注的热点和难点问题。通过本课程的学习，帮助大学生了解和掌握 国际国内形势与国家方针政策，开拓大学生视野，提升大学生的思想理论素养和解读政策的水平，从而引导学生精准把握时代脉搏，勇担民族复兴大任。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（10）军事理论                    考核方式：考查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军事理论是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公共基础课程，属于必修课程，本课程要以习近平强军思想和习近平总书记关于教育的重要论述为遵循，全面贯彻党的教育方针、新时代军事战略方针和总体国家安全观，围绕立德树人根本任务和强军目标根本要求，着眼培育和践行社会主义核心价值观，以提升学生国防意识和军事素养为重点，为实施军民融合发展战略和建设国防后备力量服务。通过本课程，让学生了解掌握军事基础知识和基本军事技能，增强国防观念、国家安全意识和忧患危机意识，弘扬爱国主义精神、传承红色基因、提高学生综合国防素质。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2.专业基础课程</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1</w:t>
      </w:r>
      <w:r>
        <w:rPr>
          <w:rFonts w:hint="eastAsia" w:ascii="Calibri" w:hAnsi="Calibri" w:eastAsia="方正仿宋简体" w:cs="Times New Roman"/>
          <w:sz w:val="24"/>
          <w:szCs w:val="21"/>
          <w:lang w:val="en-US" w:eastAsia="zh-CN"/>
        </w:rPr>
        <w:t>）舞蹈基础                       考核方式：考查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舞蹈基础是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一门专业基础课程，属于必修课程。本课程在学习舞蹈理论和基础技能的基础上，强化各种类舞蹈技能和形体协调训练，培养学生幼儿舞蹈的教学和创编能力，实现课程与职业岗位要求的有效对接。通过本课程的学习，使学生了解舞蹈的基础理论知识和基本技能，并掌握舞蹈基础训练方法。培养学生坚强的意志和吃苦耐劳的精神，形成良好的职业道德、严谨的工作作风。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2</w:t>
      </w:r>
      <w:r>
        <w:rPr>
          <w:rFonts w:hint="eastAsia" w:ascii="Calibri" w:hAnsi="Calibri" w:eastAsia="方正仿宋简体" w:cs="Times New Roman"/>
          <w:sz w:val="24"/>
          <w:szCs w:val="21"/>
          <w:lang w:val="en-US" w:eastAsia="zh-CN"/>
        </w:rPr>
        <w:t>）钢琴基础                    考核方式：考查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钢琴基础是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专业基础课程，属于必修课程。本课程主要学习键盘演奏技能、五线谱及简谱的音乐基础知识、音高、时值、音程、和弦、调式的基本理论知识。通过本课程的学习，明确键盘学习的性质、任务及目标，掌握键盘演奏相关的基本音乐理论知识，提高键盘演奏能力和幼儿歌曲即兴伴奏能力，提高学生的音乐鉴赏能力和表达能力，培养学生的艺术素养和个人修养。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3</w:t>
      </w:r>
      <w:r>
        <w:rPr>
          <w:rFonts w:hint="eastAsia" w:ascii="Calibri" w:hAnsi="Calibri" w:eastAsia="方正仿宋简体" w:cs="Times New Roman"/>
          <w:sz w:val="24"/>
          <w:szCs w:val="21"/>
          <w:lang w:val="en-US" w:eastAsia="zh-CN"/>
        </w:rPr>
        <w:t>）美术基础                    考核方式：考查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美术基础是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专业基础课程，属于必修课程。本课程主要学习初级的艺术鉴赏、素描绘画、色彩基础、简笔画表现等从事幼儿教育工作需要的美术基础知识和基本技能等。通过本课程的学习，培养学生感受美、欣赏美、理解美、表现美的能力，提高运用正确的审美知识进行创作的能力。 </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4</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婴幼儿早期发展与训练</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婴幼儿早期发展与训练</w:t>
      </w:r>
      <w:r>
        <w:rPr>
          <w:rFonts w:hint="eastAsia" w:ascii="Calibri" w:hAnsi="Calibri" w:eastAsia="方正仿宋简体" w:cs="Times New Roman"/>
          <w:sz w:val="24"/>
          <w:szCs w:val="21"/>
          <w:lang w:val="en-US" w:eastAsia="zh-CN"/>
        </w:rPr>
        <w:t>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的专业核心课程，属于必修课程。本课程主要学习如何运用</w:t>
      </w:r>
      <w:r>
        <w:rPr>
          <w:rFonts w:hint="eastAsia" w:eastAsia="方正仿宋简体" w:cs="Times New Roman"/>
          <w:sz w:val="24"/>
          <w:szCs w:val="21"/>
          <w:lang w:val="en-US" w:eastAsia="zh-CN"/>
        </w:rPr>
        <w:t>对婴幼儿进行早期发展方面的训练，进一步提升婴幼儿的早期教育质量，包括对婴幼儿的</w:t>
      </w:r>
      <w:r>
        <w:rPr>
          <w:rFonts w:hint="eastAsia" w:ascii="Calibri" w:hAnsi="Calibri" w:eastAsia="方正仿宋简体" w:cs="Times New Roman"/>
          <w:sz w:val="24"/>
          <w:szCs w:val="21"/>
          <w:lang w:val="en-US" w:eastAsia="zh-CN"/>
        </w:rPr>
        <w:t>认知行为、情绪表现、社会交往、语言行为以及游戏行为</w:t>
      </w:r>
      <w:r>
        <w:rPr>
          <w:rFonts w:hint="eastAsia" w:eastAsia="方正仿宋简体" w:cs="Times New Roman"/>
          <w:sz w:val="24"/>
          <w:szCs w:val="21"/>
          <w:lang w:val="en-US" w:eastAsia="zh-CN"/>
        </w:rPr>
        <w:t>进行针对性的训练，如感统训练，进一步将早期训练方法运用在婴幼儿的早期发展中。</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5</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健康活动设计与实施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健康活动设计与实施是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的专业核心课程，属于必修课程。本课程主要学习</w:t>
      </w: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健康教育的基本理论和方法，各种类型的健康教育活动的教育目标、内容和设计与组织要点。通过本课程的学习，培养学生树立科学的健康教育观，具备独立设计实施各类健康教育活动的能力，能够运用所学的健康教育理论解决现实问题，从而萌发对</w:t>
      </w: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 xml:space="preserve">健康教育的兴趣，加深对未来职业的认同感和热爱之情。 </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6</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托育服务人员职业道德规范与政策法规</w:t>
      </w:r>
      <w:r>
        <w:rPr>
          <w:rFonts w:hint="eastAsia" w:ascii="Calibri" w:hAnsi="Calibri" w:eastAsia="方正仿宋简体" w:cs="Times New Roman"/>
          <w:sz w:val="24"/>
          <w:szCs w:val="21"/>
          <w:lang w:val="en-US" w:eastAsia="zh-CN"/>
        </w:rPr>
        <w:t xml:space="preserve">           考核方式：考试   学时：</w:t>
      </w:r>
      <w:r>
        <w:rPr>
          <w:rFonts w:hint="eastAsia" w:eastAsia="方正仿宋简体" w:cs="Times New Roman"/>
          <w:sz w:val="24"/>
          <w:szCs w:val="21"/>
          <w:lang w:val="en-US" w:eastAsia="zh-CN"/>
        </w:rPr>
        <w:t>2</w:t>
      </w:r>
      <w:r>
        <w:rPr>
          <w:rFonts w:hint="eastAsia" w:ascii="Calibri" w:hAnsi="Calibri" w:eastAsia="方正仿宋简体" w:cs="Times New Roman"/>
          <w:sz w:val="24"/>
          <w:szCs w:val="21"/>
          <w:lang w:val="en-US" w:eastAsia="zh-CN"/>
        </w:rPr>
        <w:t>/周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通过教学使学生学习和学握婴幼儿教师职业道德的原则、规范和范畴等问题，具体包括：教育劳动和婴幼儿款师职业道德、婴幼儿教师职业道德中的重要范畴、师生关系中的道德问题、家园关系中的道德问题、婴幼儿教师集体中的道德问题、教学工作中的道德问题学校行政管理中的道德问题和婴幼儿教师职业道德修养与相应的政策法规等。</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7</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托育机构运营与管理</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旨在使学生了解托幼机构管理的基本理论和主要实务工作内容，熟悉幼儿园组织与管理的原理、原则、方式，掌握幼儿园组织与管理的基本方法与技能，培养管理思维、意识以及在幼儿园组织与管理中的基本能力</w:t>
      </w:r>
      <w:r>
        <w:rPr>
          <w:rFonts w:hint="eastAsia" w:eastAsia="方正仿宋简体" w:cs="Times New Roman"/>
          <w:sz w:val="24"/>
          <w:szCs w:val="21"/>
          <w:lang w:val="en-US" w:eastAsia="zh-CN"/>
        </w:rPr>
        <w:t>。</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8</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婴幼儿照护</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本课程是研究0-3岁婴幼儿的日常生活及其发展情况，揭示0-3岁婴幼儿的生理、心理发展规律，掌握照护婴幼儿安全、卫生、保健的基本知识与技能及探讨0-3岁婴幼儿的早期教养及3-6岁幼儿教育的衔接的一门课程。</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9</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托育机构环境创设</w:t>
      </w:r>
      <w:r>
        <w:rPr>
          <w:rFonts w:hint="eastAsia" w:ascii="Calibri" w:hAnsi="Calibri" w:eastAsia="方正仿宋简体" w:cs="Times New Roman"/>
          <w:sz w:val="24"/>
          <w:szCs w:val="21"/>
          <w:lang w:val="en-US" w:eastAsia="zh-CN"/>
        </w:rPr>
        <w:t xml:space="preserve">         考核方式：考试   学时：</w:t>
      </w:r>
      <w:r>
        <w:rPr>
          <w:rFonts w:hint="eastAsia" w:eastAsia="方正仿宋简体" w:cs="Times New Roman"/>
          <w:sz w:val="24"/>
          <w:szCs w:val="21"/>
          <w:lang w:val="en-US" w:eastAsia="zh-CN"/>
        </w:rPr>
        <w:t>2</w:t>
      </w:r>
      <w:r>
        <w:rPr>
          <w:rFonts w:hint="eastAsia" w:ascii="Calibri" w:hAnsi="Calibri" w:eastAsia="方正仿宋简体" w:cs="Times New Roman"/>
          <w:sz w:val="24"/>
          <w:szCs w:val="21"/>
          <w:lang w:val="en-US" w:eastAsia="zh-CN"/>
        </w:rPr>
        <w:t>/周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从托育机构空间环境创设、墙饰设计与制作、区域环境创设、玩教具的设计与制作等方面详细地呈现托育机构的环境创设。通过学习能让学生对托育机构环境有初步的了解，并能根据所学能对托育机构环境创设有初步的设计规划与创设。</w:t>
      </w:r>
    </w:p>
    <w:p>
      <w:pPr>
        <w:pageBreakBefore w:val="0"/>
        <w:numPr>
          <w:numId w:val="0"/>
        </w:numPr>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（10）婴幼儿家庭教育与指导</w:t>
      </w:r>
      <w:r>
        <w:rPr>
          <w:rFonts w:hint="eastAsia" w:ascii="Calibri" w:hAnsi="Calibri" w:eastAsia="方正仿宋简体" w:cs="Times New Roman"/>
          <w:sz w:val="24"/>
          <w:szCs w:val="21"/>
          <w:lang w:val="en-US" w:eastAsia="zh-CN"/>
        </w:rPr>
        <w:t xml:space="preserve">         考核方式：考试   学时：4/周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450" w:lineRule="atLeast"/>
        <w:ind w:left="0" w:right="0" w:firstLine="480" w:firstLineChars="200"/>
        <w:jc w:val="both"/>
        <w:rPr>
          <w:rFonts w:hint="default" w:ascii="Calibri" w:hAnsi="Calibri" w:eastAsia="方正仿宋简体" w:cs="Times New Roman"/>
          <w:sz w:val="24"/>
          <w:szCs w:val="21"/>
          <w:lang w:val="en-US" w:eastAsia="zh-CN"/>
        </w:rPr>
      </w:pPr>
      <w:r>
        <w:rPr>
          <w:rFonts w:hint="eastAsia" w:eastAsia="方正仿宋简体" w:cs="Times New Roman"/>
          <w:sz w:val="24"/>
          <w:szCs w:val="21"/>
          <w:lang w:val="en-US" w:eastAsia="zh-CN"/>
        </w:rPr>
        <w:t>婴幼儿家庭教育与指导是婴幼儿托育服务与管理专业的一门理实结合的核心课程，以0~3岁婴幼儿的家庭教育与指导为主，详细阐述了如何做好婴幼儿的家庭教育与指导工作，案例深入浅出、贴近生活，体现了婴幼儿家庭教育指导的实用性原则。</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11</w:t>
      </w:r>
      <w:r>
        <w:rPr>
          <w:rFonts w:hint="eastAsia" w:ascii="Calibri" w:hAnsi="Calibri" w:eastAsia="方正仿宋简体" w:cs="Times New Roman"/>
          <w:sz w:val="24"/>
          <w:szCs w:val="21"/>
          <w:lang w:val="en-US" w:eastAsia="zh-CN"/>
        </w:rPr>
        <w:t>）婴幼儿生活护理与保健实务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婴幼儿生活护理与保健实务是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核心课程，属于必修课程。本课程主要学习婴幼儿身体各系统发育特点、身心发展过程中易出现的问题及相应的卫生保健措施，各类疾病与传染病的预防与保健、意外伤害与急救以及托幼机构一日生活的卫生保健与健康教育等内容。通过本课程的学习，培养学生科学的保教观念与保教能力。</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12</w:t>
      </w:r>
      <w:r>
        <w:rPr>
          <w:rFonts w:hint="eastAsia" w:ascii="Calibri" w:hAnsi="Calibri" w:eastAsia="方正仿宋简体" w:cs="Times New Roman"/>
          <w:sz w:val="24"/>
          <w:szCs w:val="21"/>
          <w:lang w:val="en-US" w:eastAsia="zh-CN"/>
        </w:rPr>
        <w:t>）儿童营养配餐与指导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儿童营养配餐与指导是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核心课程，属于必修课程。本课程主要学习婴幼儿生长发育的营养需求和婴幼儿日常膳食指导。通过本课程的学习，使学生全面掌握婴幼儿各年龄阶段、身体各系统的生长发育的营养需求，掌握婴幼儿食物选择的特点和原则，学会婴幼儿食谱编制，使学生能够为学龄前儿童的合理膳食、均衡营养提供指导。</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3.专业核心课程</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w:t>
      </w:r>
      <w:r>
        <w:rPr>
          <w:rFonts w:hint="eastAsia" w:eastAsia="方正仿宋简体" w:cs="Times New Roman"/>
          <w:sz w:val="24"/>
          <w:szCs w:val="21"/>
          <w:lang w:val="en-US" w:eastAsia="zh-CN"/>
        </w:rPr>
        <w:t>婴幼儿早期教育概论</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婴幼儿早期教育概论</w:t>
      </w:r>
      <w:r>
        <w:rPr>
          <w:rFonts w:hint="eastAsia" w:ascii="Calibri" w:hAnsi="Calibri" w:eastAsia="方正仿宋简体" w:cs="Times New Roman"/>
          <w:sz w:val="24"/>
          <w:szCs w:val="21"/>
          <w:lang w:val="en-US" w:eastAsia="zh-CN"/>
        </w:rPr>
        <w:t>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的专业基础课程，属于必修课程。本课程涵盖了</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保教工作的全部内容，偏重于研究幼儿教育的宏观指导理论及其一般教育活动规律等问题。通过本课程学习，帮助学生初步掌握适应托幼教育机构及其他相关机构岗位需要的幼儿教育基本理论和基本方法，引导学生进一步认识幼儿教育的重要意义，形成科学的儿童观、教师观、教育观，激发对幼儿教育工作的兴趣与热情，增强从事幼儿教育事业的使命感和责任感，为成为一名合格的、具有较强学习能力的幼教工作者打下坚实的基础。</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（2）</w:t>
      </w:r>
      <w:r>
        <w:rPr>
          <w:rFonts w:hint="eastAsia" w:eastAsia="方正仿宋简体" w:cs="Times New Roman"/>
          <w:sz w:val="24"/>
          <w:szCs w:val="21"/>
          <w:lang w:val="en-US" w:eastAsia="zh-CN"/>
        </w:rPr>
        <w:t>0-3岁婴幼儿心理发展与教育</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0-3岁婴幼儿心理发展与教育</w:t>
      </w:r>
      <w:r>
        <w:rPr>
          <w:rFonts w:hint="eastAsia" w:ascii="Calibri" w:hAnsi="Calibri" w:eastAsia="方正仿宋简体" w:cs="Times New Roman"/>
          <w:sz w:val="24"/>
          <w:szCs w:val="21"/>
          <w:lang w:val="en-US" w:eastAsia="zh-CN"/>
        </w:rPr>
        <w:t>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的专业基础课程，属于必修课程。本课程主要学习0-</w:t>
      </w:r>
      <w:r>
        <w:rPr>
          <w:rFonts w:hint="eastAsia" w:eastAsia="方正仿宋简体" w:cs="Times New Roman"/>
          <w:sz w:val="24"/>
          <w:szCs w:val="21"/>
          <w:lang w:val="en-US" w:eastAsia="zh-CN"/>
        </w:rPr>
        <w:t>3</w:t>
      </w:r>
      <w:r>
        <w:rPr>
          <w:rFonts w:hint="eastAsia" w:ascii="Calibri" w:hAnsi="Calibri" w:eastAsia="方正仿宋简体" w:cs="Times New Roman"/>
          <w:sz w:val="24"/>
          <w:szCs w:val="21"/>
          <w:lang w:val="en-US" w:eastAsia="zh-CN"/>
        </w:rPr>
        <w:t>岁儿童心理和行为的发生和发展规律。通过本课程的学习，培养学生运用心理学的基本知识和基本规律观察、分析、指导、评价</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幼儿行为、促进</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幼儿心理发展的能力；培养学生热爱</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幼儿的情感，树立从事</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 xml:space="preserve">幼儿教育事业的职业理想；培养学生运用批判性思维方法分析解决实际问题的能力，提高学生自我反思的意识和能力。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（3）</w:t>
      </w:r>
      <w:r>
        <w:rPr>
          <w:rFonts w:hint="eastAsia" w:eastAsia="方正仿宋简体" w:cs="Times New Roman"/>
          <w:sz w:val="24"/>
          <w:szCs w:val="21"/>
          <w:lang w:val="en-US" w:eastAsia="zh-CN"/>
        </w:rPr>
        <w:t>婴幼儿营养与膳食管理</w:t>
      </w:r>
      <w:r>
        <w:rPr>
          <w:rFonts w:hint="eastAsia" w:ascii="Calibri" w:hAnsi="Calibri" w:eastAsia="方正仿宋简体" w:cs="Times New Roman"/>
          <w:sz w:val="24"/>
          <w:szCs w:val="21"/>
          <w:lang w:val="en-US" w:eastAsia="zh-CN"/>
        </w:rPr>
        <w:t xml:space="preserve">    </w:t>
      </w:r>
      <w:r>
        <w:rPr>
          <w:rFonts w:hint="eastAsia" w:eastAsia="方正仿宋简体" w:cs="Times New Roman"/>
          <w:sz w:val="24"/>
          <w:szCs w:val="21"/>
          <w:lang w:val="en-US" w:eastAsia="zh-CN"/>
        </w:rPr>
        <w:t xml:space="preserve">  </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婴幼儿营养与膳食管理</w:t>
      </w:r>
      <w:r>
        <w:rPr>
          <w:rFonts w:hint="eastAsia" w:ascii="Calibri" w:hAnsi="Calibri" w:eastAsia="方正仿宋简体" w:cs="Times New Roman"/>
          <w:sz w:val="24"/>
          <w:szCs w:val="21"/>
          <w:lang w:val="en-US" w:eastAsia="zh-CN"/>
        </w:rPr>
        <w:t>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的专业基础课程，属于必修课程。本课程主要学习0-6岁儿童生长发育对营养需求的规律。通过本课程的学习，帮助学生了解促进</w:t>
      </w: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 xml:space="preserve">生长发育的营养因素，掌握婴幼儿相应的喂养要求、食物选择方法、平衡膳食措施以及营养性疾病的防治措施，使其具备从事幼儿教育保育工作相关的职业能力。 </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（4）</w:t>
      </w: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健康管理</w:t>
      </w:r>
      <w:r>
        <w:rPr>
          <w:rFonts w:hint="eastAsia" w:eastAsia="方正仿宋简体" w:cs="Times New Roman"/>
          <w:sz w:val="24"/>
          <w:szCs w:val="21"/>
          <w:lang w:val="en-US" w:eastAsia="zh-CN"/>
        </w:rPr>
        <w:t>基础</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健康管理</w:t>
      </w:r>
      <w:r>
        <w:rPr>
          <w:rFonts w:hint="eastAsia" w:eastAsia="方正仿宋简体" w:cs="Times New Roman"/>
          <w:sz w:val="24"/>
          <w:szCs w:val="21"/>
          <w:lang w:val="en-US" w:eastAsia="zh-CN"/>
        </w:rPr>
        <w:t>基础</w:t>
      </w:r>
      <w:r>
        <w:rPr>
          <w:rFonts w:hint="eastAsia" w:ascii="Calibri" w:hAnsi="Calibri" w:eastAsia="方正仿宋简体" w:cs="Times New Roman"/>
          <w:sz w:val="24"/>
          <w:szCs w:val="21"/>
          <w:lang w:val="en-US" w:eastAsia="zh-CN"/>
        </w:rPr>
        <w:t>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的专业基础课程，属于必修课程。本课程主要学习人体系统常见生活方式的疾病预防。通过本课程的学习，培养学生</w:t>
      </w:r>
      <w:r>
        <w:rPr>
          <w:rFonts w:hint="default" w:ascii="Calibri" w:hAnsi="Calibri" w:eastAsia="方正仿宋简体" w:cs="Times New Roman"/>
          <w:sz w:val="24"/>
          <w:szCs w:val="21"/>
          <w:lang w:val="en-US" w:eastAsia="zh-CN"/>
        </w:rPr>
        <w:t>对</w:t>
      </w:r>
      <w:r>
        <w:rPr>
          <w:rFonts w:hint="eastAsia" w:ascii="Calibri" w:hAnsi="Calibri" w:eastAsia="方正仿宋简体" w:cs="Times New Roman"/>
          <w:sz w:val="24"/>
          <w:szCs w:val="21"/>
          <w:lang w:val="en-US" w:eastAsia="zh-CN"/>
        </w:rPr>
        <w:t>儿童的</w:t>
      </w:r>
      <w:r>
        <w:rPr>
          <w:rFonts w:hint="default" w:ascii="Calibri" w:hAnsi="Calibri" w:eastAsia="方正仿宋简体" w:cs="Times New Roman"/>
          <w:sz w:val="24"/>
          <w:szCs w:val="21"/>
          <w:lang w:val="en-US" w:eastAsia="zh-CN"/>
        </w:rPr>
        <w:t>健康状况以及影响健康的风险因素进行全面检查、监测，收集躯体、</w:t>
      </w:r>
      <w:r>
        <w:rPr>
          <w:rFonts w:hint="default" w:ascii="Calibri" w:hAnsi="Calibri" w:eastAsia="方正仿宋简体" w:cs="Times New Roman"/>
          <w:sz w:val="24"/>
          <w:szCs w:val="21"/>
          <w:lang w:val="en-US" w:eastAsia="zh-CN"/>
        </w:rPr>
        <w:fldChar w:fldCharType="begin"/>
      </w:r>
      <w:r>
        <w:rPr>
          <w:rFonts w:hint="default" w:ascii="Calibri" w:hAnsi="Calibri" w:eastAsia="方正仿宋简体" w:cs="Times New Roman"/>
          <w:sz w:val="24"/>
          <w:szCs w:val="21"/>
          <w:lang w:val="en-US" w:eastAsia="zh-CN"/>
        </w:rPr>
        <w:instrText xml:space="preserve"> HYPERLINK "https://baike.baidu.com/item/%E5%BF%83%E7%90%86" \t "https://baike.baidu.com/item/%E5%81%A5%E5%BA%B7%E7%AE%A1%E7%90%86%E5%AD%A6/_blank" </w:instrText>
      </w:r>
      <w:r>
        <w:rPr>
          <w:rFonts w:hint="default" w:ascii="Calibri" w:hAnsi="Calibri" w:eastAsia="方正仿宋简体" w:cs="Times New Roman"/>
          <w:sz w:val="24"/>
          <w:szCs w:val="21"/>
          <w:lang w:val="en-US" w:eastAsia="zh-CN"/>
        </w:rPr>
        <w:fldChar w:fldCharType="separate"/>
      </w:r>
      <w:r>
        <w:rPr>
          <w:rFonts w:hint="default" w:ascii="Calibri" w:hAnsi="Calibri" w:eastAsia="方正仿宋简体" w:cs="Times New Roman"/>
          <w:sz w:val="24"/>
          <w:szCs w:val="21"/>
          <w:lang w:val="en-US" w:eastAsia="zh-CN"/>
        </w:rPr>
        <w:t>心理</w:t>
      </w:r>
      <w:r>
        <w:rPr>
          <w:rFonts w:hint="default" w:ascii="Calibri" w:hAnsi="Calibri" w:eastAsia="方正仿宋简体" w:cs="Times New Roman"/>
          <w:sz w:val="24"/>
          <w:szCs w:val="21"/>
          <w:lang w:val="en-US" w:eastAsia="zh-CN"/>
        </w:rPr>
        <w:fldChar w:fldCharType="end"/>
      </w:r>
      <w:r>
        <w:rPr>
          <w:rFonts w:hint="default" w:ascii="Calibri" w:hAnsi="Calibri" w:eastAsia="方正仿宋简体" w:cs="Times New Roman"/>
          <w:sz w:val="24"/>
          <w:szCs w:val="21"/>
          <w:lang w:val="en-US" w:eastAsia="zh-CN"/>
        </w:rPr>
        <w:t>、社交、心灵、</w:t>
      </w:r>
      <w:r>
        <w:rPr>
          <w:rFonts w:hint="default" w:ascii="Calibri" w:hAnsi="Calibri" w:eastAsia="方正仿宋简体" w:cs="Times New Roman"/>
          <w:sz w:val="24"/>
          <w:szCs w:val="21"/>
          <w:lang w:val="en-US" w:eastAsia="zh-CN"/>
        </w:rPr>
        <w:fldChar w:fldCharType="begin"/>
      </w:r>
      <w:r>
        <w:rPr>
          <w:rFonts w:hint="default" w:ascii="Calibri" w:hAnsi="Calibri" w:eastAsia="方正仿宋简体" w:cs="Times New Roman"/>
          <w:sz w:val="24"/>
          <w:szCs w:val="21"/>
          <w:lang w:val="en-US" w:eastAsia="zh-CN"/>
        </w:rPr>
        <w:instrText xml:space="preserve"> HYPERLINK "https://baike.baidu.com/item/%E6%99%BA%E5%8A%9B" \t "https://baike.baidu.com/item/%E5%81%A5%E5%BA%B7%E7%AE%A1%E7%90%86%E5%AD%A6/_blank" </w:instrText>
      </w:r>
      <w:r>
        <w:rPr>
          <w:rFonts w:hint="default" w:ascii="Calibri" w:hAnsi="Calibri" w:eastAsia="方正仿宋简体" w:cs="Times New Roman"/>
          <w:sz w:val="24"/>
          <w:szCs w:val="21"/>
          <w:lang w:val="en-US" w:eastAsia="zh-CN"/>
        </w:rPr>
        <w:fldChar w:fldCharType="separate"/>
      </w:r>
      <w:r>
        <w:rPr>
          <w:rFonts w:hint="default" w:ascii="Calibri" w:hAnsi="Calibri" w:eastAsia="方正仿宋简体" w:cs="Times New Roman"/>
          <w:sz w:val="24"/>
          <w:szCs w:val="21"/>
          <w:lang w:val="en-US" w:eastAsia="zh-CN"/>
        </w:rPr>
        <w:t>智力</w:t>
      </w:r>
      <w:r>
        <w:rPr>
          <w:rFonts w:hint="default" w:ascii="Calibri" w:hAnsi="Calibri" w:eastAsia="方正仿宋简体" w:cs="Times New Roman"/>
          <w:sz w:val="24"/>
          <w:szCs w:val="21"/>
          <w:lang w:val="en-US" w:eastAsia="zh-CN"/>
        </w:rPr>
        <w:fldChar w:fldCharType="end"/>
      </w:r>
      <w:r>
        <w:rPr>
          <w:rFonts w:hint="default" w:ascii="Calibri" w:hAnsi="Calibri" w:eastAsia="方正仿宋简体" w:cs="Times New Roman"/>
          <w:sz w:val="24"/>
          <w:szCs w:val="21"/>
          <w:lang w:val="en-US" w:eastAsia="zh-CN"/>
        </w:rPr>
        <w:t>、环境等多方面的信息</w:t>
      </w:r>
      <w:r>
        <w:rPr>
          <w:rFonts w:hint="eastAsia" w:ascii="Calibri" w:hAnsi="Calibri" w:eastAsia="方正仿宋简体" w:cs="Times New Roman"/>
          <w:sz w:val="24"/>
          <w:szCs w:val="21"/>
          <w:lang w:val="en-US" w:eastAsia="zh-CN"/>
        </w:rPr>
        <w:t>的能力；帮助学生</w:t>
      </w:r>
      <w:r>
        <w:rPr>
          <w:rFonts w:hint="default" w:ascii="Calibri" w:hAnsi="Calibri" w:eastAsia="方正仿宋简体" w:cs="Times New Roman"/>
          <w:sz w:val="24"/>
          <w:szCs w:val="21"/>
          <w:lang w:val="en-US" w:eastAsia="zh-CN"/>
        </w:rPr>
        <w:t>掌握影响健康的</w:t>
      </w:r>
      <w:r>
        <w:rPr>
          <w:rFonts w:hint="default" w:ascii="Calibri" w:hAnsi="Calibri" w:eastAsia="方正仿宋简体" w:cs="Times New Roman"/>
          <w:sz w:val="24"/>
          <w:szCs w:val="21"/>
          <w:lang w:val="en-US" w:eastAsia="zh-CN"/>
        </w:rPr>
        <w:fldChar w:fldCharType="begin"/>
      </w:r>
      <w:r>
        <w:rPr>
          <w:rFonts w:hint="default" w:ascii="Calibri" w:hAnsi="Calibri" w:eastAsia="方正仿宋简体" w:cs="Times New Roman"/>
          <w:sz w:val="24"/>
          <w:szCs w:val="21"/>
          <w:lang w:val="en-US" w:eastAsia="zh-CN"/>
        </w:rPr>
        <w:instrText xml:space="preserve"> HYPERLINK "https://baike.baidu.com/item/%E7%94%9F%E7%90%86" \t "https://baike.baidu.com/item/%E5%81%A5%E5%BA%B7%E7%AE%A1%E7%90%86%E5%AD%A6/_blank" </w:instrText>
      </w:r>
      <w:r>
        <w:rPr>
          <w:rFonts w:hint="default" w:ascii="Calibri" w:hAnsi="Calibri" w:eastAsia="方正仿宋简体" w:cs="Times New Roman"/>
          <w:sz w:val="24"/>
          <w:szCs w:val="21"/>
          <w:lang w:val="en-US" w:eastAsia="zh-CN"/>
        </w:rPr>
        <w:fldChar w:fldCharType="separate"/>
      </w:r>
      <w:r>
        <w:rPr>
          <w:rFonts w:hint="default" w:ascii="Calibri" w:hAnsi="Calibri" w:eastAsia="方正仿宋简体" w:cs="Times New Roman"/>
          <w:sz w:val="24"/>
          <w:szCs w:val="21"/>
          <w:lang w:val="en-US" w:eastAsia="zh-CN"/>
        </w:rPr>
        <w:t>生理</w:t>
      </w:r>
      <w:r>
        <w:rPr>
          <w:rFonts w:hint="default" w:ascii="Calibri" w:hAnsi="Calibri" w:eastAsia="方正仿宋简体" w:cs="Times New Roman"/>
          <w:sz w:val="24"/>
          <w:szCs w:val="21"/>
          <w:lang w:val="en-US" w:eastAsia="zh-CN"/>
        </w:rPr>
        <w:fldChar w:fldCharType="end"/>
      </w:r>
      <w:r>
        <w:rPr>
          <w:rFonts w:hint="default" w:ascii="Calibri" w:hAnsi="Calibri" w:eastAsia="方正仿宋简体" w:cs="Times New Roman"/>
          <w:sz w:val="24"/>
          <w:szCs w:val="21"/>
          <w:lang w:val="en-US" w:eastAsia="zh-CN"/>
        </w:rPr>
        <w:t>、心理及行为风险因素，</w:t>
      </w:r>
      <w:r>
        <w:rPr>
          <w:rFonts w:hint="eastAsia" w:ascii="Calibri" w:hAnsi="Calibri" w:eastAsia="方正仿宋简体" w:cs="Times New Roman"/>
          <w:sz w:val="24"/>
          <w:szCs w:val="21"/>
          <w:lang w:val="en-US" w:eastAsia="zh-CN"/>
        </w:rPr>
        <w:t>培养学生对个体健康状况进行</w:t>
      </w:r>
      <w:r>
        <w:rPr>
          <w:rFonts w:hint="default" w:ascii="Calibri" w:hAnsi="Calibri" w:eastAsia="方正仿宋简体" w:cs="Times New Roman"/>
          <w:sz w:val="24"/>
          <w:szCs w:val="21"/>
          <w:lang w:val="en-US" w:eastAsia="zh-CN"/>
        </w:rPr>
        <w:t>分析、评估，</w:t>
      </w:r>
      <w:r>
        <w:rPr>
          <w:rFonts w:hint="eastAsia" w:ascii="Calibri" w:hAnsi="Calibri" w:eastAsia="方正仿宋简体" w:cs="Times New Roman"/>
          <w:sz w:val="24"/>
          <w:szCs w:val="21"/>
          <w:lang w:val="en-US" w:eastAsia="zh-CN"/>
        </w:rPr>
        <w:t>并</w:t>
      </w:r>
      <w:r>
        <w:rPr>
          <w:rFonts w:hint="default" w:ascii="Calibri" w:hAnsi="Calibri" w:eastAsia="方正仿宋简体" w:cs="Times New Roman"/>
          <w:sz w:val="24"/>
          <w:szCs w:val="21"/>
          <w:lang w:val="en-US" w:eastAsia="zh-CN"/>
        </w:rPr>
        <w:t>给予信息反馈、提供咨询、行为干预、指导健康文明科学的生活方式等</w:t>
      </w:r>
      <w:r>
        <w:rPr>
          <w:rFonts w:hint="eastAsia" w:ascii="Calibri" w:hAnsi="Calibri" w:eastAsia="方正仿宋简体" w:cs="Times New Roman"/>
          <w:sz w:val="24"/>
          <w:szCs w:val="21"/>
          <w:lang w:val="en-US" w:eastAsia="zh-CN"/>
        </w:rPr>
        <w:t>的能力</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（5）儿科护理学                    考核方式：考试   学时：4/周</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儿科护理学是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 xml:space="preserve">的专业基础课程，属于必修课程。通过本课程的学习，使学生全面、系统地领会和掌握儿科护理的基本理论、基本知识和基本技能，提高临床观察、分析、判断和解决问题的能力，并能运用护理程序对患儿实施整体护理。为提高学生的创新思维、独立解决儿科临床护理问题奠定理论基础，并为以后幼儿保教工作奠定初步的实践基础。  </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6</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婴幼儿生理心理观察与评估</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eastAsia="方正仿宋简体" w:cs="Times New Roman"/>
          <w:sz w:val="24"/>
          <w:szCs w:val="21"/>
          <w:lang w:val="en-US" w:eastAsia="zh-CN"/>
        </w:rPr>
        <w:t>婴幼儿生理心理观察与评估</w:t>
      </w:r>
      <w:r>
        <w:rPr>
          <w:rFonts w:hint="eastAsia" w:ascii="Calibri" w:hAnsi="Calibri" w:eastAsia="方正仿宋简体" w:cs="Times New Roman"/>
          <w:sz w:val="24"/>
          <w:szCs w:val="21"/>
          <w:lang w:val="en-US" w:eastAsia="zh-CN"/>
        </w:rPr>
        <w:t>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的专业核心课程，属于必修课程。本课程主要学习如何</w:t>
      </w:r>
      <w:r>
        <w:rPr>
          <w:rFonts w:hint="eastAsia" w:eastAsia="方正仿宋简体" w:cs="Times New Roman"/>
          <w:sz w:val="24"/>
          <w:szCs w:val="21"/>
          <w:lang w:val="en-US" w:eastAsia="zh-CN"/>
        </w:rPr>
        <w:t>在观察中</w:t>
      </w:r>
      <w:r>
        <w:rPr>
          <w:rFonts w:hint="eastAsia" w:ascii="Calibri" w:hAnsi="Calibri" w:eastAsia="方正仿宋简体" w:cs="Times New Roman"/>
          <w:sz w:val="24"/>
          <w:szCs w:val="21"/>
          <w:lang w:val="en-US" w:eastAsia="zh-CN"/>
        </w:rPr>
        <w:t>收集</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幼儿身心各方面发展水平的数据并做出系统客观的分析和评价。通过本课程的学习使学生能够依据</w:t>
      </w:r>
      <w:r>
        <w:rPr>
          <w:rFonts w:hint="eastAsia" w:eastAsia="方正仿宋简体" w:cs="Times New Roman"/>
          <w:sz w:val="24"/>
          <w:szCs w:val="21"/>
          <w:lang w:val="en-US" w:eastAsia="zh-CN"/>
        </w:rPr>
        <w:t>婴</w:t>
      </w:r>
      <w:r>
        <w:rPr>
          <w:rFonts w:hint="eastAsia" w:ascii="Calibri" w:hAnsi="Calibri" w:eastAsia="方正仿宋简体" w:cs="Times New Roman"/>
          <w:sz w:val="24"/>
          <w:szCs w:val="21"/>
          <w:lang w:val="en-US" w:eastAsia="zh-CN"/>
        </w:rPr>
        <w:t>幼儿身心发展规律，</w:t>
      </w:r>
      <w:r>
        <w:rPr>
          <w:rFonts w:hint="eastAsia" w:eastAsia="方正仿宋简体" w:cs="Times New Roman"/>
          <w:sz w:val="24"/>
          <w:szCs w:val="21"/>
          <w:lang w:val="en-US" w:eastAsia="zh-CN"/>
        </w:rPr>
        <w:t>科学观察并记录，以及</w:t>
      </w:r>
      <w:r>
        <w:rPr>
          <w:rFonts w:hint="eastAsia" w:ascii="Calibri" w:hAnsi="Calibri" w:eastAsia="方正仿宋简体" w:cs="Times New Roman"/>
          <w:sz w:val="24"/>
          <w:szCs w:val="21"/>
          <w:lang w:val="en-US" w:eastAsia="zh-CN"/>
        </w:rPr>
        <w:t>采用科学的评估标准，从生理、心理和社会性等方面对幼儿各方面及整体的发展状况进行准确的测量和评估。</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7</w:t>
      </w:r>
      <w:r>
        <w:rPr>
          <w:rFonts w:hint="eastAsia" w:ascii="Calibri" w:hAnsi="Calibri" w:eastAsia="方正仿宋简体" w:cs="Times New Roman"/>
          <w:sz w:val="24"/>
          <w:szCs w:val="21"/>
          <w:lang w:val="en-US" w:eastAsia="zh-CN"/>
        </w:rPr>
        <w:t>）</w:t>
      </w:r>
      <w:r>
        <w:rPr>
          <w:rFonts w:hint="eastAsia" w:eastAsia="方正仿宋简体" w:cs="Times New Roman"/>
          <w:sz w:val="24"/>
          <w:szCs w:val="21"/>
          <w:lang w:val="en-US" w:eastAsia="zh-CN"/>
        </w:rPr>
        <w:t>婴幼儿</w:t>
      </w:r>
      <w:r>
        <w:rPr>
          <w:rFonts w:hint="eastAsia" w:ascii="Calibri" w:hAnsi="Calibri" w:eastAsia="方正仿宋简体" w:cs="Times New Roman"/>
          <w:sz w:val="24"/>
          <w:szCs w:val="21"/>
          <w:lang w:val="en-US" w:eastAsia="zh-CN"/>
        </w:rPr>
        <w:t>游戏理论与指导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主要学习学前儿童游戏的基本理论、幼儿游戏环境规划、幼儿游戏观察与评价、各类游戏组织与指导等方面的相关理念与知识。通过本课程的学习，培养学生初步学会组织与指导幼儿开展各类游戏，提高有效观察、指导和评价幼儿游戏的能力，提升专业素养；培养学生正确的儿童观、游戏观、教师观、教育观，以及对幼儿教育的职业认同感和职业信念。</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eastAsia="方正仿宋简体" w:cs="Times New Roman"/>
          <w:sz w:val="24"/>
          <w:szCs w:val="21"/>
          <w:lang w:val="en-US" w:eastAsia="zh-CN"/>
        </w:rPr>
        <w:t>（8）婴幼儿家园共育</w:t>
      </w:r>
      <w:r>
        <w:rPr>
          <w:rFonts w:hint="eastAsia" w:ascii="Calibri" w:hAnsi="Calibri" w:eastAsia="方正仿宋简体" w:cs="Times New Roman"/>
          <w:sz w:val="24"/>
          <w:szCs w:val="21"/>
          <w:lang w:val="en-US" w:eastAsia="zh-CN"/>
        </w:rPr>
        <w:t xml:space="preserve">         考核方式：考试   学时：4/周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是门专业核心课，学习此课程，有助于本专业学生深刻理解婴幼儿家庭教育的特征，掌握托儿所、婴幼儿家长工作的基本知识和技能，以便在实践中能充分发挥家庭教育的作用，进一步促进家长支持、配合、参与托儿所、婴幼儿教育的积极性，促进婴幼儿更好地成长发展。</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4.专业选修课程</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（1）奥尔夫音乐活动             考核方式：考查   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奥尔夫音乐活动是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专业选修课程，属于选修课程。本课程根据奥尔夫原本性音乐教育的原理和幼儿园教育大纲精神，培养学生的感知反应能力、领悟能力、身体各部或心脑的协调能力、记忆力、创造力和交流沟通能力，同时培养学生在艺术方面的感觉</w:t>
      </w:r>
      <w:r>
        <w:rPr>
          <w:rFonts w:hint="default" w:ascii="Calibri" w:hAnsi="Calibri" w:eastAsia="方正仿宋简体" w:cs="Times New Roman"/>
          <w:sz w:val="24"/>
          <w:szCs w:val="21"/>
          <w:lang w:val="en-US" w:eastAsia="zh-CN"/>
        </w:rPr>
        <w:t>(</w:t>
      </w:r>
      <w:r>
        <w:rPr>
          <w:rFonts w:hint="eastAsia" w:ascii="Calibri" w:hAnsi="Calibri" w:eastAsia="方正仿宋简体" w:cs="Times New Roman"/>
          <w:sz w:val="24"/>
          <w:szCs w:val="21"/>
          <w:lang w:val="en-US" w:eastAsia="zh-CN"/>
        </w:rPr>
        <w:t>及情感体验</w:t>
      </w:r>
      <w:r>
        <w:rPr>
          <w:rFonts w:hint="default" w:ascii="Calibri" w:hAnsi="Calibri" w:eastAsia="方正仿宋简体" w:cs="Times New Roman"/>
          <w:sz w:val="24"/>
          <w:szCs w:val="21"/>
          <w:lang w:val="en-US" w:eastAsia="zh-CN"/>
        </w:rPr>
        <w:t>)</w:t>
      </w:r>
      <w:r>
        <w:rPr>
          <w:rFonts w:hint="eastAsia" w:ascii="Calibri" w:hAnsi="Calibri" w:eastAsia="方正仿宋简体" w:cs="Times New Roman"/>
          <w:sz w:val="24"/>
          <w:szCs w:val="21"/>
          <w:lang w:val="en-US" w:eastAsia="zh-CN"/>
        </w:rPr>
        <w:t>、表现、创编的能力，并通过亲自参与的活动</w:t>
      </w:r>
      <w:r>
        <w:rPr>
          <w:rFonts w:hint="default" w:ascii="Calibri" w:hAnsi="Calibri" w:eastAsia="方正仿宋简体" w:cs="Times New Roman"/>
          <w:sz w:val="24"/>
          <w:szCs w:val="21"/>
          <w:lang w:val="en-US" w:eastAsia="zh-CN"/>
        </w:rPr>
        <w:t>(</w:t>
      </w:r>
      <w:r>
        <w:rPr>
          <w:rFonts w:hint="eastAsia" w:ascii="Calibri" w:hAnsi="Calibri" w:eastAsia="方正仿宋简体" w:cs="Times New Roman"/>
          <w:sz w:val="24"/>
          <w:szCs w:val="21"/>
          <w:lang w:val="en-US" w:eastAsia="zh-CN"/>
        </w:rPr>
        <w:t>说、唱、奏、动、听、游戏等</w:t>
      </w:r>
      <w:r>
        <w:rPr>
          <w:rFonts w:hint="default" w:ascii="Calibri" w:hAnsi="Calibri" w:eastAsia="方正仿宋简体" w:cs="Times New Roman"/>
          <w:sz w:val="24"/>
          <w:szCs w:val="21"/>
          <w:lang w:val="en-US" w:eastAsia="zh-CN"/>
        </w:rPr>
        <w:t>)</w:t>
      </w:r>
      <w:r>
        <w:rPr>
          <w:rFonts w:hint="eastAsia" w:ascii="Calibri" w:hAnsi="Calibri" w:eastAsia="方正仿宋简体" w:cs="Times New Roman"/>
          <w:sz w:val="24"/>
          <w:szCs w:val="21"/>
          <w:lang w:val="en-US" w:eastAsia="zh-CN"/>
        </w:rPr>
        <w:t>，去探究、发现和表现艺术。</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bookmarkStart w:id="0" w:name="6144381-6357557-3"/>
      <w:bookmarkEnd w:id="0"/>
      <w:r>
        <w:rPr>
          <w:rFonts w:hint="eastAsia" w:ascii="Calibri" w:hAnsi="Calibri" w:eastAsia="方正仿宋简体" w:cs="Times New Roman"/>
          <w:sz w:val="24"/>
          <w:szCs w:val="21"/>
          <w:lang w:val="en-US" w:eastAsia="zh-CN"/>
        </w:rPr>
        <w:t>（2）</w:t>
      </w:r>
      <w:r>
        <w:rPr>
          <w:rFonts w:hint="eastAsia" w:eastAsia="方正仿宋简体" w:cs="Times New Roman"/>
          <w:sz w:val="24"/>
          <w:szCs w:val="21"/>
          <w:lang w:val="en-US" w:eastAsia="zh-CN"/>
        </w:rPr>
        <w:t>蒙台梭利教学法</w:t>
      </w:r>
      <w:r>
        <w:rPr>
          <w:rFonts w:hint="default" w:ascii="Calibri" w:hAnsi="Calibri" w:eastAsia="方正仿宋简体" w:cs="Times New Roman"/>
          <w:sz w:val="24"/>
          <w:szCs w:val="21"/>
          <w:lang w:val="en-US" w:eastAsia="zh-CN"/>
        </w:rPr>
        <w:t xml:space="preserve">   </w:t>
      </w:r>
      <w:r>
        <w:rPr>
          <w:rFonts w:hint="eastAsia" w:ascii="Calibri" w:hAnsi="Calibri" w:eastAsia="方正仿宋简体" w:cs="Times New Roman"/>
          <w:sz w:val="24"/>
          <w:szCs w:val="21"/>
          <w:lang w:val="en-US" w:eastAsia="zh-CN"/>
        </w:rPr>
        <w:t xml:space="preserve">               考核方式：考查</w:t>
      </w:r>
      <w:r>
        <w:rPr>
          <w:rFonts w:hint="default" w:ascii="Calibri" w:hAnsi="Calibri" w:eastAsia="方正仿宋简体" w:cs="Times New Roman"/>
          <w:sz w:val="24"/>
          <w:szCs w:val="21"/>
          <w:lang w:val="en-US" w:eastAsia="zh-CN"/>
        </w:rPr>
        <w:t xml:space="preserve">   </w:t>
      </w:r>
      <w:r>
        <w:rPr>
          <w:rFonts w:hint="eastAsia" w:ascii="Calibri" w:hAnsi="Calibri" w:eastAsia="方正仿宋简体" w:cs="Times New Roman"/>
          <w:sz w:val="24"/>
          <w:szCs w:val="21"/>
          <w:lang w:val="en-US" w:eastAsia="zh-CN"/>
        </w:rPr>
        <w:t>学时：2/周</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本课程旨在让学生了解蒙台梭利教育理念，包括儿童发展观、教师观、教学观：其次把握蒙台梭利教育的组成，包括日常生活教育、感官教育、数学教育、语言教育、科学文化教育五大方面，最后掌握五大方面教具的构成及其相应的操作运用。这是一门理论性与实操性相结合的课程，要求学生在了解并把握蒙台梭利教育理念的前提下学习蒙台梭利教具的操作运用，尤其要掌握感官教育和数学教育领域的教具，使学生在毕业后具备从事一线蒙氏教学所需要的理念、知识与技能；在此基础上，要求学生思考蒙氏教具的继承、发展与创新问题，能够根据教学对象以及实际的教学条件创造性地实施蒙氏教学，在蒙氏教育的中国化问题上要形成自己的理解。</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val="en-US" w:eastAsia="zh-CN"/>
        </w:rPr>
      </w:pPr>
      <w:r>
        <w:rPr>
          <w:rFonts w:hint="eastAsia" w:ascii="Calibri" w:hAnsi="Calibri" w:eastAsia="方正仿宋简体" w:cs="Times New Roman"/>
          <w:sz w:val="28"/>
          <w:szCs w:val="22"/>
          <w:lang w:val="en-US" w:eastAsia="zh-CN"/>
        </w:rPr>
        <w:t>（五）主要实践实训</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 xml:space="preserve">1.军事教育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通过军事训练和国防教育，对学生进行爱国主义、集体主义和国防意识教育，培养学生吃苦耐劳的精神及集体荣誉感。</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2.专业见习</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专业见习是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中的一个重要教学环节。通过专业见习，可以更新和充实教学内容，有利于学生提前介入专业角色，激发和培养他们热爱幼教工作，帮助学生了解一名专业的幼教工作人员应具备的基本素养，树立成长为一名合格幼教人员的自觉意识；在学生对幼儿发展特点和规律获得感性认识的基础上，使其在专业知识的学习过程中与幼儿教育的背景相联系，增强学生学习的目的性、针对性和主动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3.跟岗实习</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跟岗实习是学生思想道德、文化知识、教育理论和职业技能训练等方面的综合实践课，是</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学习的必要环节。实习实践有利于</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的学生了解幼儿，熟悉幼儿特点，巩固专业思想，全面锻炼和提高操作技能和专业能力，养成良好的职业素养。</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4.顶岗实习</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顶岗实习是高等职业院校</w:t>
      </w: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教学的重要组成部分，是培养学生良好职业道德，强化学生实践能力和职业技能，提高综合职业能力的重要实践性教学环节。通过顶岗实习，能够使学生更好地将理论和实践结合，全面巩固和锻炼学生的职业技能和实际岗位工作能力，为就业奠定坚实基础。</w:t>
      </w:r>
    </w:p>
    <w:p>
      <w:pPr>
        <w:pageBreakBefore w:val="0"/>
        <w:kinsoku/>
        <w:wordWrap/>
        <w:overflowPunct w:val="0"/>
        <w:topLinePunct w:val="0"/>
        <w:bidi w:val="0"/>
        <w:spacing w:line="360" w:lineRule="auto"/>
        <w:ind w:firstLine="560" w:firstLineChars="200"/>
        <w:textAlignment w:val="auto"/>
        <w:rPr>
          <w:rFonts w:hint="eastAsia" w:ascii="仿宋_GB2312" w:hAnsi="Arial" w:eastAsia="仿宋_GB2312"/>
          <w:b/>
          <w:bCs/>
          <w:sz w:val="28"/>
          <w:szCs w:val="28"/>
          <w:lang w:val="en-US" w:eastAsia="zh-CN"/>
        </w:rPr>
      </w:pPr>
      <w:r>
        <w:rPr>
          <w:rFonts w:hint="eastAsia" w:ascii="Calibri" w:hAnsi="Calibri" w:eastAsia="方正仿宋简体" w:cs="Times New Roman"/>
          <w:sz w:val="28"/>
          <w:szCs w:val="22"/>
          <w:lang w:val="en-US" w:eastAsia="zh-CN"/>
        </w:rPr>
        <w:t>（六）教学计划</w:t>
      </w:r>
    </w:p>
    <w:tbl>
      <w:tblPr>
        <w:tblStyle w:val="5"/>
        <w:tblpPr w:leftFromText="180" w:rightFromText="180" w:vertAnchor="text" w:horzAnchor="page" w:tblpX="2358" w:tblpY="788"/>
        <w:tblOverlap w:val="never"/>
        <w:tblW w:w="441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9"/>
        <w:gridCol w:w="381"/>
        <w:gridCol w:w="502"/>
        <w:gridCol w:w="1426"/>
        <w:gridCol w:w="467"/>
        <w:gridCol w:w="553"/>
        <w:gridCol w:w="467"/>
        <w:gridCol w:w="467"/>
        <w:gridCol w:w="467"/>
        <w:gridCol w:w="485"/>
        <w:gridCol w:w="468"/>
        <w:gridCol w:w="498"/>
        <w:gridCol w:w="481"/>
        <w:gridCol w:w="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504" w:type="pct"/>
            <w:gridSpan w:val="2"/>
            <w:vMerge w:val="restart"/>
            <w:noWrap w:val="0"/>
            <w:vAlign w:val="center"/>
          </w:tcPr>
          <w:p>
            <w:pPr>
              <w:widowControl/>
              <w:jc w:val="center"/>
              <w:rPr>
                <w:rFonts w:ascii="宋体" w:hAnsi="宋体" w:cs="宋体"/>
                <w:b/>
                <w:bCs/>
                <w:color w:val="auto"/>
                <w:kern w:val="0"/>
                <w:sz w:val="18"/>
                <w:szCs w:val="18"/>
              </w:rPr>
            </w:pPr>
            <w:bookmarkStart w:id="1" w:name="_GoBack"/>
            <w:r>
              <w:rPr>
                <w:rFonts w:hint="eastAsia" w:ascii="宋体" w:hAnsi="宋体" w:cs="宋体"/>
                <w:b/>
                <w:bCs/>
                <w:color w:val="auto"/>
                <w:kern w:val="0"/>
                <w:sz w:val="18"/>
                <w:szCs w:val="18"/>
              </w:rPr>
              <w:t>类别</w:t>
            </w:r>
          </w:p>
        </w:tc>
        <w:tc>
          <w:tcPr>
            <w:tcW w:w="333" w:type="pct"/>
            <w:vMerge w:val="restart"/>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序号</w:t>
            </w:r>
          </w:p>
        </w:tc>
        <w:tc>
          <w:tcPr>
            <w:tcW w:w="947" w:type="pct"/>
            <w:vMerge w:val="restart"/>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课程名称</w:t>
            </w:r>
          </w:p>
        </w:tc>
        <w:tc>
          <w:tcPr>
            <w:tcW w:w="310" w:type="pct"/>
            <w:vMerge w:val="restart"/>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学分</w:t>
            </w:r>
          </w:p>
        </w:tc>
        <w:tc>
          <w:tcPr>
            <w:tcW w:w="2904" w:type="pct"/>
            <w:gridSpan w:val="9"/>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按学期分配学时数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504" w:type="pct"/>
            <w:gridSpan w:val="2"/>
            <w:vMerge w:val="continue"/>
            <w:noWrap w:val="0"/>
            <w:vAlign w:val="center"/>
          </w:tcPr>
          <w:p>
            <w:pPr>
              <w:widowControl/>
              <w:jc w:val="left"/>
              <w:rPr>
                <w:rFonts w:ascii="宋体" w:hAnsi="宋体" w:cs="宋体"/>
                <w:b/>
                <w:bCs/>
                <w:color w:val="auto"/>
                <w:kern w:val="0"/>
                <w:sz w:val="18"/>
                <w:szCs w:val="18"/>
              </w:rPr>
            </w:pPr>
          </w:p>
        </w:tc>
        <w:tc>
          <w:tcPr>
            <w:tcW w:w="333" w:type="pct"/>
            <w:vMerge w:val="continue"/>
            <w:noWrap w:val="0"/>
            <w:vAlign w:val="center"/>
          </w:tcPr>
          <w:p>
            <w:pPr>
              <w:widowControl/>
              <w:jc w:val="left"/>
              <w:rPr>
                <w:rFonts w:ascii="宋体" w:hAnsi="宋体" w:cs="宋体"/>
                <w:b/>
                <w:bCs/>
                <w:color w:val="auto"/>
                <w:kern w:val="0"/>
                <w:sz w:val="18"/>
                <w:szCs w:val="18"/>
              </w:rPr>
            </w:pPr>
          </w:p>
        </w:tc>
        <w:tc>
          <w:tcPr>
            <w:tcW w:w="947"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67" w:type="pct"/>
            <w:vMerge w:val="restart"/>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学时数</w:t>
            </w:r>
          </w:p>
        </w:tc>
        <w:tc>
          <w:tcPr>
            <w:tcW w:w="310" w:type="pct"/>
            <w:vMerge w:val="restart"/>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理</w:t>
            </w:r>
            <w:r>
              <w:rPr>
                <w:rFonts w:ascii="Times New Roman" w:hAnsi="Times New Roman"/>
                <w:b/>
                <w:bCs/>
                <w:color w:val="auto"/>
                <w:kern w:val="0"/>
                <w:sz w:val="18"/>
                <w:szCs w:val="18"/>
              </w:rPr>
              <w:t xml:space="preserve"> </w:t>
            </w:r>
            <w:r>
              <w:rPr>
                <w:rFonts w:hint="eastAsia" w:ascii="宋体" w:hAnsi="宋体" w:cs="宋体"/>
                <w:b/>
                <w:bCs/>
                <w:color w:val="auto"/>
                <w:kern w:val="0"/>
                <w:sz w:val="18"/>
                <w:szCs w:val="18"/>
              </w:rPr>
              <w:t>论</w:t>
            </w:r>
          </w:p>
        </w:tc>
        <w:tc>
          <w:tcPr>
            <w:tcW w:w="310" w:type="pct"/>
            <w:vMerge w:val="restart"/>
            <w:noWrap w:val="0"/>
            <w:vAlign w:val="center"/>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实</w:t>
            </w:r>
            <w:r>
              <w:rPr>
                <w:rFonts w:ascii="Times New Roman" w:hAnsi="Times New Roman"/>
                <w:b/>
                <w:bCs/>
                <w:color w:val="auto"/>
                <w:kern w:val="0"/>
                <w:sz w:val="18"/>
                <w:szCs w:val="18"/>
              </w:rPr>
              <w:t xml:space="preserve">  </w:t>
            </w:r>
            <w:r>
              <w:rPr>
                <w:rFonts w:hint="eastAsia" w:ascii="宋体" w:hAnsi="宋体" w:cs="宋体"/>
                <w:b/>
                <w:bCs/>
                <w:color w:val="auto"/>
                <w:kern w:val="0"/>
                <w:sz w:val="18"/>
                <w:szCs w:val="18"/>
              </w:rPr>
              <w:t>践</w:t>
            </w:r>
          </w:p>
        </w:tc>
        <w:tc>
          <w:tcPr>
            <w:tcW w:w="632" w:type="pct"/>
            <w:gridSpan w:val="2"/>
            <w:noWrap w:val="0"/>
            <w:vAlign w:val="top"/>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第一学年</w:t>
            </w:r>
          </w:p>
        </w:tc>
        <w:tc>
          <w:tcPr>
            <w:tcW w:w="641" w:type="pct"/>
            <w:gridSpan w:val="2"/>
            <w:noWrap w:val="0"/>
            <w:vAlign w:val="top"/>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第二学年</w:t>
            </w:r>
          </w:p>
        </w:tc>
        <w:tc>
          <w:tcPr>
            <w:tcW w:w="642" w:type="pct"/>
            <w:gridSpan w:val="2"/>
            <w:noWrap w:val="0"/>
            <w:vAlign w:val="top"/>
          </w:tcPr>
          <w:p>
            <w:pPr>
              <w:widowControl/>
              <w:jc w:val="center"/>
              <w:rPr>
                <w:rFonts w:ascii="宋体" w:hAnsi="宋体" w:cs="宋体"/>
                <w:b/>
                <w:bCs/>
                <w:color w:val="auto"/>
                <w:kern w:val="0"/>
                <w:sz w:val="18"/>
                <w:szCs w:val="18"/>
              </w:rPr>
            </w:pPr>
            <w:r>
              <w:rPr>
                <w:rFonts w:hint="eastAsia" w:ascii="宋体" w:hAnsi="宋体" w:cs="宋体"/>
                <w:b/>
                <w:bCs/>
                <w:color w:val="auto"/>
                <w:kern w:val="0"/>
                <w:sz w:val="18"/>
                <w:szCs w:val="18"/>
              </w:rPr>
              <w:t>第三学年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504" w:type="pct"/>
            <w:gridSpan w:val="2"/>
            <w:vMerge w:val="continue"/>
            <w:noWrap w:val="0"/>
            <w:vAlign w:val="center"/>
          </w:tcPr>
          <w:p>
            <w:pPr>
              <w:widowControl/>
              <w:jc w:val="left"/>
              <w:rPr>
                <w:rFonts w:ascii="宋体" w:hAnsi="宋体" w:cs="宋体"/>
                <w:b/>
                <w:bCs/>
                <w:color w:val="auto"/>
                <w:kern w:val="0"/>
                <w:sz w:val="18"/>
                <w:szCs w:val="18"/>
              </w:rPr>
            </w:pPr>
          </w:p>
        </w:tc>
        <w:tc>
          <w:tcPr>
            <w:tcW w:w="333" w:type="pct"/>
            <w:vMerge w:val="continue"/>
            <w:noWrap w:val="0"/>
            <w:vAlign w:val="center"/>
          </w:tcPr>
          <w:p>
            <w:pPr>
              <w:widowControl/>
              <w:jc w:val="left"/>
              <w:rPr>
                <w:rFonts w:ascii="宋体" w:hAnsi="宋体" w:cs="宋体"/>
                <w:b/>
                <w:bCs/>
                <w:color w:val="auto"/>
                <w:kern w:val="0"/>
                <w:sz w:val="18"/>
                <w:szCs w:val="18"/>
              </w:rPr>
            </w:pPr>
          </w:p>
        </w:tc>
        <w:tc>
          <w:tcPr>
            <w:tcW w:w="947"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67"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10" w:type="pct"/>
            <w:noWrap w:val="0"/>
            <w:vAlign w:val="top"/>
          </w:tcPr>
          <w:p>
            <w:pPr>
              <w:widowControl/>
              <w:jc w:val="center"/>
              <w:rPr>
                <w:rFonts w:ascii="宋体" w:hAnsi="宋体" w:cs="宋体"/>
                <w:b/>
                <w:bCs/>
                <w:color w:val="auto"/>
                <w:kern w:val="0"/>
                <w:sz w:val="18"/>
                <w:szCs w:val="18"/>
                <w:highlight w:val="none"/>
              </w:rPr>
            </w:pPr>
            <w:r>
              <w:rPr>
                <w:rFonts w:hint="eastAsia" w:ascii="宋体" w:hAnsi="宋体" w:cs="宋体"/>
                <w:b/>
                <w:bCs/>
                <w:color w:val="auto"/>
                <w:kern w:val="0"/>
                <w:sz w:val="18"/>
                <w:szCs w:val="18"/>
                <w:highlight w:val="none"/>
              </w:rPr>
              <w:t>一</w:t>
            </w:r>
          </w:p>
        </w:tc>
        <w:tc>
          <w:tcPr>
            <w:tcW w:w="322" w:type="pct"/>
            <w:noWrap w:val="0"/>
            <w:vAlign w:val="top"/>
          </w:tcPr>
          <w:p>
            <w:pPr>
              <w:widowControl/>
              <w:jc w:val="center"/>
              <w:rPr>
                <w:rFonts w:ascii="宋体" w:hAnsi="宋体" w:cs="宋体"/>
                <w:b/>
                <w:bCs/>
                <w:color w:val="auto"/>
                <w:kern w:val="0"/>
                <w:sz w:val="18"/>
                <w:szCs w:val="18"/>
                <w:highlight w:val="none"/>
              </w:rPr>
            </w:pPr>
            <w:r>
              <w:rPr>
                <w:rFonts w:hint="eastAsia" w:ascii="宋体" w:hAnsi="宋体" w:cs="宋体"/>
                <w:b/>
                <w:bCs/>
                <w:color w:val="auto"/>
                <w:kern w:val="0"/>
                <w:sz w:val="18"/>
                <w:szCs w:val="18"/>
                <w:highlight w:val="none"/>
              </w:rPr>
              <w:t>二</w:t>
            </w:r>
          </w:p>
        </w:tc>
        <w:tc>
          <w:tcPr>
            <w:tcW w:w="310" w:type="pct"/>
            <w:noWrap w:val="0"/>
            <w:vAlign w:val="top"/>
          </w:tcPr>
          <w:p>
            <w:pPr>
              <w:widowControl/>
              <w:jc w:val="center"/>
              <w:rPr>
                <w:rFonts w:ascii="宋体" w:hAnsi="宋体" w:cs="宋体"/>
                <w:b/>
                <w:bCs/>
                <w:color w:val="auto"/>
                <w:kern w:val="0"/>
                <w:sz w:val="18"/>
                <w:szCs w:val="18"/>
                <w:highlight w:val="none"/>
              </w:rPr>
            </w:pPr>
            <w:r>
              <w:rPr>
                <w:rFonts w:hint="eastAsia" w:ascii="宋体" w:hAnsi="宋体" w:cs="宋体"/>
                <w:b/>
                <w:bCs/>
                <w:color w:val="auto"/>
                <w:kern w:val="0"/>
                <w:sz w:val="18"/>
                <w:szCs w:val="18"/>
                <w:highlight w:val="none"/>
              </w:rPr>
              <w:t>一</w:t>
            </w:r>
          </w:p>
        </w:tc>
        <w:tc>
          <w:tcPr>
            <w:tcW w:w="330" w:type="pct"/>
            <w:noWrap w:val="0"/>
            <w:vAlign w:val="top"/>
          </w:tcPr>
          <w:p>
            <w:pPr>
              <w:widowControl/>
              <w:jc w:val="center"/>
              <w:rPr>
                <w:rFonts w:ascii="宋体" w:hAnsi="宋体" w:cs="宋体"/>
                <w:b/>
                <w:bCs/>
                <w:color w:val="auto"/>
                <w:kern w:val="0"/>
                <w:sz w:val="18"/>
                <w:szCs w:val="18"/>
                <w:highlight w:val="none"/>
              </w:rPr>
            </w:pPr>
            <w:r>
              <w:rPr>
                <w:rFonts w:hint="eastAsia" w:ascii="宋体" w:hAnsi="宋体" w:cs="宋体"/>
                <w:b/>
                <w:bCs/>
                <w:color w:val="auto"/>
                <w:kern w:val="0"/>
                <w:sz w:val="18"/>
                <w:szCs w:val="18"/>
                <w:highlight w:val="none"/>
              </w:rPr>
              <w:t>二</w:t>
            </w:r>
          </w:p>
        </w:tc>
        <w:tc>
          <w:tcPr>
            <w:tcW w:w="319" w:type="pct"/>
            <w:noWrap w:val="0"/>
            <w:vAlign w:val="top"/>
          </w:tcPr>
          <w:p>
            <w:pPr>
              <w:widowControl/>
              <w:jc w:val="center"/>
              <w:rPr>
                <w:rFonts w:ascii="宋体" w:hAnsi="宋体" w:cs="宋体"/>
                <w:b/>
                <w:bCs/>
                <w:color w:val="auto"/>
                <w:kern w:val="0"/>
                <w:sz w:val="18"/>
                <w:szCs w:val="18"/>
                <w:highlight w:val="none"/>
              </w:rPr>
            </w:pPr>
            <w:r>
              <w:rPr>
                <w:rFonts w:hint="eastAsia" w:ascii="宋体" w:hAnsi="宋体" w:cs="宋体"/>
                <w:b/>
                <w:bCs/>
                <w:color w:val="auto"/>
                <w:kern w:val="0"/>
                <w:sz w:val="18"/>
                <w:szCs w:val="18"/>
                <w:highlight w:val="none"/>
              </w:rPr>
              <w:t>一</w:t>
            </w:r>
          </w:p>
        </w:tc>
        <w:tc>
          <w:tcPr>
            <w:tcW w:w="322" w:type="pct"/>
            <w:noWrap w:val="0"/>
            <w:vAlign w:val="top"/>
          </w:tcPr>
          <w:p>
            <w:pPr>
              <w:widowControl/>
              <w:jc w:val="center"/>
              <w:rPr>
                <w:rFonts w:ascii="宋体" w:hAnsi="宋体" w:cs="宋体"/>
                <w:b/>
                <w:bCs/>
                <w:color w:val="auto"/>
                <w:kern w:val="0"/>
                <w:sz w:val="18"/>
                <w:szCs w:val="18"/>
                <w:highlight w:val="none"/>
              </w:rPr>
            </w:pPr>
            <w:r>
              <w:rPr>
                <w:rFonts w:hint="eastAsia" w:ascii="宋体" w:hAnsi="宋体" w:cs="宋体"/>
                <w:b/>
                <w:bCs/>
                <w:color w:val="auto"/>
                <w:kern w:val="0"/>
                <w:sz w:val="18"/>
                <w:szCs w:val="18"/>
                <w:highlight w:val="none"/>
              </w:rPr>
              <w:t>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504" w:type="pct"/>
            <w:gridSpan w:val="2"/>
            <w:vMerge w:val="continue"/>
            <w:noWrap w:val="0"/>
            <w:vAlign w:val="center"/>
          </w:tcPr>
          <w:p>
            <w:pPr>
              <w:widowControl/>
              <w:jc w:val="left"/>
              <w:rPr>
                <w:rFonts w:ascii="宋体" w:hAnsi="宋体" w:cs="宋体"/>
                <w:b/>
                <w:bCs/>
                <w:color w:val="auto"/>
                <w:kern w:val="0"/>
                <w:sz w:val="18"/>
                <w:szCs w:val="18"/>
              </w:rPr>
            </w:pPr>
          </w:p>
        </w:tc>
        <w:tc>
          <w:tcPr>
            <w:tcW w:w="333" w:type="pct"/>
            <w:vMerge w:val="continue"/>
            <w:noWrap w:val="0"/>
            <w:vAlign w:val="center"/>
          </w:tcPr>
          <w:p>
            <w:pPr>
              <w:widowControl/>
              <w:jc w:val="left"/>
              <w:rPr>
                <w:rFonts w:ascii="宋体" w:hAnsi="宋体" w:cs="宋体"/>
                <w:b/>
                <w:bCs/>
                <w:color w:val="auto"/>
                <w:kern w:val="0"/>
                <w:sz w:val="18"/>
                <w:szCs w:val="18"/>
              </w:rPr>
            </w:pPr>
          </w:p>
        </w:tc>
        <w:tc>
          <w:tcPr>
            <w:tcW w:w="947"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67"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10" w:type="pct"/>
            <w:vMerge w:val="continue"/>
            <w:noWrap w:val="0"/>
            <w:vAlign w:val="center"/>
          </w:tcPr>
          <w:p>
            <w:pPr>
              <w:widowControl/>
              <w:jc w:val="left"/>
              <w:rPr>
                <w:rFonts w:ascii="宋体" w:hAnsi="宋体" w:cs="宋体"/>
                <w:b/>
                <w:bCs/>
                <w:color w:val="auto"/>
                <w:kern w:val="0"/>
                <w:sz w:val="18"/>
                <w:szCs w:val="18"/>
              </w:rPr>
            </w:pPr>
          </w:p>
        </w:tc>
        <w:tc>
          <w:tcPr>
            <w:tcW w:w="310" w:type="pct"/>
            <w:noWrap w:val="0"/>
            <w:vAlign w:val="top"/>
          </w:tcPr>
          <w:p>
            <w:pPr>
              <w:widowControl/>
              <w:jc w:val="center"/>
              <w:rPr>
                <w:rFonts w:ascii="Times New Roman" w:hAnsi="Times New Roman"/>
                <w:b/>
                <w:bCs/>
                <w:color w:val="auto"/>
                <w:kern w:val="0"/>
                <w:sz w:val="18"/>
                <w:szCs w:val="18"/>
                <w:highlight w:val="none"/>
              </w:rPr>
            </w:pPr>
            <w:r>
              <w:rPr>
                <w:rFonts w:ascii="Times New Roman" w:hAnsi="Times New Roman"/>
                <w:b/>
                <w:bCs/>
                <w:color w:val="auto"/>
                <w:kern w:val="0"/>
                <w:sz w:val="18"/>
                <w:szCs w:val="18"/>
                <w:highlight w:val="none"/>
              </w:rPr>
              <w:t>18</w:t>
            </w:r>
          </w:p>
        </w:tc>
        <w:tc>
          <w:tcPr>
            <w:tcW w:w="322" w:type="pct"/>
            <w:noWrap w:val="0"/>
            <w:vAlign w:val="top"/>
          </w:tcPr>
          <w:p>
            <w:pPr>
              <w:widowControl/>
              <w:jc w:val="center"/>
              <w:rPr>
                <w:rFonts w:ascii="Times New Roman" w:hAnsi="Times New Roman"/>
                <w:b/>
                <w:bCs/>
                <w:color w:val="auto"/>
                <w:kern w:val="0"/>
                <w:sz w:val="18"/>
                <w:szCs w:val="18"/>
                <w:highlight w:val="none"/>
              </w:rPr>
            </w:pPr>
            <w:r>
              <w:rPr>
                <w:rFonts w:ascii="Times New Roman" w:hAnsi="Times New Roman"/>
                <w:b/>
                <w:bCs/>
                <w:color w:val="auto"/>
                <w:kern w:val="0"/>
                <w:sz w:val="18"/>
                <w:szCs w:val="18"/>
                <w:highlight w:val="none"/>
              </w:rPr>
              <w:t>18</w:t>
            </w:r>
          </w:p>
        </w:tc>
        <w:tc>
          <w:tcPr>
            <w:tcW w:w="310" w:type="pct"/>
            <w:noWrap w:val="0"/>
            <w:vAlign w:val="top"/>
          </w:tcPr>
          <w:p>
            <w:pPr>
              <w:widowControl/>
              <w:jc w:val="center"/>
              <w:rPr>
                <w:rFonts w:ascii="Times New Roman" w:hAnsi="Times New Roman"/>
                <w:b/>
                <w:bCs/>
                <w:color w:val="auto"/>
                <w:kern w:val="0"/>
                <w:sz w:val="18"/>
                <w:szCs w:val="18"/>
                <w:highlight w:val="none"/>
              </w:rPr>
            </w:pPr>
            <w:r>
              <w:rPr>
                <w:rFonts w:ascii="Times New Roman" w:hAnsi="Times New Roman"/>
                <w:b/>
                <w:bCs/>
                <w:color w:val="auto"/>
                <w:kern w:val="0"/>
                <w:sz w:val="18"/>
                <w:szCs w:val="18"/>
                <w:highlight w:val="none"/>
              </w:rPr>
              <w:t>18</w:t>
            </w:r>
          </w:p>
        </w:tc>
        <w:tc>
          <w:tcPr>
            <w:tcW w:w="330" w:type="pct"/>
            <w:noWrap w:val="0"/>
            <w:vAlign w:val="top"/>
          </w:tcPr>
          <w:p>
            <w:pPr>
              <w:widowControl/>
              <w:jc w:val="center"/>
              <w:rPr>
                <w:rFonts w:ascii="Times New Roman" w:hAnsi="Times New Roman"/>
                <w:b/>
                <w:bCs/>
                <w:color w:val="auto"/>
                <w:kern w:val="0"/>
                <w:sz w:val="18"/>
                <w:szCs w:val="18"/>
                <w:highlight w:val="none"/>
              </w:rPr>
            </w:pPr>
            <w:r>
              <w:rPr>
                <w:rFonts w:ascii="Times New Roman" w:hAnsi="Times New Roman"/>
                <w:b/>
                <w:bCs/>
                <w:color w:val="auto"/>
                <w:kern w:val="0"/>
                <w:sz w:val="18"/>
                <w:szCs w:val="18"/>
                <w:highlight w:val="none"/>
              </w:rPr>
              <w:t>18</w:t>
            </w:r>
          </w:p>
        </w:tc>
        <w:tc>
          <w:tcPr>
            <w:tcW w:w="319" w:type="pct"/>
            <w:noWrap w:val="0"/>
            <w:vAlign w:val="top"/>
          </w:tcPr>
          <w:p>
            <w:pPr>
              <w:widowControl/>
              <w:jc w:val="center"/>
              <w:rPr>
                <w:rFonts w:ascii="Times New Roman" w:hAnsi="Times New Roman"/>
                <w:b/>
                <w:bCs/>
                <w:color w:val="auto"/>
                <w:kern w:val="0"/>
                <w:sz w:val="18"/>
                <w:szCs w:val="18"/>
                <w:highlight w:val="none"/>
              </w:rPr>
            </w:pPr>
            <w:r>
              <w:rPr>
                <w:rFonts w:ascii="Times New Roman" w:hAnsi="Times New Roman"/>
                <w:b/>
                <w:bCs/>
                <w:color w:val="auto"/>
                <w:kern w:val="0"/>
                <w:sz w:val="18"/>
                <w:szCs w:val="18"/>
                <w:highlight w:val="none"/>
              </w:rPr>
              <w:t>18</w:t>
            </w:r>
          </w:p>
        </w:tc>
        <w:tc>
          <w:tcPr>
            <w:tcW w:w="322" w:type="pct"/>
            <w:noWrap w:val="0"/>
            <w:vAlign w:val="top"/>
          </w:tcPr>
          <w:p>
            <w:pPr>
              <w:widowControl/>
              <w:jc w:val="center"/>
              <w:rPr>
                <w:rFonts w:ascii="Times New Roman" w:hAnsi="Times New Roman"/>
                <w:b/>
                <w:bCs/>
                <w:color w:val="auto"/>
                <w:kern w:val="0"/>
                <w:sz w:val="18"/>
                <w:szCs w:val="18"/>
                <w:highlight w:val="none"/>
              </w:rPr>
            </w:pPr>
            <w:r>
              <w:rPr>
                <w:rFonts w:ascii="Times New Roman" w:hAnsi="Times New Roman"/>
                <w:b/>
                <w:bCs/>
                <w:color w:val="auto"/>
                <w:kern w:val="0"/>
                <w:sz w:val="18"/>
                <w:szCs w:val="18"/>
                <w:highlight w:val="none"/>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251" w:type="pct"/>
            <w:vMerge w:val="restart"/>
            <w:shd w:val="clear" w:color="000000" w:fill="FFFFFF"/>
            <w:noWrap w:val="0"/>
            <w:vAlign w:val="center"/>
          </w:tcPr>
          <w:p>
            <w:pPr>
              <w:widowControl/>
              <w:jc w:val="center"/>
              <w:rPr>
                <w:rFonts w:hint="eastAsia" w:ascii="宋体" w:hAnsi="宋体" w:eastAsia="宋体" w:cs="宋体"/>
                <w:color w:val="auto"/>
                <w:kern w:val="0"/>
                <w:sz w:val="18"/>
                <w:szCs w:val="18"/>
                <w:lang w:val="en-US" w:eastAsia="zh-CN"/>
              </w:rPr>
            </w:pPr>
            <w:r>
              <w:rPr>
                <w:rFonts w:hint="eastAsia" w:ascii="宋体" w:hAnsi="宋体" w:cs="宋体"/>
                <w:color w:val="auto"/>
                <w:kern w:val="0"/>
                <w:sz w:val="18"/>
                <w:szCs w:val="18"/>
                <w:lang w:val="en-US" w:eastAsia="zh-CN"/>
              </w:rPr>
              <w:t>公共基础课程</w:t>
            </w:r>
          </w:p>
        </w:tc>
        <w:tc>
          <w:tcPr>
            <w:tcW w:w="253" w:type="pct"/>
            <w:vMerge w:val="restart"/>
            <w:noWrap w:val="0"/>
            <w:vAlign w:val="center"/>
          </w:tcPr>
          <w:p>
            <w:pPr>
              <w:widowControl/>
              <w:jc w:val="center"/>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公共</w:t>
            </w:r>
            <w:r>
              <w:rPr>
                <w:rFonts w:hint="eastAsia" w:ascii="宋体" w:hAnsi="宋体" w:cs="宋体"/>
                <w:color w:val="auto"/>
                <w:kern w:val="0"/>
                <w:sz w:val="18"/>
                <w:szCs w:val="18"/>
                <w:lang w:eastAsia="zh-CN"/>
              </w:rPr>
              <w:t>基础必修课</w:t>
            </w:r>
          </w:p>
        </w:tc>
        <w:tc>
          <w:tcPr>
            <w:tcW w:w="333"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思想道德修养与法律基础</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3</w:t>
            </w:r>
          </w:p>
        </w:tc>
        <w:tc>
          <w:tcPr>
            <w:tcW w:w="367"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54</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54</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3</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2</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毛泽东思想和中国特色社会主义理论体系概论</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4</w:t>
            </w:r>
          </w:p>
        </w:tc>
        <w:tc>
          <w:tcPr>
            <w:tcW w:w="367"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72</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72</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0</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4</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w:t>
            </w:r>
          </w:p>
        </w:tc>
        <w:tc>
          <w:tcPr>
            <w:tcW w:w="947" w:type="pct"/>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bidi="ar-SA"/>
              </w:rPr>
              <w:t>军事理论</w:t>
            </w:r>
          </w:p>
        </w:tc>
        <w:tc>
          <w:tcPr>
            <w:tcW w:w="310" w:type="pct"/>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w:t>
            </w:r>
          </w:p>
        </w:tc>
        <w:tc>
          <w:tcPr>
            <w:tcW w:w="367" w:type="pct"/>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18</w:t>
            </w:r>
          </w:p>
        </w:tc>
        <w:tc>
          <w:tcPr>
            <w:tcW w:w="310" w:type="pct"/>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18</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1</w:t>
            </w:r>
          </w:p>
        </w:tc>
        <w:tc>
          <w:tcPr>
            <w:tcW w:w="322" w:type="pct"/>
            <w:noWrap w:val="0"/>
            <w:vAlign w:val="center"/>
          </w:tcPr>
          <w:p>
            <w:pPr>
              <w:widowControl/>
              <w:jc w:val="center"/>
              <w:rPr>
                <w:rFonts w:hint="eastAsia" w:ascii="宋体" w:hAnsi="宋体" w:eastAsia="宋体" w:cs="宋体"/>
                <w:color w:val="auto"/>
                <w:kern w:val="0"/>
                <w:sz w:val="22"/>
                <w:szCs w:val="22"/>
                <w:highlight w:val="none"/>
                <w:lang w:val="en-US" w:eastAsia="zh-CN" w:bidi="ar-SA"/>
              </w:rPr>
            </w:pPr>
            <w:r>
              <w:rPr>
                <w:rFonts w:hint="eastAsia" w:ascii="宋体" w:hAnsi="宋体" w:cs="宋体"/>
                <w:color w:val="auto"/>
                <w:kern w:val="0"/>
                <w:sz w:val="22"/>
                <w:szCs w:val="22"/>
                <w:highlight w:val="none"/>
              </w:rPr>
              <w:t>　</w:t>
            </w:r>
          </w:p>
        </w:tc>
        <w:tc>
          <w:tcPr>
            <w:tcW w:w="310" w:type="pct"/>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30" w:type="pct"/>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947" w:type="pct"/>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形势与政策</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center"/>
          </w:tcPr>
          <w:p>
            <w:pPr>
              <w:widowControl/>
              <w:jc w:val="center"/>
              <w:rPr>
                <w:rFonts w:ascii="宋体" w:hAnsi="宋体" w:eastAsia="宋体" w:cs="宋体"/>
                <w:color w:val="auto"/>
                <w:kern w:val="0"/>
                <w:sz w:val="22"/>
                <w:szCs w:val="22"/>
                <w:lang w:val="en-US" w:eastAsia="zh-CN" w:bidi="ar-SA"/>
              </w:rPr>
            </w:pPr>
            <w:r>
              <w:rPr>
                <w:rFonts w:hint="eastAsia" w:ascii="宋体" w:hAnsi="宋体" w:cs="宋体"/>
                <w:color w:val="auto"/>
                <w:kern w:val="0"/>
                <w:sz w:val="22"/>
                <w:szCs w:val="22"/>
              </w:rPr>
              <w:t>　</w:t>
            </w:r>
          </w:p>
        </w:tc>
        <w:tc>
          <w:tcPr>
            <w:tcW w:w="310" w:type="pct"/>
            <w:noWrap w:val="0"/>
            <w:vAlign w:val="center"/>
          </w:tcPr>
          <w:p>
            <w:pPr>
              <w:widowControl/>
              <w:jc w:val="center"/>
              <w:rPr>
                <w:rFonts w:ascii="宋体" w:hAnsi="宋体" w:eastAsia="宋体" w:cs="宋体"/>
                <w:color w:val="auto"/>
                <w:kern w:val="0"/>
                <w:sz w:val="22"/>
                <w:szCs w:val="22"/>
                <w:lang w:val="en-US" w:eastAsia="zh-CN" w:bidi="ar-SA"/>
              </w:rPr>
            </w:pPr>
            <w:r>
              <w:rPr>
                <w:rFonts w:hint="eastAsia" w:ascii="宋体" w:hAnsi="宋体" w:cs="宋体"/>
                <w:color w:val="auto"/>
                <w:kern w:val="0"/>
                <w:sz w:val="22"/>
                <w:szCs w:val="22"/>
              </w:rPr>
              <w:t>　</w:t>
            </w:r>
          </w:p>
        </w:tc>
        <w:tc>
          <w:tcPr>
            <w:tcW w:w="310" w:type="pct"/>
            <w:noWrap w:val="0"/>
            <w:vAlign w:val="top"/>
          </w:tcPr>
          <w:p>
            <w:pPr>
              <w:widowControl/>
              <w:jc w:val="center"/>
              <w:rPr>
                <w:rFonts w:ascii="Times New Roman" w:hAnsi="Times New Roman" w:eastAsia="宋体" w:cs="Times New Roman"/>
                <w:color w:val="auto"/>
                <w:kern w:val="0"/>
                <w:sz w:val="16"/>
                <w:szCs w:val="16"/>
                <w:highlight w:val="none"/>
                <w:lang w:val="en-US" w:eastAsia="zh-CN" w:bidi="ar-SA"/>
              </w:rPr>
            </w:pPr>
            <w:r>
              <w:rPr>
                <w:rFonts w:hint="eastAsia" w:ascii="宋体" w:hAnsi="宋体" w:cs="宋体"/>
                <w:color w:val="auto"/>
                <w:kern w:val="0"/>
                <w:sz w:val="16"/>
                <w:szCs w:val="16"/>
                <w:highlight w:val="none"/>
              </w:rPr>
              <w:t>专题</w:t>
            </w:r>
          </w:p>
        </w:tc>
        <w:tc>
          <w:tcPr>
            <w:tcW w:w="322" w:type="pct"/>
            <w:noWrap w:val="0"/>
            <w:vAlign w:val="top"/>
          </w:tcPr>
          <w:p>
            <w:pPr>
              <w:widowControl/>
              <w:jc w:val="center"/>
              <w:rPr>
                <w:rFonts w:hint="eastAsia" w:ascii="宋体" w:hAnsi="宋体" w:eastAsia="宋体" w:cs="宋体"/>
                <w:color w:val="auto"/>
                <w:kern w:val="0"/>
                <w:sz w:val="16"/>
                <w:szCs w:val="16"/>
                <w:highlight w:val="none"/>
                <w:lang w:val="en-US" w:eastAsia="zh-CN" w:bidi="ar-SA"/>
              </w:rPr>
            </w:pPr>
            <w:r>
              <w:rPr>
                <w:rFonts w:hint="eastAsia" w:ascii="宋体" w:hAnsi="宋体" w:cs="宋体"/>
                <w:color w:val="auto"/>
                <w:kern w:val="0"/>
                <w:sz w:val="16"/>
                <w:szCs w:val="16"/>
                <w:highlight w:val="none"/>
              </w:rPr>
              <w:t>专题</w:t>
            </w:r>
          </w:p>
        </w:tc>
        <w:tc>
          <w:tcPr>
            <w:tcW w:w="310" w:type="pct"/>
            <w:noWrap w:val="0"/>
            <w:vAlign w:val="top"/>
          </w:tcPr>
          <w:p>
            <w:pPr>
              <w:widowControl/>
              <w:jc w:val="center"/>
              <w:rPr>
                <w:rFonts w:hint="eastAsia" w:ascii="宋体" w:hAnsi="宋体" w:eastAsia="宋体" w:cs="宋体"/>
                <w:color w:val="auto"/>
                <w:kern w:val="0"/>
                <w:sz w:val="16"/>
                <w:szCs w:val="16"/>
                <w:highlight w:val="none"/>
                <w:lang w:val="en-US" w:eastAsia="zh-CN" w:bidi="ar-SA"/>
              </w:rPr>
            </w:pPr>
            <w:r>
              <w:rPr>
                <w:rFonts w:hint="eastAsia" w:ascii="宋体" w:hAnsi="宋体" w:cs="宋体"/>
                <w:color w:val="auto"/>
                <w:kern w:val="0"/>
                <w:sz w:val="16"/>
                <w:szCs w:val="16"/>
                <w:highlight w:val="none"/>
              </w:rPr>
              <w:t>专题</w:t>
            </w:r>
          </w:p>
        </w:tc>
        <w:tc>
          <w:tcPr>
            <w:tcW w:w="330" w:type="pct"/>
            <w:noWrap w:val="0"/>
            <w:vAlign w:val="top"/>
          </w:tcPr>
          <w:p>
            <w:pPr>
              <w:widowControl/>
              <w:jc w:val="center"/>
              <w:rPr>
                <w:rFonts w:hint="eastAsia" w:ascii="宋体" w:hAnsi="宋体" w:eastAsia="宋体" w:cs="宋体"/>
                <w:color w:val="auto"/>
                <w:kern w:val="0"/>
                <w:sz w:val="16"/>
                <w:szCs w:val="16"/>
                <w:highlight w:val="none"/>
                <w:lang w:val="en-US" w:eastAsia="zh-CN" w:bidi="ar-SA"/>
              </w:rPr>
            </w:pPr>
            <w:r>
              <w:rPr>
                <w:rFonts w:hint="eastAsia" w:ascii="宋体" w:hAnsi="宋体" w:cs="宋体"/>
                <w:color w:val="auto"/>
                <w:kern w:val="0"/>
                <w:sz w:val="16"/>
                <w:szCs w:val="16"/>
                <w:highlight w:val="none"/>
              </w:rPr>
              <w:t>专题</w:t>
            </w:r>
          </w:p>
        </w:tc>
        <w:tc>
          <w:tcPr>
            <w:tcW w:w="319"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5</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大学生心理健康</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w:t>
            </w:r>
          </w:p>
        </w:tc>
        <w:tc>
          <w:tcPr>
            <w:tcW w:w="367"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18</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18</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1</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大学语文</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4</w:t>
            </w:r>
          </w:p>
        </w:tc>
        <w:tc>
          <w:tcPr>
            <w:tcW w:w="367" w:type="pct"/>
            <w:noWrap w:val="0"/>
            <w:vAlign w:val="top"/>
          </w:tcPr>
          <w:p>
            <w:pPr>
              <w:widowControl/>
              <w:jc w:val="center"/>
              <w:rPr>
                <w:rFonts w:hint="default" w:ascii="Times New Roman" w:hAnsi="Times New Roman" w:eastAsia="宋体"/>
                <w:color w:val="auto"/>
                <w:kern w:val="0"/>
                <w:sz w:val="18"/>
                <w:szCs w:val="18"/>
                <w:lang w:val="en-US" w:eastAsia="zh-CN"/>
              </w:rPr>
            </w:pPr>
            <w:r>
              <w:rPr>
                <w:rFonts w:hint="eastAsia"/>
                <w:color w:val="auto"/>
                <w:kern w:val="0"/>
                <w:sz w:val="18"/>
                <w:szCs w:val="18"/>
                <w:lang w:val="en-US" w:eastAsia="zh-CN"/>
              </w:rPr>
              <w:t>72</w:t>
            </w:r>
          </w:p>
        </w:tc>
        <w:tc>
          <w:tcPr>
            <w:tcW w:w="310" w:type="pct"/>
            <w:noWrap w:val="0"/>
            <w:vAlign w:val="top"/>
          </w:tcPr>
          <w:p>
            <w:pPr>
              <w:widowControl/>
              <w:jc w:val="center"/>
              <w:rPr>
                <w:rFonts w:hint="default" w:ascii="Times New Roman" w:hAnsi="Times New Roman" w:eastAsia="宋体"/>
                <w:color w:val="auto"/>
                <w:kern w:val="0"/>
                <w:sz w:val="18"/>
                <w:szCs w:val="18"/>
                <w:lang w:val="en-US" w:eastAsia="zh-CN"/>
              </w:rPr>
            </w:pPr>
            <w:r>
              <w:rPr>
                <w:rFonts w:hint="eastAsia"/>
                <w:color w:val="auto"/>
                <w:kern w:val="0"/>
                <w:sz w:val="18"/>
                <w:szCs w:val="18"/>
                <w:lang w:val="en-US" w:eastAsia="zh-CN"/>
              </w:rPr>
              <w:t>60</w:t>
            </w:r>
          </w:p>
        </w:tc>
        <w:tc>
          <w:tcPr>
            <w:tcW w:w="310" w:type="pct"/>
            <w:noWrap w:val="0"/>
            <w:vAlign w:val="top"/>
          </w:tcPr>
          <w:p>
            <w:pPr>
              <w:widowControl/>
              <w:jc w:val="center"/>
              <w:rPr>
                <w:rFonts w:hint="default" w:ascii="Times New Roman" w:hAnsi="Times New Roman" w:eastAsia="宋体"/>
                <w:color w:val="auto"/>
                <w:kern w:val="0"/>
                <w:sz w:val="18"/>
                <w:szCs w:val="18"/>
                <w:lang w:val="en-US" w:eastAsia="zh-CN"/>
              </w:rPr>
            </w:pPr>
            <w:r>
              <w:rPr>
                <w:rFonts w:hint="eastAsia"/>
                <w:color w:val="auto"/>
                <w:kern w:val="0"/>
                <w:sz w:val="18"/>
                <w:szCs w:val="18"/>
                <w:lang w:val="en-US" w:eastAsia="zh-CN"/>
              </w:rPr>
              <w:t>12</w:t>
            </w:r>
          </w:p>
        </w:tc>
        <w:tc>
          <w:tcPr>
            <w:tcW w:w="310"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4</w:t>
            </w:r>
          </w:p>
        </w:tc>
        <w:tc>
          <w:tcPr>
            <w:tcW w:w="322"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tc>
        <w:tc>
          <w:tcPr>
            <w:tcW w:w="310" w:type="pct"/>
            <w:noWrap w:val="0"/>
            <w:vAlign w:val="center"/>
          </w:tcPr>
          <w:p>
            <w:pPr>
              <w:widowControl/>
              <w:jc w:val="center"/>
              <w:rPr>
                <w:rFonts w:ascii="宋体" w:hAnsi="宋体" w:cs="宋体"/>
                <w:color w:val="auto"/>
                <w:kern w:val="0"/>
                <w:sz w:val="22"/>
                <w:szCs w:val="22"/>
                <w:highlight w:val="none"/>
              </w:rPr>
            </w:pPr>
            <w:r>
              <w:rPr>
                <w:rFonts w:hint="eastAsia" w:ascii="宋体" w:hAnsi="宋体" w:cs="宋体"/>
                <w:color w:val="auto"/>
                <w:kern w:val="0"/>
                <w:sz w:val="22"/>
                <w:szCs w:val="22"/>
                <w:highlight w:val="none"/>
              </w:rPr>
              <w:t>　</w:t>
            </w:r>
          </w:p>
        </w:tc>
        <w:tc>
          <w:tcPr>
            <w:tcW w:w="330" w:type="pct"/>
            <w:noWrap w:val="0"/>
            <w:vAlign w:val="center"/>
          </w:tcPr>
          <w:p>
            <w:pPr>
              <w:widowControl/>
              <w:jc w:val="center"/>
              <w:rPr>
                <w:rFonts w:ascii="宋体" w:hAnsi="宋体" w:cs="宋体"/>
                <w:color w:val="auto"/>
                <w:kern w:val="0"/>
                <w:sz w:val="22"/>
                <w:szCs w:val="22"/>
                <w:highlight w:val="none"/>
              </w:rPr>
            </w:pPr>
            <w:r>
              <w:rPr>
                <w:rFonts w:hint="eastAsia" w:ascii="宋体" w:hAnsi="宋体" w:cs="宋体"/>
                <w:color w:val="auto"/>
                <w:kern w:val="0"/>
                <w:sz w:val="22"/>
                <w:szCs w:val="22"/>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大学英语</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4</w:t>
            </w:r>
          </w:p>
        </w:tc>
        <w:tc>
          <w:tcPr>
            <w:tcW w:w="367"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144</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144</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4</w:t>
            </w:r>
          </w:p>
        </w:tc>
        <w:tc>
          <w:tcPr>
            <w:tcW w:w="322"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4</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8</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计算机基础</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72</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4</w:t>
            </w:r>
          </w:p>
        </w:tc>
        <w:tc>
          <w:tcPr>
            <w:tcW w:w="322"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9</w:t>
            </w:r>
          </w:p>
        </w:tc>
        <w:tc>
          <w:tcPr>
            <w:tcW w:w="947" w:type="pct"/>
            <w:noWrap w:val="0"/>
            <w:vAlign w:val="top"/>
          </w:tcPr>
          <w:p>
            <w:pPr>
              <w:widowControl/>
              <w:rPr>
                <w:rFonts w:ascii="宋体" w:hAnsi="宋体" w:cs="宋体"/>
                <w:color w:val="auto"/>
                <w:kern w:val="0"/>
                <w:sz w:val="18"/>
                <w:szCs w:val="18"/>
              </w:rPr>
            </w:pPr>
            <w:r>
              <w:rPr>
                <w:rFonts w:hint="eastAsia" w:ascii="宋体" w:hAnsi="宋体" w:cs="宋体"/>
                <w:color w:val="auto"/>
                <w:kern w:val="0"/>
                <w:sz w:val="18"/>
                <w:szCs w:val="18"/>
              </w:rPr>
              <w:t>大学体育</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72</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10</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62</w:t>
            </w:r>
          </w:p>
        </w:tc>
        <w:tc>
          <w:tcPr>
            <w:tcW w:w="310"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2</w:t>
            </w:r>
          </w:p>
        </w:tc>
        <w:tc>
          <w:tcPr>
            <w:tcW w:w="322"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2</w:t>
            </w:r>
          </w:p>
        </w:tc>
        <w:tc>
          <w:tcPr>
            <w:tcW w:w="31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hint="default"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10</w:t>
            </w:r>
          </w:p>
        </w:tc>
        <w:tc>
          <w:tcPr>
            <w:tcW w:w="947" w:type="pct"/>
            <w:noWrap w:val="0"/>
            <w:vAlign w:val="top"/>
          </w:tcPr>
          <w:p>
            <w:pPr>
              <w:widowControl/>
              <w:rPr>
                <w:rFonts w:hint="eastAsia" w:ascii="宋体" w:hAnsi="宋体" w:eastAsia="宋体" w:cs="宋体"/>
                <w:color w:val="auto"/>
                <w:kern w:val="0"/>
                <w:sz w:val="18"/>
                <w:szCs w:val="18"/>
                <w:lang w:val="en-US" w:eastAsia="zh-CN"/>
              </w:rPr>
            </w:pPr>
            <w:r>
              <w:rPr>
                <w:rFonts w:hint="eastAsia" w:ascii="宋体" w:hAnsi="宋体" w:cs="宋体"/>
                <w:color w:val="auto"/>
                <w:kern w:val="0"/>
                <w:sz w:val="18"/>
                <w:szCs w:val="18"/>
                <w:lang w:val="en-US" w:eastAsia="zh-CN"/>
              </w:rPr>
              <w:t>就业与创业指导</w:t>
            </w:r>
          </w:p>
        </w:tc>
        <w:tc>
          <w:tcPr>
            <w:tcW w:w="310" w:type="pct"/>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1</w:t>
            </w:r>
          </w:p>
        </w:tc>
        <w:tc>
          <w:tcPr>
            <w:tcW w:w="367" w:type="pct"/>
            <w:noWrap w:val="0"/>
            <w:vAlign w:val="top"/>
          </w:tcPr>
          <w:p>
            <w:pPr>
              <w:widowControl/>
              <w:jc w:val="center"/>
              <w:rPr>
                <w:rFonts w:hint="default"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18</w:t>
            </w:r>
          </w:p>
        </w:tc>
        <w:tc>
          <w:tcPr>
            <w:tcW w:w="310" w:type="pct"/>
            <w:noWrap w:val="0"/>
            <w:vAlign w:val="top"/>
          </w:tcPr>
          <w:p>
            <w:pPr>
              <w:widowControl/>
              <w:jc w:val="center"/>
              <w:rPr>
                <w:rFonts w:hint="default"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18</w:t>
            </w:r>
          </w:p>
        </w:tc>
        <w:tc>
          <w:tcPr>
            <w:tcW w:w="310" w:type="pct"/>
            <w:noWrap w:val="0"/>
            <w:vAlign w:val="top"/>
          </w:tcPr>
          <w:p>
            <w:pPr>
              <w:widowControl/>
              <w:jc w:val="center"/>
              <w:rPr>
                <w:rFonts w:ascii="Times New Roman" w:hAnsi="Times New Roman"/>
                <w:color w:val="auto"/>
                <w:kern w:val="0"/>
                <w:sz w:val="18"/>
                <w:szCs w:val="18"/>
              </w:rPr>
            </w:pPr>
            <w:r>
              <w:rPr>
                <w:rFonts w:ascii="Times New Roman" w:hAnsi="Times New Roman"/>
                <w:color w:val="auto"/>
                <w:kern w:val="0"/>
                <w:sz w:val="18"/>
                <w:szCs w:val="18"/>
              </w:rPr>
              <w:t>0</w:t>
            </w:r>
          </w:p>
        </w:tc>
        <w:tc>
          <w:tcPr>
            <w:tcW w:w="310" w:type="pct"/>
            <w:noWrap w:val="0"/>
            <w:vAlign w:val="center"/>
          </w:tcPr>
          <w:p>
            <w:pPr>
              <w:widowControl/>
              <w:jc w:val="center"/>
              <w:rPr>
                <w:rFonts w:ascii="宋体" w:hAnsi="宋体" w:cs="宋体"/>
                <w:color w:val="auto"/>
                <w:kern w:val="0"/>
                <w:sz w:val="22"/>
                <w:szCs w:val="22"/>
                <w:highlight w:val="none"/>
              </w:rPr>
            </w:pPr>
            <w:r>
              <w:rPr>
                <w:rFonts w:hint="eastAsia" w:ascii="宋体" w:hAnsi="宋体" w:cs="宋体"/>
                <w:color w:val="auto"/>
                <w:kern w:val="0"/>
                <w:sz w:val="22"/>
                <w:szCs w:val="22"/>
                <w:highlight w:val="none"/>
              </w:rPr>
              <w:t>　</w:t>
            </w:r>
          </w:p>
        </w:tc>
        <w:tc>
          <w:tcPr>
            <w:tcW w:w="322" w:type="pct"/>
            <w:noWrap w:val="0"/>
            <w:vAlign w:val="center"/>
          </w:tcPr>
          <w:p>
            <w:pPr>
              <w:widowControl/>
              <w:jc w:val="center"/>
              <w:rPr>
                <w:rFonts w:ascii="宋体" w:hAnsi="宋体" w:cs="宋体"/>
                <w:color w:val="auto"/>
                <w:kern w:val="0"/>
                <w:sz w:val="22"/>
                <w:szCs w:val="22"/>
                <w:highlight w:val="none"/>
              </w:rPr>
            </w:pPr>
            <w:r>
              <w:rPr>
                <w:rFonts w:hint="eastAsia" w:ascii="宋体" w:hAnsi="宋体" w:cs="宋体"/>
                <w:color w:val="auto"/>
                <w:kern w:val="0"/>
                <w:sz w:val="22"/>
                <w:szCs w:val="22"/>
                <w:highlight w:val="none"/>
              </w:rPr>
              <w:t>　</w:t>
            </w:r>
          </w:p>
        </w:tc>
        <w:tc>
          <w:tcPr>
            <w:tcW w:w="310" w:type="pct"/>
            <w:noWrap w:val="0"/>
            <w:vAlign w:val="top"/>
          </w:tcPr>
          <w:p>
            <w:pPr>
              <w:widowControl/>
              <w:jc w:val="center"/>
              <w:rPr>
                <w:rFonts w:ascii="宋体" w:hAnsi="宋体" w:cs="宋体"/>
                <w:color w:val="auto"/>
                <w:kern w:val="0"/>
                <w:sz w:val="16"/>
                <w:szCs w:val="16"/>
                <w:highlight w:val="none"/>
              </w:rPr>
            </w:pPr>
            <w:r>
              <w:rPr>
                <w:rFonts w:ascii="Times New Roman" w:hAnsi="Times New Roman"/>
                <w:color w:val="auto"/>
                <w:kern w:val="0"/>
                <w:sz w:val="18"/>
                <w:szCs w:val="18"/>
                <w:highlight w:val="none"/>
              </w:rPr>
              <w:t>1</w:t>
            </w:r>
            <w:r>
              <w:rPr>
                <w:rFonts w:hint="eastAsia" w:ascii="宋体" w:hAnsi="宋体" w:cs="宋体"/>
                <w:color w:val="auto"/>
                <w:kern w:val="0"/>
                <w:sz w:val="16"/>
                <w:szCs w:val="16"/>
                <w:highlight w:val="none"/>
              </w:rPr>
              <w:t>　</w:t>
            </w:r>
          </w:p>
        </w:tc>
        <w:tc>
          <w:tcPr>
            <w:tcW w:w="330" w:type="pct"/>
            <w:noWrap w:val="0"/>
            <w:vAlign w:val="top"/>
          </w:tcPr>
          <w:p>
            <w:pPr>
              <w:widowControl/>
              <w:jc w:val="center"/>
              <w:rPr>
                <w:rFonts w:ascii="宋体" w:hAnsi="宋体" w:cs="宋体"/>
                <w:color w:val="auto"/>
                <w:kern w:val="0"/>
                <w:sz w:val="16"/>
                <w:szCs w:val="16"/>
                <w:highlight w:val="none"/>
              </w:rPr>
            </w:pPr>
          </w:p>
        </w:tc>
        <w:tc>
          <w:tcPr>
            <w:tcW w:w="319" w:type="pct"/>
            <w:noWrap w:val="0"/>
            <w:vAlign w:val="top"/>
          </w:tcPr>
          <w:p>
            <w:pPr>
              <w:widowControl/>
              <w:jc w:val="center"/>
              <w:rPr>
                <w:rFonts w:ascii="Times New Roman" w:hAnsi="Times New Roman"/>
                <w:color w:val="auto"/>
                <w:kern w:val="0"/>
                <w:sz w:val="18"/>
                <w:szCs w:val="18"/>
                <w:highlight w:val="none"/>
              </w:rPr>
            </w:pPr>
            <w:r>
              <w:rPr>
                <w:rFonts w:ascii="Times New Roman" w:hAnsi="Times New Roman"/>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restart"/>
            <w:noWrap w:val="0"/>
            <w:vAlign w:val="center"/>
          </w:tcPr>
          <w:p>
            <w:pPr>
              <w:widowControl/>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lang w:eastAsia="zh-CN"/>
              </w:rPr>
              <w:t>公共基础选修课</w:t>
            </w: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w:t>
            </w:r>
          </w:p>
        </w:tc>
        <w:tc>
          <w:tcPr>
            <w:tcW w:w="947" w:type="pct"/>
            <w:noWrap w:val="0"/>
            <w:vAlign w:val="top"/>
          </w:tcPr>
          <w:p>
            <w:pPr>
              <w:widowControl/>
              <w:jc w:val="left"/>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书法</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rPr>
                <w:rFonts w:hint="eastAsia"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947" w:type="pct"/>
            <w:noWrap w:val="0"/>
            <w:vAlign w:val="top"/>
          </w:tcPr>
          <w:p>
            <w:pPr>
              <w:widowControl/>
              <w:jc w:val="left"/>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音乐欣赏</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rPr>
                <w:rFonts w:hint="eastAsia"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w:t>
            </w:r>
          </w:p>
        </w:tc>
        <w:tc>
          <w:tcPr>
            <w:tcW w:w="947" w:type="pct"/>
            <w:noWrap w:val="0"/>
            <w:vAlign w:val="top"/>
          </w:tcPr>
          <w:p>
            <w:pPr>
              <w:widowControl/>
              <w:jc w:val="left"/>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教师口语</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rPr>
                <w:rFonts w:hint="eastAsia"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947" w:type="pct"/>
            <w:noWrap w:val="0"/>
            <w:vAlign w:val="top"/>
          </w:tcPr>
          <w:p>
            <w:pPr>
              <w:widowControl/>
              <w:jc w:val="left"/>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化妆与礼仪</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rPr>
                <w:rFonts w:hint="eastAsia"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5</w:t>
            </w:r>
          </w:p>
        </w:tc>
        <w:tc>
          <w:tcPr>
            <w:tcW w:w="947" w:type="pct"/>
            <w:noWrap w:val="0"/>
            <w:vAlign w:val="top"/>
          </w:tcPr>
          <w:p>
            <w:pPr>
              <w:widowControl/>
              <w:jc w:val="left"/>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人际沟通</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26</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rPr>
                <w:rFonts w:hint="eastAsia" w:ascii="宋体" w:hAnsi="宋体" w:cs="宋体"/>
                <w:color w:val="auto"/>
                <w:kern w:val="0"/>
                <w:sz w:val="18"/>
                <w:szCs w:val="18"/>
              </w:rPr>
            </w:pPr>
          </w:p>
        </w:tc>
        <w:tc>
          <w:tcPr>
            <w:tcW w:w="333"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w:t>
            </w:r>
          </w:p>
        </w:tc>
        <w:tc>
          <w:tcPr>
            <w:tcW w:w="947" w:type="pct"/>
            <w:noWrap w:val="0"/>
            <w:vAlign w:val="top"/>
          </w:tcPr>
          <w:p>
            <w:pPr>
              <w:widowControl/>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KAB</w:t>
            </w:r>
            <w:r>
              <w:rPr>
                <w:rFonts w:hint="eastAsia" w:ascii="宋体" w:hAnsi="宋体"/>
                <w:color w:val="auto"/>
                <w:kern w:val="0"/>
                <w:sz w:val="18"/>
                <w:szCs w:val="18"/>
              </w:rPr>
              <w:t>创业培训通识</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16</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restart"/>
            <w:shd w:val="clear" w:color="000000" w:fill="FFFFFF"/>
            <w:noWrap w:val="0"/>
            <w:vAlign w:val="center"/>
          </w:tcPr>
          <w:p>
            <w:pPr>
              <w:widowControl/>
              <w:jc w:val="center"/>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lang w:eastAsia="zh-CN"/>
              </w:rPr>
              <w:t>专业课程</w:t>
            </w:r>
          </w:p>
        </w:tc>
        <w:tc>
          <w:tcPr>
            <w:tcW w:w="253" w:type="pct"/>
            <w:vMerge w:val="restart"/>
            <w:shd w:val="clear" w:color="000000" w:fill="FFFFFF"/>
            <w:noWrap w:val="0"/>
            <w:vAlign w:val="center"/>
          </w:tcPr>
          <w:p>
            <w:pPr>
              <w:widowControl/>
              <w:jc w:val="center"/>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lang w:eastAsia="zh-CN"/>
              </w:rPr>
              <w:t>专业基础课程</w:t>
            </w: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w:t>
            </w:r>
          </w:p>
        </w:tc>
        <w:tc>
          <w:tcPr>
            <w:tcW w:w="947" w:type="pct"/>
            <w:shd w:val="clear" w:color="auto" w:fill="auto"/>
            <w:noWrap w:val="0"/>
            <w:vAlign w:val="top"/>
          </w:tcPr>
          <w:p>
            <w:pPr>
              <w:widowControl/>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bidi="ar-SA"/>
              </w:rPr>
              <w:t>美术基础</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52</w:t>
            </w:r>
          </w:p>
        </w:tc>
        <w:tc>
          <w:tcPr>
            <w:tcW w:w="31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p>
        </w:tc>
        <w:tc>
          <w:tcPr>
            <w:tcW w:w="322"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bidi="ar-SA"/>
              </w:rPr>
              <w:t>2</w:t>
            </w:r>
          </w:p>
        </w:tc>
        <w:tc>
          <w:tcPr>
            <w:tcW w:w="31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2</w:t>
            </w:r>
          </w:p>
        </w:tc>
        <w:tc>
          <w:tcPr>
            <w:tcW w:w="33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2</w:t>
            </w:r>
          </w:p>
        </w:tc>
        <w:tc>
          <w:tcPr>
            <w:tcW w:w="319"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eastAsia="zh-CN"/>
              </w:rPr>
              <w:t>舞蹈基础</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36</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cs="Times New Roman"/>
                <w:color w:val="auto"/>
                <w:kern w:val="0"/>
                <w:sz w:val="18"/>
                <w:szCs w:val="18"/>
                <w:lang w:val="en-US" w:eastAsia="zh-CN" w:bidi="ar-SA"/>
              </w:rPr>
              <w:t>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36</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bidi="ar-SA"/>
              </w:rPr>
              <w:t>2</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bidi="ar-SA"/>
              </w:rPr>
              <w:t>2</w:t>
            </w:r>
          </w:p>
        </w:tc>
        <w:tc>
          <w:tcPr>
            <w:tcW w:w="33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bidi="ar-SA"/>
              </w:rPr>
              <w:t>2</w:t>
            </w: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3</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rPr>
              <w:t>钢琴基础</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72</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2</w:t>
            </w:r>
          </w:p>
        </w:tc>
        <w:tc>
          <w:tcPr>
            <w:tcW w:w="310" w:type="pct"/>
            <w:shd w:val="clear" w:color="000000" w:fill="FFFFFF"/>
            <w:noWrap w:val="0"/>
            <w:vAlign w:val="top"/>
          </w:tcPr>
          <w:p>
            <w:pPr>
              <w:widowControl/>
              <w:jc w:val="center"/>
              <w:rPr>
                <w:rFonts w:hint="default"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bidi="ar-SA"/>
              </w:rPr>
              <w:t>2</w:t>
            </w:r>
          </w:p>
        </w:tc>
        <w:tc>
          <w:tcPr>
            <w:tcW w:w="330" w:type="pct"/>
            <w:shd w:val="clear" w:color="000000" w:fill="FFFFFF"/>
            <w:noWrap w:val="0"/>
            <w:vAlign w:val="top"/>
          </w:tcPr>
          <w:p>
            <w:pPr>
              <w:widowControl/>
              <w:jc w:val="center"/>
              <w:rPr>
                <w:rFonts w:hint="default"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bidi="ar-SA"/>
              </w:rPr>
              <w:t>2</w:t>
            </w: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4</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婴幼儿生活护理与保健实务</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12</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bidi="ar-SA"/>
              </w:rPr>
              <w:t>4</w:t>
            </w:r>
          </w:p>
        </w:tc>
        <w:tc>
          <w:tcPr>
            <w:tcW w:w="330"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5</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儿童营养配餐与指导</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60</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12</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color w:val="auto"/>
                <w:kern w:val="0"/>
                <w:sz w:val="18"/>
                <w:szCs w:val="18"/>
                <w:highlight w:val="none"/>
                <w:lang w:val="en-US" w:eastAsia="zh-CN"/>
              </w:rPr>
              <w:t>4</w:t>
            </w: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30"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6</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婴幼儿早期发展与训练</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12</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4</w:t>
            </w:r>
          </w:p>
        </w:tc>
        <w:tc>
          <w:tcPr>
            <w:tcW w:w="330"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7</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婴幼儿健康活动设计与实施</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60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12</w:t>
            </w:r>
          </w:p>
        </w:tc>
        <w:tc>
          <w:tcPr>
            <w:tcW w:w="310"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r>
              <w:rPr>
                <w:rFonts w:hint="eastAsia" w:ascii="Times New Roman" w:hAnsi="Times New Roman"/>
                <w:color w:val="auto"/>
                <w:kern w:val="0"/>
                <w:sz w:val="18"/>
                <w:szCs w:val="18"/>
                <w:highlight w:val="none"/>
                <w:lang w:val="en-US" w:eastAsia="zh-CN"/>
              </w:rPr>
              <w:t>4</w:t>
            </w:r>
          </w:p>
        </w:tc>
        <w:tc>
          <w:tcPr>
            <w:tcW w:w="330"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253" w:type="pct"/>
            <w:vMerge w:val="continue"/>
            <w:shd w:val="clear" w:color="000000" w:fill="FFFFFF"/>
            <w:noWrap w:val="0"/>
            <w:vAlign w:val="center"/>
          </w:tcPr>
          <w:p>
            <w:pPr>
              <w:widowControl/>
              <w:jc w:val="center"/>
              <w:rPr>
                <w:rFonts w:hint="eastAsia" w:ascii="宋体" w:hAnsi="宋体" w:cs="宋体"/>
                <w:color w:val="auto"/>
                <w:kern w:val="0"/>
                <w:sz w:val="18"/>
                <w:szCs w:val="18"/>
                <w:lang w:eastAsia="zh-CN"/>
              </w:rPr>
            </w:pPr>
          </w:p>
        </w:tc>
        <w:tc>
          <w:tcPr>
            <w:tcW w:w="333" w:type="pct"/>
            <w:shd w:val="clear" w:color="auto" w:fill="auto"/>
            <w:noWrap w:val="0"/>
            <w:vAlign w:val="top"/>
          </w:tcPr>
          <w:p>
            <w:pPr>
              <w:widowControl/>
              <w:jc w:val="center"/>
              <w:rPr>
                <w:rFonts w:hint="eastAsia" w:ascii="Times New Roman" w:hAnsi="Times New Roman" w:eastAsia="宋体"/>
                <w:color w:val="auto"/>
                <w:kern w:val="0"/>
                <w:sz w:val="18"/>
                <w:szCs w:val="18"/>
                <w:lang w:val="en-US" w:eastAsia="zh-CN"/>
              </w:rPr>
            </w:pPr>
            <w:r>
              <w:rPr>
                <w:rFonts w:hint="eastAsia" w:ascii="Times New Roman" w:hAnsi="Times New Roman"/>
                <w:color w:val="auto"/>
                <w:kern w:val="0"/>
                <w:sz w:val="18"/>
                <w:szCs w:val="18"/>
                <w:lang w:val="en-US" w:eastAsia="zh-CN"/>
              </w:rPr>
              <w:t>8</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托育服务人员职业道德规范与政策法规</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2</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36</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10</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26</w:t>
            </w:r>
          </w:p>
        </w:tc>
        <w:tc>
          <w:tcPr>
            <w:tcW w:w="310"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3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color w:val="auto"/>
                <w:kern w:val="0"/>
                <w:sz w:val="18"/>
                <w:szCs w:val="18"/>
                <w:highlight w:val="none"/>
                <w:lang w:val="en-US" w:eastAsia="zh-CN"/>
              </w:rPr>
              <w:t>2</w:t>
            </w:r>
            <w:r>
              <w:rPr>
                <w:rFonts w:ascii="Times New Roman" w:hAnsi="Times New Roman"/>
                <w:color w:val="auto"/>
                <w:kern w:val="0"/>
                <w:sz w:val="18"/>
                <w:szCs w:val="18"/>
                <w:highlight w:val="none"/>
              </w:rPr>
              <w:t>　</w:t>
            </w: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9</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托育机构运营与管理</w:t>
            </w:r>
            <w:r>
              <w:rPr>
                <w:rFonts w:hint="eastAsia" w:ascii="Calibri" w:hAnsi="Calibri" w:eastAsia="方正仿宋简体" w:cs="Times New Roman"/>
                <w:sz w:val="24"/>
                <w:szCs w:val="21"/>
                <w:lang w:val="en-US" w:eastAsia="zh-CN"/>
              </w:rPr>
              <w:t xml:space="preserve"> </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4</w:t>
            </w:r>
          </w:p>
        </w:tc>
        <w:tc>
          <w:tcPr>
            <w:tcW w:w="367"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20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52</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19"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hint="default" w:ascii="Times New Roman" w:hAnsi="Times New Roman"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10</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婴幼儿照护</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4</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72</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20</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52</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3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hint="default" w:ascii="Times New Roman" w:hAnsi="Times New Roman"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11</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托育机构环境创设</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20</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16</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2</w:t>
            </w:r>
            <w:r>
              <w:rPr>
                <w:rFonts w:hint="eastAsia" w:ascii="宋体" w:hAnsi="宋体" w:cs="宋体"/>
                <w:color w:val="auto"/>
                <w:kern w:val="0"/>
                <w:sz w:val="18"/>
                <w:szCs w:val="18"/>
                <w:highlight w:val="none"/>
              </w:rPr>
              <w:t>　</w:t>
            </w:r>
          </w:p>
        </w:tc>
        <w:tc>
          <w:tcPr>
            <w:tcW w:w="319" w:type="pct"/>
            <w:shd w:val="clear" w:color="000000" w:fill="FFFFFF"/>
            <w:noWrap w:val="0"/>
            <w:vAlign w:val="top"/>
          </w:tcPr>
          <w:p>
            <w:pPr>
              <w:widowControl/>
              <w:jc w:val="center"/>
              <w:rPr>
                <w:rFonts w:ascii="Times New Roman" w:hAnsi="Times New Roman"/>
                <w:color w:val="auto"/>
                <w:kern w:val="0"/>
                <w:sz w:val="18"/>
                <w:szCs w:val="18"/>
                <w:highlight w:val="none"/>
              </w:rPr>
            </w:pPr>
          </w:p>
        </w:tc>
        <w:tc>
          <w:tcPr>
            <w:tcW w:w="322" w:type="pct"/>
            <w:shd w:val="clear" w:color="000000" w:fill="FFFFFF"/>
            <w:noWrap w:val="0"/>
            <w:vAlign w:val="top"/>
          </w:tcPr>
          <w:p>
            <w:pPr>
              <w:widowControl/>
              <w:jc w:val="center"/>
              <w:rPr>
                <w:rFonts w:hint="eastAsia"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12</w:t>
            </w:r>
          </w:p>
        </w:tc>
        <w:tc>
          <w:tcPr>
            <w:tcW w:w="947" w:type="pct"/>
            <w:shd w:val="clear" w:color="auto" w:fill="auto"/>
            <w:noWrap w:val="0"/>
            <w:vAlign w:val="top"/>
          </w:tcPr>
          <w:p>
            <w:pPr>
              <w:widowControl/>
              <w:rPr>
                <w:rFonts w:hint="eastAsia" w:ascii="宋体" w:hAnsi="宋体" w:cs="宋体"/>
                <w:color w:val="auto"/>
                <w:kern w:val="0"/>
                <w:sz w:val="18"/>
                <w:szCs w:val="18"/>
                <w:lang w:val="en-US" w:eastAsia="zh-CN"/>
              </w:rPr>
            </w:pPr>
            <w:r>
              <w:rPr>
                <w:rFonts w:hint="eastAsia" w:ascii="宋体" w:hAnsi="宋体" w:cs="宋体"/>
                <w:color w:val="auto"/>
                <w:kern w:val="0"/>
                <w:sz w:val="18"/>
                <w:szCs w:val="18"/>
                <w:lang w:val="en-US" w:eastAsia="zh-CN"/>
              </w:rPr>
              <w:t xml:space="preserve">婴幼儿家庭教育与指导  </w:t>
            </w:r>
          </w:p>
          <w:p>
            <w:pPr>
              <w:widowControl/>
              <w:rPr>
                <w:rFonts w:hint="eastAsia" w:ascii="宋体" w:hAnsi="宋体" w:eastAsia="宋体" w:cs="宋体"/>
                <w:color w:val="auto"/>
                <w:kern w:val="0"/>
                <w:sz w:val="18"/>
                <w:szCs w:val="18"/>
                <w:lang w:val="en-US" w:eastAsia="zh-CN" w:bidi="ar-SA"/>
              </w:rPr>
            </w:pP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4</w:t>
            </w:r>
          </w:p>
        </w:tc>
        <w:tc>
          <w:tcPr>
            <w:tcW w:w="367"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72</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20</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52</w:t>
            </w:r>
          </w:p>
        </w:tc>
        <w:tc>
          <w:tcPr>
            <w:tcW w:w="310"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restart"/>
            <w:shd w:val="clear" w:color="auto" w:fill="auto"/>
            <w:noWrap w:val="0"/>
            <w:vAlign w:val="center"/>
          </w:tcPr>
          <w:p>
            <w:pPr>
              <w:widowControl/>
              <w:jc w:val="center"/>
              <w:rPr>
                <w:rFonts w:hint="eastAsia" w:ascii="宋体" w:hAnsi="宋体" w:cs="宋体"/>
                <w:color w:val="auto"/>
                <w:kern w:val="0"/>
                <w:sz w:val="18"/>
                <w:szCs w:val="18"/>
                <w:lang w:eastAsia="zh-CN"/>
              </w:rPr>
            </w:pPr>
          </w:p>
          <w:p>
            <w:pPr>
              <w:widowControl/>
              <w:jc w:val="center"/>
              <w:rPr>
                <w:rFonts w:hint="eastAsia" w:ascii="宋体" w:hAnsi="宋体" w:cs="宋体"/>
                <w:color w:val="auto"/>
                <w:kern w:val="0"/>
                <w:sz w:val="18"/>
                <w:szCs w:val="18"/>
                <w:lang w:eastAsia="zh-CN"/>
              </w:rPr>
            </w:pPr>
          </w:p>
          <w:p>
            <w:pPr>
              <w:widowControl/>
              <w:jc w:val="center"/>
              <w:rPr>
                <w:rFonts w:hint="eastAsia" w:ascii="宋体" w:hAnsi="宋体" w:cs="宋体"/>
                <w:color w:val="auto"/>
                <w:kern w:val="0"/>
                <w:sz w:val="18"/>
                <w:szCs w:val="18"/>
                <w:lang w:eastAsia="zh-CN"/>
              </w:rPr>
            </w:pPr>
          </w:p>
          <w:p>
            <w:pPr>
              <w:widowControl/>
              <w:jc w:val="center"/>
              <w:rPr>
                <w:rFonts w:hint="eastAsia" w:ascii="宋体" w:hAnsi="宋体" w:cs="宋体"/>
                <w:color w:val="auto"/>
                <w:kern w:val="0"/>
                <w:sz w:val="18"/>
                <w:szCs w:val="18"/>
                <w:lang w:eastAsia="zh-CN"/>
              </w:rPr>
            </w:pPr>
          </w:p>
          <w:p>
            <w:pPr>
              <w:widowControl/>
              <w:jc w:val="center"/>
              <w:rPr>
                <w:rFonts w:hint="eastAsia" w:ascii="宋体" w:hAnsi="宋体" w:cs="宋体"/>
                <w:color w:val="auto"/>
                <w:kern w:val="0"/>
                <w:sz w:val="18"/>
                <w:szCs w:val="18"/>
                <w:lang w:eastAsia="zh-CN"/>
              </w:rPr>
            </w:pPr>
          </w:p>
          <w:p>
            <w:pPr>
              <w:widowControl/>
              <w:jc w:val="center"/>
              <w:rPr>
                <w:rFonts w:hint="eastAsia" w:ascii="宋体" w:hAnsi="宋体" w:cs="宋体"/>
                <w:color w:val="auto"/>
                <w:kern w:val="0"/>
                <w:sz w:val="18"/>
                <w:szCs w:val="18"/>
                <w:lang w:eastAsia="zh-CN"/>
              </w:rPr>
            </w:pPr>
          </w:p>
          <w:p>
            <w:pPr>
              <w:widowControl/>
              <w:jc w:val="both"/>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lang w:eastAsia="zh-CN"/>
              </w:rPr>
              <w:t>专业核心课程</w:t>
            </w: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w:t>
            </w:r>
          </w:p>
        </w:tc>
        <w:tc>
          <w:tcPr>
            <w:tcW w:w="947" w:type="pct"/>
            <w:shd w:val="clear" w:color="auto" w:fill="auto"/>
            <w:noWrap w:val="0"/>
            <w:vAlign w:val="top"/>
          </w:tcPr>
          <w:p>
            <w:pPr>
              <w:widowControl/>
              <w:rPr>
                <w:rFonts w:hint="default"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婴幼儿早期教育概论</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0</w:t>
            </w:r>
          </w:p>
        </w:tc>
        <w:tc>
          <w:tcPr>
            <w:tcW w:w="310"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Times New Roman" w:hAnsi="Times New Roman"/>
                <w:color w:val="auto"/>
                <w:kern w:val="0"/>
                <w:sz w:val="18"/>
                <w:szCs w:val="18"/>
                <w:highlight w:val="none"/>
                <w:lang w:val="en-US" w:eastAsia="zh-CN"/>
              </w:rPr>
              <w:t>4</w:t>
            </w: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947" w:type="pct"/>
            <w:shd w:val="clear" w:color="auto" w:fill="auto"/>
            <w:noWrap w:val="0"/>
            <w:vAlign w:val="top"/>
          </w:tcPr>
          <w:p>
            <w:pPr>
              <w:widowControl/>
              <w:rPr>
                <w:rFonts w:hint="default" w:ascii="宋体" w:hAnsi="宋体" w:cs="宋体"/>
                <w:color w:val="auto"/>
                <w:kern w:val="0"/>
                <w:sz w:val="18"/>
                <w:szCs w:val="18"/>
                <w:lang w:val="en-US" w:eastAsia="zh-CN"/>
              </w:rPr>
            </w:pPr>
            <w:r>
              <w:rPr>
                <w:rFonts w:hint="eastAsia" w:ascii="宋体" w:hAnsi="宋体" w:cs="宋体"/>
                <w:color w:val="auto"/>
                <w:kern w:val="0"/>
                <w:sz w:val="18"/>
                <w:szCs w:val="18"/>
                <w:lang w:val="en-US" w:eastAsia="zh-CN"/>
              </w:rPr>
              <w:t>0-3岁婴幼儿心理发展与教育</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68</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10"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3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w:t>
            </w:r>
          </w:p>
        </w:tc>
        <w:tc>
          <w:tcPr>
            <w:tcW w:w="947" w:type="pct"/>
            <w:shd w:val="clear" w:color="auto" w:fill="auto"/>
            <w:noWrap w:val="0"/>
            <w:vAlign w:val="top"/>
          </w:tcPr>
          <w:p>
            <w:pPr>
              <w:widowControl/>
              <w:rPr>
                <w:rFonts w:hint="eastAsia" w:ascii="宋体" w:hAnsi="宋体" w:cs="宋体"/>
                <w:color w:val="auto"/>
                <w:kern w:val="0"/>
                <w:sz w:val="18"/>
                <w:szCs w:val="18"/>
                <w:lang w:val="en-US" w:eastAsia="zh-CN"/>
              </w:rPr>
            </w:pPr>
            <w:r>
              <w:rPr>
                <w:rFonts w:hint="eastAsia" w:ascii="宋体" w:hAnsi="宋体" w:cs="宋体"/>
                <w:color w:val="auto"/>
                <w:kern w:val="0"/>
                <w:sz w:val="18"/>
                <w:szCs w:val="18"/>
                <w:lang w:val="en-US" w:eastAsia="zh-CN"/>
              </w:rPr>
              <w:t>婴幼儿营养与膳食管理</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68</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4</w:t>
            </w:r>
          </w:p>
        </w:tc>
        <w:tc>
          <w:tcPr>
            <w:tcW w:w="31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3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p>
        </w:tc>
        <w:tc>
          <w:tcPr>
            <w:tcW w:w="319"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947" w:type="pct"/>
            <w:shd w:val="clear" w:color="auto" w:fill="auto"/>
            <w:noWrap w:val="0"/>
            <w:vAlign w:val="top"/>
          </w:tcPr>
          <w:p>
            <w:pPr>
              <w:widowControl/>
              <w:rPr>
                <w:rFonts w:hint="default" w:ascii="宋体" w:hAnsi="宋体" w:cs="宋体"/>
                <w:color w:val="auto"/>
                <w:kern w:val="0"/>
                <w:sz w:val="18"/>
                <w:szCs w:val="18"/>
                <w:lang w:val="en-US" w:eastAsia="zh-CN"/>
              </w:rPr>
            </w:pPr>
            <w:r>
              <w:rPr>
                <w:rFonts w:hint="eastAsia" w:ascii="宋体" w:hAnsi="宋体" w:cs="宋体"/>
                <w:color w:val="auto"/>
                <w:kern w:val="0"/>
                <w:sz w:val="18"/>
                <w:szCs w:val="18"/>
                <w:lang w:val="en-US" w:eastAsia="zh-CN"/>
              </w:rPr>
              <w:t>婴幼儿健康管理基础</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68</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12</w:t>
            </w:r>
          </w:p>
        </w:tc>
        <w:tc>
          <w:tcPr>
            <w:tcW w:w="310" w:type="pct"/>
            <w:shd w:val="clear" w:color="000000" w:fill="FFFFFF"/>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p>
        </w:tc>
        <w:tc>
          <w:tcPr>
            <w:tcW w:w="33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both"/>
              <w:rPr>
                <w:rFonts w:hint="eastAsia" w:ascii="宋体" w:hAnsi="宋体" w:eastAsia="宋体" w:cs="宋体"/>
                <w:color w:val="auto"/>
                <w:kern w:val="0"/>
                <w:sz w:val="18"/>
                <w:szCs w:val="18"/>
                <w:lang w:eastAsia="zh-CN"/>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5</w:t>
            </w:r>
          </w:p>
        </w:tc>
        <w:tc>
          <w:tcPr>
            <w:tcW w:w="947" w:type="pct"/>
            <w:shd w:val="clear" w:color="auto" w:fill="auto"/>
            <w:noWrap w:val="0"/>
            <w:vAlign w:val="top"/>
          </w:tcPr>
          <w:p>
            <w:pPr>
              <w:widowControl/>
              <w:rPr>
                <w:rFonts w:hint="eastAsia" w:ascii="宋体" w:hAnsi="宋体" w:cs="宋体"/>
                <w:color w:val="auto"/>
                <w:kern w:val="0"/>
                <w:sz w:val="18"/>
                <w:szCs w:val="18"/>
                <w:lang w:val="en-US" w:eastAsia="zh-CN"/>
              </w:rPr>
            </w:pPr>
            <w:r>
              <w:rPr>
                <w:rFonts w:hint="eastAsia" w:ascii="宋体" w:hAnsi="宋体" w:cs="宋体"/>
                <w:color w:val="auto"/>
                <w:kern w:val="0"/>
                <w:sz w:val="18"/>
                <w:szCs w:val="18"/>
                <w:lang w:val="en-US" w:eastAsia="zh-CN"/>
              </w:rPr>
              <w:t>儿科护理学</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12</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color w:val="auto"/>
                <w:kern w:val="0"/>
                <w:sz w:val="18"/>
                <w:szCs w:val="18"/>
                <w:highlight w:val="none"/>
                <w:lang w:val="en-US" w:eastAsia="zh-CN"/>
              </w:rPr>
              <w:t>4</w:t>
            </w: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p>
        </w:tc>
        <w:tc>
          <w:tcPr>
            <w:tcW w:w="33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 xml:space="preserve">婴幼儿生理心理观察与评估 </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68</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10" w:type="pct"/>
            <w:shd w:val="clear" w:color="000000" w:fill="FFFFFF"/>
            <w:noWrap w:val="0"/>
            <w:vAlign w:val="center"/>
          </w:tcPr>
          <w:p>
            <w:pPr>
              <w:widowControl/>
              <w:jc w:val="center"/>
              <w:rPr>
                <w:rFonts w:hint="eastAsia"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bidi="ar-SA"/>
              </w:rPr>
              <w:t>4</w:t>
            </w:r>
          </w:p>
        </w:tc>
        <w:tc>
          <w:tcPr>
            <w:tcW w:w="310" w:type="pct"/>
            <w:shd w:val="clear" w:color="000000" w:fill="FFFFFF"/>
            <w:noWrap w:val="0"/>
            <w:vAlign w:val="top"/>
          </w:tcPr>
          <w:p>
            <w:pPr>
              <w:widowControl/>
              <w:jc w:val="center"/>
              <w:rPr>
                <w:rFonts w:hint="default" w:ascii="Times New Roman" w:hAnsi="Times New Roman" w:eastAsia="宋体" w:cs="Times New Roman"/>
                <w:color w:val="auto"/>
                <w:kern w:val="0"/>
                <w:sz w:val="18"/>
                <w:szCs w:val="18"/>
                <w:highlight w:val="none"/>
                <w:lang w:val="en-US" w:eastAsia="zh-CN" w:bidi="ar-SA"/>
              </w:rPr>
            </w:pPr>
          </w:p>
        </w:tc>
        <w:tc>
          <w:tcPr>
            <w:tcW w:w="330" w:type="pct"/>
            <w:shd w:val="clear" w:color="000000" w:fill="FFFFFF"/>
            <w:noWrap w:val="0"/>
            <w:vAlign w:val="top"/>
          </w:tcPr>
          <w:p>
            <w:pPr>
              <w:widowControl/>
              <w:jc w:val="center"/>
              <w:rPr>
                <w:rFonts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w:t>
            </w:r>
          </w:p>
        </w:tc>
        <w:tc>
          <w:tcPr>
            <w:tcW w:w="947" w:type="pct"/>
            <w:shd w:val="clear" w:color="auto" w:fill="auto"/>
            <w:noWrap w:val="0"/>
            <w:vAlign w:val="top"/>
          </w:tcPr>
          <w:p>
            <w:pPr>
              <w:widowControl/>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婴幼儿游戏理论与指导</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60</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color w:val="auto"/>
                <w:kern w:val="0"/>
                <w:sz w:val="18"/>
                <w:szCs w:val="18"/>
                <w:lang w:val="en-US" w:eastAsia="zh-CN"/>
              </w:rPr>
              <w:t>12</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p>
        </w:tc>
        <w:tc>
          <w:tcPr>
            <w:tcW w:w="322"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Times New Roman" w:hAnsi="Times New Roman"/>
                <w:color w:val="auto"/>
                <w:kern w:val="0"/>
                <w:sz w:val="18"/>
                <w:szCs w:val="18"/>
                <w:highlight w:val="none"/>
                <w:lang w:val="en-US" w:eastAsia="zh-CN"/>
              </w:rPr>
              <w:t>4</w:t>
            </w:r>
            <w:r>
              <w:rPr>
                <w:rFonts w:ascii="Times New Roman" w:hAnsi="Times New Roman"/>
                <w:color w:val="auto"/>
                <w:kern w:val="0"/>
                <w:sz w:val="18"/>
                <w:szCs w:val="18"/>
                <w:highlight w:val="none"/>
              </w:rPr>
              <w:t>　</w:t>
            </w:r>
          </w:p>
        </w:tc>
        <w:tc>
          <w:tcPr>
            <w:tcW w:w="330"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shd w:val="clear" w:color="000000" w:fill="FFFFFF"/>
            <w:noWrap w:val="0"/>
            <w:vAlign w:val="top"/>
          </w:tcPr>
          <w:p>
            <w:pPr>
              <w:widowControl/>
              <w:jc w:val="center"/>
              <w:rPr>
                <w:rFonts w:hint="eastAsia" w:ascii="Times New Roman" w:hAnsi="Times New Roman" w:eastAsia="宋体" w:cs="Times New Roman"/>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51" w:type="pct"/>
            <w:vMerge w:val="continue"/>
            <w:shd w:val="clear" w:color="auto" w:fill="auto"/>
            <w:noWrap w:val="0"/>
            <w:vAlign w:val="center"/>
          </w:tcPr>
          <w:p>
            <w:pPr>
              <w:widowControl/>
              <w:jc w:val="left"/>
              <w:rPr>
                <w:rFonts w:ascii="宋体" w:hAnsi="宋体" w:cs="宋体"/>
                <w:color w:val="auto"/>
                <w:kern w:val="0"/>
                <w:sz w:val="18"/>
                <w:szCs w:val="18"/>
              </w:rPr>
            </w:pPr>
          </w:p>
        </w:tc>
        <w:tc>
          <w:tcPr>
            <w:tcW w:w="253" w:type="pct"/>
            <w:vMerge w:val="continue"/>
            <w:shd w:val="clear" w:color="auto" w:fill="auto"/>
            <w:noWrap w:val="0"/>
            <w:vAlign w:val="center"/>
          </w:tcPr>
          <w:p>
            <w:pPr>
              <w:widowControl/>
              <w:jc w:val="left"/>
              <w:rPr>
                <w:rFonts w:ascii="宋体" w:hAnsi="宋体" w:cs="宋体"/>
                <w:color w:val="auto"/>
                <w:kern w:val="0"/>
                <w:sz w:val="18"/>
                <w:szCs w:val="18"/>
              </w:rPr>
            </w:pPr>
          </w:p>
        </w:tc>
        <w:tc>
          <w:tcPr>
            <w:tcW w:w="333"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8</w:t>
            </w:r>
          </w:p>
        </w:tc>
        <w:tc>
          <w:tcPr>
            <w:tcW w:w="947" w:type="pct"/>
            <w:shd w:val="clear" w:color="auto" w:fill="auto"/>
            <w:noWrap w:val="0"/>
            <w:vAlign w:val="top"/>
          </w:tcPr>
          <w:p>
            <w:pPr>
              <w:widowControl/>
              <w:rPr>
                <w:rFonts w:hint="default"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 xml:space="preserve">婴幼儿家园共育 </w:t>
            </w:r>
          </w:p>
        </w:tc>
        <w:tc>
          <w:tcPr>
            <w:tcW w:w="310" w:type="pct"/>
            <w:shd w:val="clear" w:color="auto" w:fill="auto"/>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hint="eastAsia" w:ascii="Times New Roman" w:hAnsi="Times New Roman"/>
                <w:color w:val="auto"/>
                <w:kern w:val="0"/>
                <w:sz w:val="18"/>
                <w:szCs w:val="18"/>
                <w:lang w:val="en-US" w:eastAsia="zh-CN"/>
              </w:rPr>
              <w:t>4</w:t>
            </w:r>
          </w:p>
        </w:tc>
        <w:tc>
          <w:tcPr>
            <w:tcW w:w="367"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shd w:val="clear" w:color="auto" w:fill="auto"/>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30</w:t>
            </w:r>
          </w:p>
        </w:tc>
        <w:tc>
          <w:tcPr>
            <w:tcW w:w="310" w:type="pct"/>
            <w:shd w:val="clear" w:color="auto" w:fill="auto"/>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6</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lang w:val="en-US" w:eastAsia="zh-CN"/>
              </w:rPr>
              <w:t>4</w:t>
            </w:r>
            <w:r>
              <w:rPr>
                <w:rFonts w:hint="eastAsia" w:ascii="宋体" w:hAnsi="宋体" w:cs="宋体"/>
                <w:color w:val="auto"/>
                <w:kern w:val="0"/>
                <w:sz w:val="18"/>
                <w:szCs w:val="18"/>
                <w:highlight w:val="none"/>
              </w:rPr>
              <w:t>　</w:t>
            </w:r>
          </w:p>
        </w:tc>
        <w:tc>
          <w:tcPr>
            <w:tcW w:w="319"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22" w:type="pct"/>
            <w:shd w:val="clear" w:color="000000" w:fill="FFFFFF"/>
            <w:noWrap w:val="0"/>
            <w:vAlign w:val="top"/>
          </w:tcPr>
          <w:p>
            <w:pPr>
              <w:widowControl/>
              <w:jc w:val="center"/>
              <w:rPr>
                <w:rFonts w:hint="eastAsia"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restart"/>
            <w:noWrap w:val="0"/>
            <w:vAlign w:val="center"/>
          </w:tcPr>
          <w:p>
            <w:pPr>
              <w:widowControl/>
              <w:jc w:val="center"/>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rPr>
              <w:t>专业</w:t>
            </w:r>
            <w:r>
              <w:rPr>
                <w:rFonts w:hint="eastAsia" w:ascii="宋体" w:hAnsi="宋体" w:cs="宋体"/>
                <w:color w:val="auto"/>
                <w:kern w:val="0"/>
                <w:sz w:val="18"/>
                <w:szCs w:val="18"/>
                <w:lang w:eastAsia="zh-CN"/>
              </w:rPr>
              <w:t>拓展课程</w:t>
            </w:r>
          </w:p>
        </w:tc>
        <w:tc>
          <w:tcPr>
            <w:tcW w:w="333" w:type="pct"/>
            <w:noWrap w:val="0"/>
            <w:vAlign w:val="top"/>
          </w:tcPr>
          <w:p>
            <w:pPr>
              <w:widowControl/>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w:t>
            </w:r>
          </w:p>
        </w:tc>
        <w:tc>
          <w:tcPr>
            <w:tcW w:w="947" w:type="pct"/>
            <w:noWrap w:val="0"/>
            <w:vAlign w:val="top"/>
          </w:tcPr>
          <w:p>
            <w:pPr>
              <w:widowControl/>
              <w:jc w:val="both"/>
              <w:rPr>
                <w:rFonts w:hint="eastAsia"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奥尔夫音乐</w:t>
            </w:r>
          </w:p>
        </w:tc>
        <w:tc>
          <w:tcPr>
            <w:tcW w:w="310" w:type="pct"/>
            <w:noWrap w:val="0"/>
            <w:vAlign w:val="top"/>
          </w:tcPr>
          <w:p>
            <w:pPr>
              <w:widowControl/>
              <w:jc w:val="center"/>
              <w:rPr>
                <w:rFonts w:hint="eastAsia"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20</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Times New Roman" w:hAnsi="Times New Roman"/>
                <w:color w:val="auto"/>
                <w:kern w:val="0"/>
                <w:sz w:val="18"/>
                <w:szCs w:val="18"/>
                <w:highlight w:val="none"/>
                <w:lang w:val="en-US" w:eastAsia="zh-CN"/>
              </w:rPr>
              <w:t>2</w:t>
            </w:r>
            <w:r>
              <w:rPr>
                <w:rFonts w:ascii="Times New Roman" w:hAnsi="Times New Roman"/>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r>
              <w:rPr>
                <w:rFonts w:hint="eastAsia" w:ascii="宋体" w:hAnsi="宋体" w:cs="宋体"/>
                <w:color w:val="auto"/>
                <w:kern w:val="0"/>
                <w:sz w:val="18"/>
                <w:szCs w:val="18"/>
                <w:highlight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2</w:t>
            </w:r>
          </w:p>
        </w:tc>
        <w:tc>
          <w:tcPr>
            <w:tcW w:w="947" w:type="pct"/>
            <w:noWrap w:val="0"/>
            <w:vAlign w:val="top"/>
          </w:tcPr>
          <w:p>
            <w:pPr>
              <w:widowControl/>
              <w:jc w:val="both"/>
              <w:rPr>
                <w:rFonts w:hint="default"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rPr>
              <w:t>蒙台梭利教学法</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36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16</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20</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1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2</w:t>
            </w:r>
          </w:p>
        </w:tc>
        <w:tc>
          <w:tcPr>
            <w:tcW w:w="330"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ascii="Times New Roman" w:hAnsi="Times New Roman"/>
                <w:color w:val="auto"/>
                <w:kern w:val="0"/>
                <w:sz w:val="18"/>
                <w:szCs w:val="18"/>
                <w:highlight w:val="none"/>
              </w:rPr>
              <w:t>　</w:t>
            </w:r>
          </w:p>
        </w:tc>
        <w:tc>
          <w:tcPr>
            <w:tcW w:w="319" w:type="pct"/>
            <w:noWrap w:val="0"/>
            <w:vAlign w:val="top"/>
          </w:tcPr>
          <w:p>
            <w:pPr>
              <w:widowControl/>
              <w:jc w:val="center"/>
              <w:rPr>
                <w:rFonts w:ascii="宋体" w:hAnsi="宋体" w:eastAsia="宋体" w:cs="宋体"/>
                <w:color w:val="auto"/>
                <w:kern w:val="0"/>
                <w:sz w:val="18"/>
                <w:szCs w:val="18"/>
                <w:highlight w:val="none"/>
                <w:lang w:val="en-US" w:eastAsia="zh-CN" w:bidi="ar-SA"/>
              </w:rPr>
            </w:pPr>
            <w:r>
              <w:rPr>
                <w:rFonts w:hint="eastAsia" w:ascii="宋体" w:hAnsi="宋体" w:cs="宋体"/>
                <w:color w:val="auto"/>
                <w:kern w:val="0"/>
                <w:sz w:val="18"/>
                <w:szCs w:val="18"/>
                <w:highlight w:val="none"/>
              </w:rPr>
              <w:t>　</w:t>
            </w:r>
          </w:p>
        </w:tc>
        <w:tc>
          <w:tcPr>
            <w:tcW w:w="322" w:type="pct"/>
            <w:noWrap w:val="0"/>
            <w:vAlign w:val="top"/>
          </w:tcPr>
          <w:p>
            <w:pPr>
              <w:widowControl/>
              <w:jc w:val="center"/>
              <w:rPr>
                <w:rFonts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rPr>
                <w:rFonts w:hint="default" w:ascii="Times New Roman" w:hAnsi="Times New Roman" w:eastAsia="宋体" w:cs="Times New Roman"/>
                <w:color w:val="auto"/>
                <w:kern w:val="0"/>
                <w:sz w:val="18"/>
                <w:szCs w:val="18"/>
                <w:lang w:val="en-US" w:eastAsia="zh-CN" w:bidi="ar-SA"/>
              </w:rPr>
            </w:pPr>
          </w:p>
        </w:tc>
        <w:tc>
          <w:tcPr>
            <w:tcW w:w="947"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67"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宋体" w:hAnsi="宋体" w:cs="宋体"/>
                <w:color w:val="auto"/>
                <w:kern w:val="0"/>
                <w:sz w:val="18"/>
                <w:szCs w:val="18"/>
                <w:highlight w:val="none"/>
              </w:rPr>
            </w:pPr>
          </w:p>
        </w:tc>
        <w:tc>
          <w:tcPr>
            <w:tcW w:w="322" w:type="pct"/>
            <w:noWrap w:val="0"/>
            <w:vAlign w:val="top"/>
          </w:tcPr>
          <w:p>
            <w:pPr>
              <w:widowControl/>
              <w:jc w:val="center"/>
              <w:rPr>
                <w:rFonts w:ascii="宋体" w:hAnsi="宋体" w:cs="宋体"/>
                <w:color w:val="auto"/>
                <w:kern w:val="0"/>
                <w:sz w:val="18"/>
                <w:szCs w:val="18"/>
                <w:highlight w:val="none"/>
              </w:rPr>
            </w:pPr>
          </w:p>
        </w:tc>
        <w:tc>
          <w:tcPr>
            <w:tcW w:w="310" w:type="pct"/>
            <w:noWrap w:val="0"/>
            <w:vAlign w:val="top"/>
          </w:tcPr>
          <w:p>
            <w:pPr>
              <w:widowControl/>
              <w:jc w:val="center"/>
              <w:rPr>
                <w:rFonts w:ascii="宋体" w:hAnsi="宋体" w:cs="宋体"/>
                <w:color w:val="auto"/>
                <w:kern w:val="0"/>
                <w:sz w:val="18"/>
                <w:szCs w:val="18"/>
                <w:highlight w:val="none"/>
              </w:rPr>
            </w:pPr>
          </w:p>
        </w:tc>
        <w:tc>
          <w:tcPr>
            <w:tcW w:w="330" w:type="pct"/>
            <w:noWrap w:val="0"/>
            <w:vAlign w:val="top"/>
          </w:tcPr>
          <w:p>
            <w:pPr>
              <w:widowControl/>
              <w:jc w:val="center"/>
              <w:rPr>
                <w:rFonts w:ascii="宋体" w:hAnsi="宋体" w:cs="宋体"/>
                <w:color w:val="auto"/>
                <w:kern w:val="0"/>
                <w:sz w:val="18"/>
                <w:szCs w:val="18"/>
                <w:highlight w:val="none"/>
              </w:rPr>
            </w:pPr>
          </w:p>
        </w:tc>
        <w:tc>
          <w:tcPr>
            <w:tcW w:w="319" w:type="pct"/>
            <w:noWrap w:val="0"/>
            <w:vAlign w:val="top"/>
          </w:tcPr>
          <w:p>
            <w:pPr>
              <w:widowControl/>
              <w:jc w:val="center"/>
              <w:rPr>
                <w:rFonts w:ascii="宋体" w:hAnsi="宋体" w:cs="宋体"/>
                <w:color w:val="auto"/>
                <w:kern w:val="0"/>
                <w:sz w:val="18"/>
                <w:szCs w:val="18"/>
                <w:highlight w:val="none"/>
              </w:rPr>
            </w:pPr>
          </w:p>
        </w:tc>
        <w:tc>
          <w:tcPr>
            <w:tcW w:w="322" w:type="pct"/>
            <w:noWrap w:val="0"/>
            <w:vAlign w:val="top"/>
          </w:tcPr>
          <w:p>
            <w:pPr>
              <w:widowControl/>
              <w:jc w:val="center"/>
              <w:rPr>
                <w:rFonts w:ascii="宋体" w:hAnsi="宋体" w:cs="宋体"/>
                <w:color w:val="auto"/>
                <w:kern w:val="0"/>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51" w:type="pct"/>
            <w:vMerge w:val="continue"/>
            <w:noWrap w:val="0"/>
            <w:vAlign w:val="center"/>
          </w:tcPr>
          <w:p>
            <w:pPr>
              <w:widowControl/>
              <w:jc w:val="left"/>
              <w:rPr>
                <w:rFonts w:ascii="宋体" w:hAnsi="宋体" w:cs="宋体"/>
                <w:color w:val="auto"/>
                <w:kern w:val="0"/>
                <w:sz w:val="18"/>
                <w:szCs w:val="18"/>
              </w:rPr>
            </w:pPr>
          </w:p>
        </w:tc>
        <w:tc>
          <w:tcPr>
            <w:tcW w:w="253" w:type="pct"/>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rPr>
                <w:rFonts w:hint="default" w:ascii="Times New Roman" w:hAnsi="Times New Roman" w:eastAsia="宋体"/>
                <w:color w:val="auto"/>
                <w:kern w:val="0"/>
                <w:sz w:val="18"/>
                <w:szCs w:val="18"/>
                <w:lang w:val="en-US" w:eastAsia="zh-CN"/>
              </w:rPr>
            </w:pPr>
          </w:p>
        </w:tc>
        <w:tc>
          <w:tcPr>
            <w:tcW w:w="947"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67"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22"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30" w:type="pct"/>
            <w:noWrap w:val="0"/>
            <w:vAlign w:val="top"/>
          </w:tcPr>
          <w:p>
            <w:pPr>
              <w:widowControl/>
              <w:jc w:val="center"/>
              <w:rPr>
                <w:rFonts w:ascii="宋体" w:hAnsi="宋体" w:cs="宋体"/>
                <w:color w:val="auto"/>
                <w:kern w:val="0"/>
                <w:sz w:val="18"/>
                <w:szCs w:val="18"/>
              </w:rPr>
            </w:pPr>
          </w:p>
        </w:tc>
        <w:tc>
          <w:tcPr>
            <w:tcW w:w="319" w:type="pct"/>
            <w:noWrap w:val="0"/>
            <w:vAlign w:val="top"/>
          </w:tcPr>
          <w:p>
            <w:pPr>
              <w:widowControl/>
              <w:jc w:val="center"/>
              <w:rPr>
                <w:rFonts w:ascii="宋体" w:hAnsi="宋体" w:cs="宋体"/>
                <w:color w:val="auto"/>
                <w:kern w:val="0"/>
                <w:sz w:val="18"/>
                <w:szCs w:val="18"/>
              </w:rPr>
            </w:pPr>
          </w:p>
        </w:tc>
        <w:tc>
          <w:tcPr>
            <w:tcW w:w="322" w:type="pct"/>
            <w:noWrap w:val="0"/>
            <w:vAlign w:val="top"/>
          </w:tcPr>
          <w:p>
            <w:pPr>
              <w:widowControl/>
              <w:jc w:val="center"/>
              <w:rPr>
                <w:rFonts w:ascii="宋体" w:hAnsi="宋体" w:cs="宋体"/>
                <w:color w:val="auto"/>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504" w:type="pct"/>
            <w:gridSpan w:val="2"/>
            <w:vMerge w:val="restart"/>
            <w:noWrap w:val="0"/>
            <w:vAlign w:val="top"/>
          </w:tcPr>
          <w:p>
            <w:pPr>
              <w:widowControl/>
              <w:jc w:val="both"/>
              <w:rPr>
                <w:rFonts w:hint="eastAsia" w:ascii="宋体" w:hAnsi="宋体" w:cs="宋体"/>
                <w:color w:val="auto"/>
                <w:kern w:val="0"/>
                <w:sz w:val="18"/>
                <w:szCs w:val="18"/>
                <w:lang w:eastAsia="zh-CN"/>
              </w:rPr>
            </w:pPr>
          </w:p>
          <w:p>
            <w:pPr>
              <w:widowControl/>
              <w:jc w:val="both"/>
              <w:rPr>
                <w:rFonts w:hint="eastAsia" w:ascii="宋体" w:hAnsi="宋体" w:cs="宋体"/>
                <w:color w:val="auto"/>
                <w:kern w:val="0"/>
                <w:sz w:val="18"/>
                <w:szCs w:val="18"/>
                <w:lang w:eastAsia="zh-CN"/>
              </w:rPr>
            </w:pPr>
          </w:p>
          <w:p>
            <w:pPr>
              <w:widowControl/>
              <w:jc w:val="both"/>
              <w:rPr>
                <w:rFonts w:hint="eastAsia" w:ascii="宋体" w:hAnsi="宋体" w:cs="宋体"/>
                <w:color w:val="auto"/>
                <w:kern w:val="0"/>
                <w:sz w:val="18"/>
                <w:szCs w:val="18"/>
                <w:lang w:eastAsia="zh-CN"/>
              </w:rPr>
            </w:pPr>
          </w:p>
          <w:p>
            <w:pPr>
              <w:widowControl/>
              <w:jc w:val="center"/>
              <w:rPr>
                <w:rFonts w:hint="eastAsia" w:ascii="宋体" w:hAnsi="宋体" w:cs="宋体"/>
                <w:color w:val="auto"/>
                <w:kern w:val="0"/>
                <w:sz w:val="18"/>
                <w:szCs w:val="18"/>
                <w:lang w:eastAsia="zh-CN"/>
              </w:rPr>
            </w:pPr>
            <w:r>
              <w:rPr>
                <w:rFonts w:hint="eastAsia" w:ascii="宋体" w:hAnsi="宋体" w:cs="宋体"/>
                <w:color w:val="auto"/>
                <w:kern w:val="0"/>
                <w:sz w:val="18"/>
                <w:szCs w:val="18"/>
                <w:lang w:eastAsia="zh-CN"/>
              </w:rPr>
              <w:t>实</w:t>
            </w:r>
          </w:p>
          <w:p>
            <w:pPr>
              <w:widowControl/>
              <w:jc w:val="center"/>
              <w:rPr>
                <w:rFonts w:hint="eastAsia" w:ascii="宋体" w:hAnsi="宋体" w:cs="宋体"/>
                <w:color w:val="auto"/>
                <w:kern w:val="0"/>
                <w:sz w:val="18"/>
                <w:szCs w:val="18"/>
                <w:lang w:eastAsia="zh-CN"/>
              </w:rPr>
            </w:pPr>
            <w:r>
              <w:rPr>
                <w:rFonts w:hint="eastAsia" w:ascii="宋体" w:hAnsi="宋体" w:cs="宋体"/>
                <w:color w:val="auto"/>
                <w:kern w:val="0"/>
                <w:sz w:val="18"/>
                <w:szCs w:val="18"/>
                <w:lang w:eastAsia="zh-CN"/>
              </w:rPr>
              <w:t>践</w:t>
            </w:r>
          </w:p>
          <w:p>
            <w:pPr>
              <w:widowControl/>
              <w:jc w:val="center"/>
              <w:rPr>
                <w:rFonts w:hint="eastAsia" w:ascii="宋体" w:hAnsi="宋体" w:cs="宋体"/>
                <w:color w:val="auto"/>
                <w:kern w:val="0"/>
                <w:sz w:val="18"/>
                <w:szCs w:val="18"/>
                <w:lang w:eastAsia="zh-CN"/>
              </w:rPr>
            </w:pPr>
            <w:r>
              <w:rPr>
                <w:rFonts w:hint="eastAsia" w:ascii="宋体" w:hAnsi="宋体" w:cs="宋体"/>
                <w:color w:val="auto"/>
                <w:kern w:val="0"/>
                <w:sz w:val="18"/>
                <w:szCs w:val="18"/>
                <w:lang w:eastAsia="zh-CN"/>
              </w:rPr>
              <w:t>性</w:t>
            </w:r>
          </w:p>
          <w:p>
            <w:pPr>
              <w:widowControl/>
              <w:jc w:val="center"/>
              <w:rPr>
                <w:rFonts w:hint="eastAsia" w:ascii="宋体" w:hAnsi="宋体" w:cs="宋体"/>
                <w:color w:val="auto"/>
                <w:kern w:val="0"/>
                <w:sz w:val="18"/>
                <w:szCs w:val="18"/>
                <w:lang w:eastAsia="zh-CN"/>
              </w:rPr>
            </w:pPr>
            <w:r>
              <w:rPr>
                <w:rFonts w:hint="eastAsia" w:ascii="宋体" w:hAnsi="宋体" w:cs="宋体"/>
                <w:color w:val="auto"/>
                <w:kern w:val="0"/>
                <w:sz w:val="18"/>
                <w:szCs w:val="18"/>
                <w:lang w:eastAsia="zh-CN"/>
              </w:rPr>
              <w:t>教</w:t>
            </w:r>
          </w:p>
          <w:p>
            <w:pPr>
              <w:widowControl/>
              <w:jc w:val="center"/>
              <w:rPr>
                <w:rFonts w:hint="eastAsia" w:ascii="宋体" w:hAnsi="宋体" w:eastAsia="宋体" w:cs="宋体"/>
                <w:color w:val="auto"/>
                <w:kern w:val="0"/>
                <w:sz w:val="18"/>
                <w:szCs w:val="18"/>
                <w:lang w:eastAsia="zh-CN"/>
              </w:rPr>
            </w:pPr>
            <w:r>
              <w:rPr>
                <w:rFonts w:hint="eastAsia" w:ascii="宋体" w:hAnsi="宋体" w:cs="宋体"/>
                <w:color w:val="auto"/>
                <w:kern w:val="0"/>
                <w:sz w:val="18"/>
                <w:szCs w:val="18"/>
                <w:lang w:eastAsia="zh-CN"/>
              </w:rPr>
              <w:t>学</w:t>
            </w:r>
          </w:p>
        </w:tc>
        <w:tc>
          <w:tcPr>
            <w:tcW w:w="333" w:type="pct"/>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1</w:t>
            </w:r>
          </w:p>
        </w:tc>
        <w:tc>
          <w:tcPr>
            <w:tcW w:w="947" w:type="pct"/>
            <w:noWrap w:val="0"/>
            <w:vAlign w:val="top"/>
          </w:tcPr>
          <w:p>
            <w:pPr>
              <w:widowControl/>
              <w:jc w:val="both"/>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毕业实习</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5</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90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22"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30" w:type="pct"/>
            <w:noWrap w:val="0"/>
            <w:vAlign w:val="top"/>
          </w:tcPr>
          <w:p>
            <w:pPr>
              <w:widowControl/>
              <w:jc w:val="center"/>
              <w:rPr>
                <w:rFonts w:ascii="宋体" w:hAnsi="宋体" w:eastAsia="宋体" w:cs="宋体"/>
                <w:color w:val="auto"/>
                <w:kern w:val="0"/>
                <w:sz w:val="18"/>
                <w:szCs w:val="18"/>
                <w:lang w:val="en-US" w:eastAsia="zh-CN" w:bidi="ar-SA"/>
              </w:rPr>
            </w:pPr>
          </w:p>
        </w:tc>
        <w:tc>
          <w:tcPr>
            <w:tcW w:w="319" w:type="pct"/>
            <w:noWrap w:val="0"/>
            <w:vAlign w:val="top"/>
          </w:tcPr>
          <w:p>
            <w:pPr>
              <w:widowControl/>
              <w:jc w:val="center"/>
              <w:rPr>
                <w:rFonts w:ascii="宋体" w:hAnsi="宋体" w:eastAsia="宋体" w:cs="宋体"/>
                <w:color w:val="auto"/>
                <w:kern w:val="0"/>
                <w:sz w:val="18"/>
                <w:szCs w:val="18"/>
                <w:lang w:val="en-US" w:eastAsia="zh-CN" w:bidi="ar-SA"/>
              </w:rPr>
            </w:pPr>
            <w:r>
              <w:rPr>
                <w:rFonts w:ascii="Times New Roman" w:hAnsi="Times New Roman"/>
                <w:color w:val="auto"/>
                <w:kern w:val="0"/>
                <w:sz w:val="18"/>
                <w:szCs w:val="18"/>
              </w:rPr>
              <w:t>18</w:t>
            </w:r>
            <w:r>
              <w:rPr>
                <w:rFonts w:hint="eastAsia" w:ascii="宋体" w:hAnsi="宋体"/>
                <w:color w:val="auto"/>
                <w:kern w:val="0"/>
                <w:sz w:val="18"/>
                <w:szCs w:val="18"/>
              </w:rPr>
              <w:t>周</w:t>
            </w:r>
          </w:p>
        </w:tc>
        <w:tc>
          <w:tcPr>
            <w:tcW w:w="322" w:type="pct"/>
            <w:noWrap w:val="0"/>
            <w:vAlign w:val="top"/>
          </w:tcPr>
          <w:p>
            <w:pPr>
              <w:widowControl/>
              <w:jc w:val="center"/>
              <w:rPr>
                <w:rFonts w:hint="default" w:ascii="宋体" w:hAnsi="宋体" w:eastAsia="宋体" w:cs="宋体"/>
                <w:color w:val="auto"/>
                <w:kern w:val="0"/>
                <w:sz w:val="18"/>
                <w:szCs w:val="18"/>
                <w:lang w:val="en-US" w:eastAsia="zh-CN" w:bidi="ar-SA"/>
              </w:rPr>
            </w:pPr>
            <w:r>
              <w:rPr>
                <w:rFonts w:hint="eastAsia" w:ascii="宋体" w:hAnsi="宋体" w:cs="宋体"/>
                <w:color w:val="auto"/>
                <w:kern w:val="0"/>
                <w:sz w:val="18"/>
                <w:szCs w:val="18"/>
                <w:lang w:val="en-US" w:eastAsia="zh-CN" w:bidi="ar-SA"/>
              </w:rPr>
              <w:t>18周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504" w:type="pct"/>
            <w:gridSpan w:val="2"/>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2</w:t>
            </w:r>
          </w:p>
        </w:tc>
        <w:tc>
          <w:tcPr>
            <w:tcW w:w="947" w:type="pct"/>
            <w:noWrap w:val="0"/>
            <w:vAlign w:val="top"/>
          </w:tcPr>
          <w:p>
            <w:pPr>
              <w:widowControl/>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教育见习</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4</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72</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22"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宋体" w:hAnsi="宋体" w:eastAsia="宋体" w:cs="宋体"/>
                <w:color w:val="auto"/>
                <w:kern w:val="0"/>
                <w:sz w:val="18"/>
                <w:szCs w:val="18"/>
                <w:lang w:val="en-US" w:eastAsia="zh-CN" w:bidi="ar-SA"/>
              </w:rPr>
            </w:pPr>
            <w:r>
              <w:rPr>
                <w:rFonts w:ascii="Times New Roman" w:hAnsi="Times New Roman"/>
                <w:color w:val="auto"/>
                <w:kern w:val="0"/>
                <w:sz w:val="18"/>
                <w:szCs w:val="18"/>
              </w:rPr>
              <w:t>2</w:t>
            </w:r>
            <w:r>
              <w:rPr>
                <w:rFonts w:hint="eastAsia" w:ascii="宋体" w:hAnsi="宋体"/>
                <w:color w:val="auto"/>
                <w:kern w:val="0"/>
                <w:sz w:val="18"/>
                <w:szCs w:val="18"/>
              </w:rPr>
              <w:t>周</w:t>
            </w:r>
          </w:p>
        </w:tc>
        <w:tc>
          <w:tcPr>
            <w:tcW w:w="330" w:type="pct"/>
            <w:noWrap w:val="0"/>
            <w:vAlign w:val="top"/>
          </w:tcPr>
          <w:p>
            <w:pPr>
              <w:widowControl/>
              <w:jc w:val="center"/>
              <w:rPr>
                <w:rFonts w:ascii="宋体" w:hAnsi="宋体" w:eastAsia="宋体" w:cs="宋体"/>
                <w:color w:val="auto"/>
                <w:kern w:val="0"/>
                <w:sz w:val="18"/>
                <w:szCs w:val="18"/>
                <w:lang w:val="en-US" w:eastAsia="zh-CN" w:bidi="ar-SA"/>
              </w:rPr>
            </w:pPr>
            <w:r>
              <w:rPr>
                <w:rFonts w:ascii="Times New Roman" w:hAnsi="Times New Roman"/>
                <w:color w:val="auto"/>
                <w:kern w:val="0"/>
                <w:sz w:val="18"/>
                <w:szCs w:val="18"/>
              </w:rPr>
              <w:t>2</w:t>
            </w:r>
            <w:r>
              <w:rPr>
                <w:rFonts w:hint="eastAsia" w:ascii="宋体" w:hAnsi="宋体"/>
                <w:color w:val="auto"/>
                <w:kern w:val="0"/>
                <w:sz w:val="18"/>
                <w:szCs w:val="18"/>
              </w:rPr>
              <w:t>周</w:t>
            </w:r>
          </w:p>
        </w:tc>
        <w:tc>
          <w:tcPr>
            <w:tcW w:w="319"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22"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504" w:type="pct"/>
            <w:gridSpan w:val="2"/>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bidi="ar-SA"/>
              </w:rPr>
              <w:t>3</w:t>
            </w:r>
          </w:p>
        </w:tc>
        <w:tc>
          <w:tcPr>
            <w:tcW w:w="947" w:type="pct"/>
            <w:noWrap w:val="0"/>
            <w:vAlign w:val="top"/>
          </w:tcPr>
          <w:p>
            <w:pPr>
              <w:widowControl/>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毕业论文（设计）</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5</w:t>
            </w:r>
          </w:p>
        </w:tc>
        <w:tc>
          <w:tcPr>
            <w:tcW w:w="367"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90</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22"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10" w:type="pct"/>
            <w:noWrap w:val="0"/>
            <w:vAlign w:val="top"/>
          </w:tcPr>
          <w:p>
            <w:pPr>
              <w:widowControl/>
              <w:jc w:val="center"/>
              <w:rPr>
                <w:rFonts w:ascii="宋体" w:hAnsi="宋体" w:eastAsia="宋体" w:cs="宋体"/>
                <w:color w:val="auto"/>
                <w:kern w:val="0"/>
                <w:sz w:val="18"/>
                <w:szCs w:val="18"/>
                <w:lang w:val="en-US" w:eastAsia="zh-CN" w:bidi="ar-SA"/>
              </w:rPr>
            </w:pPr>
            <w:r>
              <w:rPr>
                <w:rFonts w:hint="eastAsia" w:ascii="宋体" w:hAnsi="宋体" w:cs="宋体"/>
                <w:color w:val="auto"/>
                <w:kern w:val="0"/>
                <w:sz w:val="18"/>
                <w:szCs w:val="18"/>
              </w:rPr>
              <w:t>　</w:t>
            </w:r>
          </w:p>
        </w:tc>
        <w:tc>
          <w:tcPr>
            <w:tcW w:w="330"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hint="eastAsia" w:ascii="宋体" w:hAnsi="宋体" w:cs="宋体"/>
                <w:color w:val="auto"/>
                <w:kern w:val="0"/>
                <w:sz w:val="18"/>
                <w:szCs w:val="18"/>
              </w:rPr>
              <w:t>　</w:t>
            </w:r>
          </w:p>
        </w:tc>
        <w:tc>
          <w:tcPr>
            <w:tcW w:w="319" w:type="pct"/>
            <w:noWrap w:val="0"/>
            <w:vAlign w:val="top"/>
          </w:tcPr>
          <w:p>
            <w:pPr>
              <w:widowControl/>
              <w:jc w:val="center"/>
              <w:rPr>
                <w:rFonts w:ascii="Times New Roman" w:hAnsi="Times New Roman" w:eastAsia="宋体" w:cs="Times New Roman"/>
                <w:color w:val="auto"/>
                <w:kern w:val="0"/>
                <w:sz w:val="18"/>
                <w:szCs w:val="18"/>
                <w:lang w:val="en-US" w:eastAsia="zh-CN" w:bidi="ar-SA"/>
              </w:rPr>
            </w:pPr>
            <w:r>
              <w:rPr>
                <w:rFonts w:ascii="Times New Roman" w:hAnsi="Times New Roman"/>
                <w:color w:val="auto"/>
                <w:kern w:val="0"/>
                <w:sz w:val="18"/>
                <w:szCs w:val="18"/>
              </w:rPr>
              <w:t>18</w:t>
            </w:r>
            <w:r>
              <w:rPr>
                <w:rFonts w:hint="eastAsia" w:ascii="宋体" w:hAnsi="宋体"/>
                <w:color w:val="auto"/>
                <w:kern w:val="0"/>
                <w:sz w:val="18"/>
                <w:szCs w:val="18"/>
              </w:rPr>
              <w:t>周</w:t>
            </w:r>
          </w:p>
        </w:tc>
        <w:tc>
          <w:tcPr>
            <w:tcW w:w="322" w:type="pct"/>
            <w:noWrap w:val="0"/>
            <w:vAlign w:val="top"/>
          </w:tcPr>
          <w:p>
            <w:pPr>
              <w:widowControl/>
              <w:jc w:val="center"/>
              <w:rPr>
                <w:rFonts w:ascii="宋体" w:hAnsi="宋体" w:eastAsia="宋体" w:cs="宋体"/>
                <w:color w:val="auto"/>
                <w:kern w:val="0"/>
                <w:sz w:val="18"/>
                <w:szCs w:val="18"/>
                <w:lang w:val="en-US" w:eastAsia="zh-CN" w:bidi="ar-SA"/>
              </w:rPr>
            </w:pPr>
            <w:r>
              <w:rPr>
                <w:rFonts w:ascii="Times New Roman" w:hAnsi="Times New Roman"/>
                <w:color w:val="auto"/>
                <w:kern w:val="0"/>
                <w:sz w:val="18"/>
                <w:szCs w:val="18"/>
              </w:rPr>
              <w:t>18</w:t>
            </w:r>
            <w:r>
              <w:rPr>
                <w:rFonts w:hint="eastAsia" w:ascii="宋体" w:hAnsi="宋体"/>
                <w:color w:val="auto"/>
                <w:kern w:val="0"/>
                <w:sz w:val="18"/>
                <w:szCs w:val="18"/>
              </w:rPr>
              <w:t>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504" w:type="pct"/>
            <w:gridSpan w:val="2"/>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color w:val="auto"/>
                <w:kern w:val="0"/>
                <w:sz w:val="18"/>
                <w:szCs w:val="18"/>
              </w:rPr>
            </w:pPr>
          </w:p>
        </w:tc>
        <w:tc>
          <w:tcPr>
            <w:tcW w:w="947" w:type="pct"/>
            <w:noWrap w:val="0"/>
            <w:vAlign w:val="top"/>
          </w:tcPr>
          <w:p>
            <w:pPr>
              <w:widowControl/>
              <w:rPr>
                <w:rFonts w:ascii="宋体" w:hAnsi="宋体" w:cs="宋体"/>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67"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22"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30" w:type="pct"/>
            <w:noWrap w:val="0"/>
            <w:vAlign w:val="top"/>
          </w:tcPr>
          <w:p>
            <w:pPr>
              <w:widowControl/>
              <w:jc w:val="center"/>
              <w:rPr>
                <w:rFonts w:ascii="宋体" w:hAnsi="宋体" w:cs="宋体"/>
                <w:color w:val="auto"/>
                <w:kern w:val="0"/>
                <w:sz w:val="18"/>
                <w:szCs w:val="18"/>
              </w:rPr>
            </w:pPr>
          </w:p>
        </w:tc>
        <w:tc>
          <w:tcPr>
            <w:tcW w:w="319" w:type="pct"/>
            <w:noWrap w:val="0"/>
            <w:vAlign w:val="top"/>
          </w:tcPr>
          <w:p>
            <w:pPr>
              <w:widowControl/>
              <w:jc w:val="center"/>
              <w:rPr>
                <w:rFonts w:ascii="Times New Roman" w:hAnsi="Times New Roman"/>
                <w:color w:val="auto"/>
                <w:kern w:val="0"/>
                <w:sz w:val="18"/>
                <w:szCs w:val="18"/>
              </w:rPr>
            </w:pPr>
          </w:p>
        </w:tc>
        <w:tc>
          <w:tcPr>
            <w:tcW w:w="322" w:type="pct"/>
            <w:noWrap w:val="0"/>
            <w:vAlign w:val="top"/>
          </w:tcPr>
          <w:p>
            <w:pPr>
              <w:widowControl/>
              <w:jc w:val="center"/>
              <w:rPr>
                <w:rFonts w:ascii="Times New Roman" w:hAnsi="Times New Roman"/>
                <w:color w:val="auto"/>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504" w:type="pct"/>
            <w:gridSpan w:val="2"/>
            <w:vMerge w:val="continue"/>
            <w:noWrap w:val="0"/>
            <w:vAlign w:val="center"/>
          </w:tcPr>
          <w:p>
            <w:pPr>
              <w:widowControl/>
              <w:jc w:val="left"/>
              <w:rPr>
                <w:rFonts w:ascii="宋体" w:hAnsi="宋体" w:cs="宋体"/>
                <w:color w:val="auto"/>
                <w:kern w:val="0"/>
                <w:sz w:val="18"/>
                <w:szCs w:val="18"/>
              </w:rPr>
            </w:pPr>
          </w:p>
        </w:tc>
        <w:tc>
          <w:tcPr>
            <w:tcW w:w="333" w:type="pct"/>
            <w:noWrap w:val="0"/>
            <w:vAlign w:val="top"/>
          </w:tcPr>
          <w:p>
            <w:pPr>
              <w:widowControl/>
              <w:jc w:val="center"/>
              <w:rPr>
                <w:rFonts w:ascii="Times New Roman" w:hAnsi="Times New Roman"/>
                <w:color w:val="auto"/>
                <w:kern w:val="0"/>
                <w:sz w:val="18"/>
                <w:szCs w:val="18"/>
              </w:rPr>
            </w:pPr>
          </w:p>
        </w:tc>
        <w:tc>
          <w:tcPr>
            <w:tcW w:w="947" w:type="pct"/>
            <w:noWrap w:val="0"/>
            <w:vAlign w:val="top"/>
          </w:tcPr>
          <w:p>
            <w:pPr>
              <w:widowControl/>
              <w:rPr>
                <w:rFonts w:ascii="宋体" w:hAnsi="宋体" w:cs="宋体"/>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67" w:type="pct"/>
            <w:noWrap w:val="0"/>
            <w:vAlign w:val="top"/>
          </w:tcPr>
          <w:p>
            <w:pPr>
              <w:widowControl/>
              <w:jc w:val="center"/>
              <w:rPr>
                <w:rFonts w:ascii="Times New Roman" w:hAnsi="Times New Roman"/>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宋体" w:hAnsi="宋体" w:cs="宋体"/>
                <w:color w:val="auto"/>
                <w:kern w:val="0"/>
                <w:sz w:val="18"/>
                <w:szCs w:val="18"/>
              </w:rPr>
            </w:pPr>
          </w:p>
        </w:tc>
        <w:tc>
          <w:tcPr>
            <w:tcW w:w="322" w:type="pct"/>
            <w:noWrap w:val="0"/>
            <w:vAlign w:val="top"/>
          </w:tcPr>
          <w:p>
            <w:pPr>
              <w:widowControl/>
              <w:jc w:val="center"/>
              <w:rPr>
                <w:rFonts w:ascii="宋体" w:hAnsi="宋体" w:cs="宋体"/>
                <w:color w:val="auto"/>
                <w:kern w:val="0"/>
                <w:sz w:val="18"/>
                <w:szCs w:val="18"/>
              </w:rPr>
            </w:pPr>
          </w:p>
        </w:tc>
        <w:tc>
          <w:tcPr>
            <w:tcW w:w="310" w:type="pct"/>
            <w:noWrap w:val="0"/>
            <w:vAlign w:val="top"/>
          </w:tcPr>
          <w:p>
            <w:pPr>
              <w:widowControl/>
              <w:jc w:val="center"/>
              <w:rPr>
                <w:rFonts w:ascii="Times New Roman" w:hAnsi="Times New Roman"/>
                <w:color w:val="auto"/>
                <w:kern w:val="0"/>
                <w:sz w:val="18"/>
                <w:szCs w:val="18"/>
              </w:rPr>
            </w:pPr>
          </w:p>
        </w:tc>
        <w:tc>
          <w:tcPr>
            <w:tcW w:w="330" w:type="pct"/>
            <w:noWrap w:val="0"/>
            <w:vAlign w:val="top"/>
          </w:tcPr>
          <w:p>
            <w:pPr>
              <w:widowControl/>
              <w:jc w:val="center"/>
              <w:rPr>
                <w:rFonts w:ascii="Times New Roman" w:hAnsi="Times New Roman"/>
                <w:color w:val="auto"/>
                <w:kern w:val="0"/>
                <w:sz w:val="18"/>
                <w:szCs w:val="18"/>
              </w:rPr>
            </w:pPr>
          </w:p>
        </w:tc>
        <w:tc>
          <w:tcPr>
            <w:tcW w:w="319" w:type="pct"/>
            <w:noWrap w:val="0"/>
            <w:vAlign w:val="top"/>
          </w:tcPr>
          <w:p>
            <w:pPr>
              <w:widowControl/>
              <w:jc w:val="center"/>
              <w:rPr>
                <w:rFonts w:ascii="宋体" w:hAnsi="宋体" w:cs="宋体"/>
                <w:color w:val="auto"/>
                <w:kern w:val="0"/>
                <w:sz w:val="18"/>
                <w:szCs w:val="18"/>
              </w:rPr>
            </w:pPr>
          </w:p>
        </w:tc>
        <w:tc>
          <w:tcPr>
            <w:tcW w:w="322" w:type="pct"/>
            <w:noWrap w:val="0"/>
            <w:vAlign w:val="top"/>
          </w:tcPr>
          <w:p>
            <w:pPr>
              <w:widowControl/>
              <w:jc w:val="center"/>
              <w:rPr>
                <w:rFonts w:ascii="宋体" w:hAnsi="宋体" w:cs="宋体"/>
                <w:color w:val="auto"/>
                <w:kern w:val="0"/>
                <w:sz w:val="18"/>
                <w:szCs w:val="18"/>
              </w:rPr>
            </w:pPr>
          </w:p>
        </w:tc>
      </w:tr>
      <w:bookmarkEnd w:id="1"/>
    </w:tbl>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eastAsia" w:ascii="Calibri" w:hAnsi="Calibri" w:eastAsia="方正仿宋简体" w:cs="Times New Roman"/>
          <w:sz w:val="24"/>
          <w:szCs w:val="21"/>
          <w:lang w:eastAsia="zh-CN"/>
        </w:rPr>
      </w:pPr>
      <w:r>
        <w:rPr>
          <w:rFonts w:hint="eastAsia" w:eastAsia="方正仿宋简体" w:cs="Times New Roman"/>
          <w:sz w:val="24"/>
          <w:szCs w:val="21"/>
          <w:lang w:val="en-US" w:eastAsia="zh-CN"/>
        </w:rPr>
        <w:t>婴幼儿托育服务与管理专业</w:t>
      </w:r>
      <w:r>
        <w:rPr>
          <w:rFonts w:hint="eastAsia" w:ascii="Calibri" w:hAnsi="Calibri" w:eastAsia="方正仿宋简体" w:cs="Times New Roman"/>
          <w:sz w:val="24"/>
          <w:szCs w:val="21"/>
          <w:lang w:val="en-US" w:eastAsia="zh-CN"/>
        </w:rPr>
        <w:t>（三年制大专）教学计划表</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eastAsia="zh-CN"/>
        </w:rPr>
      </w:pPr>
      <w:r>
        <w:rPr>
          <w:rFonts w:hint="eastAsia" w:ascii="Calibri" w:hAnsi="Calibri" w:eastAsia="方正仿宋简体" w:cs="Times New Roman"/>
          <w:sz w:val="28"/>
          <w:szCs w:val="22"/>
          <w:lang w:eastAsia="zh-CN"/>
        </w:rPr>
        <w:t>（七）国家职业资格证书考取</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幼儿园教师资格证。教师资格证是教育行业从业人员教师的许可证。本校开设学前教育学、学前儿童心理学等课程，为学生取得幼儿教师资格证奠定了理论基础。</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普通话证书。普通话是师范专业的专业技能课，也是今后从幼儿发展与健康管理相关工作的基础能力，所有学生必须达到国家语言委员会制定的普通话二级乙等以上水平。</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幼儿照护证书。</w:t>
      </w:r>
      <w:r>
        <w:rPr>
          <w:rFonts w:hint="eastAsia" w:ascii="Calibri" w:hAnsi="Calibri" w:eastAsia="方正仿宋简体" w:cs="Times New Roman"/>
          <w:sz w:val="24"/>
          <w:szCs w:val="21"/>
          <w:lang w:val="en-US" w:eastAsia="zh-CN"/>
        </w:rPr>
        <w:t>持有者可以</w:t>
      </w:r>
      <w:r>
        <w:rPr>
          <w:rFonts w:hint="default" w:ascii="Calibri" w:hAnsi="Calibri" w:eastAsia="方正仿宋简体" w:cs="Times New Roman"/>
          <w:sz w:val="24"/>
          <w:szCs w:val="21"/>
          <w:lang w:val="en-US" w:eastAsia="zh-CN"/>
        </w:rPr>
        <w:t>在托幼园所、社会福利机构及其他保育机构中</w:t>
      </w:r>
      <w:r>
        <w:rPr>
          <w:rFonts w:hint="eastAsia" w:ascii="Calibri" w:hAnsi="Calibri" w:eastAsia="方正仿宋简体" w:cs="Times New Roman"/>
          <w:sz w:val="24"/>
          <w:szCs w:val="21"/>
          <w:lang w:eastAsia="zh-CN"/>
        </w:rPr>
        <w:t>从事0～3岁婴儿照料、护理和教育以及指导家长科学育儿的工作。</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营养师证书。</w:t>
      </w:r>
      <w:r>
        <w:rPr>
          <w:rFonts w:hint="eastAsia" w:ascii="Calibri" w:hAnsi="Calibri" w:eastAsia="方正仿宋简体" w:cs="Times New Roman"/>
          <w:sz w:val="24"/>
          <w:szCs w:val="21"/>
          <w:lang w:val="en-US" w:eastAsia="zh-CN"/>
        </w:rPr>
        <w:t>持有者可以</w:t>
      </w:r>
      <w:r>
        <w:rPr>
          <w:rFonts w:hint="default" w:ascii="Calibri" w:hAnsi="Calibri" w:eastAsia="方正仿宋简体" w:cs="Times New Roman"/>
          <w:sz w:val="24"/>
          <w:szCs w:val="21"/>
          <w:lang w:val="en-US" w:eastAsia="zh-CN"/>
        </w:rPr>
        <w:t>在托幼园所、社会福利机构及其他保育机构中</w:t>
      </w:r>
      <w:r>
        <w:rPr>
          <w:rFonts w:hint="eastAsia" w:ascii="Calibri" w:hAnsi="Calibri" w:eastAsia="方正仿宋简体" w:cs="Times New Roman"/>
          <w:sz w:val="24"/>
          <w:szCs w:val="21"/>
          <w:lang w:eastAsia="zh-CN"/>
        </w:rPr>
        <w:t>从事婴幼儿营养配餐、婴幼儿营养食谱开发以及指导家长满足婴幼儿营养的工作。</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健康管理师证书。持有者可以</w:t>
      </w:r>
      <w:r>
        <w:rPr>
          <w:rFonts w:hint="default" w:ascii="Calibri" w:hAnsi="Calibri" w:eastAsia="方正仿宋简体" w:cs="Times New Roman"/>
          <w:sz w:val="24"/>
          <w:szCs w:val="21"/>
          <w:lang w:eastAsia="zh-CN"/>
        </w:rPr>
        <w:t>从事个体和群体从营养和心理两方面健康的</w:t>
      </w:r>
      <w:r>
        <w:rPr>
          <w:rFonts w:hint="default" w:ascii="Calibri" w:hAnsi="Calibri" w:eastAsia="方正仿宋简体" w:cs="Times New Roman"/>
          <w:sz w:val="24"/>
          <w:szCs w:val="21"/>
          <w:lang w:eastAsia="zh-CN"/>
        </w:rPr>
        <w:fldChar w:fldCharType="begin"/>
      </w:r>
      <w:r>
        <w:rPr>
          <w:rFonts w:hint="default" w:ascii="Calibri" w:hAnsi="Calibri" w:eastAsia="方正仿宋简体" w:cs="Times New Roman"/>
          <w:sz w:val="24"/>
          <w:szCs w:val="21"/>
          <w:lang w:eastAsia="zh-CN"/>
        </w:rPr>
        <w:instrText xml:space="preserve"> HYPERLINK "https://baike.baidu.com/item/%E6%A3%80%E6%B5%8B/1200916" \t "https://baike.baidu.com/item/%E5%81%A5%E5%BA%B7%E7%AE%A1%E7%90%86%E5%B8%88/_blank" </w:instrText>
      </w:r>
      <w:r>
        <w:rPr>
          <w:rFonts w:hint="default" w:ascii="Calibri" w:hAnsi="Calibri" w:eastAsia="方正仿宋简体" w:cs="Times New Roman"/>
          <w:sz w:val="24"/>
          <w:szCs w:val="21"/>
          <w:lang w:eastAsia="zh-CN"/>
        </w:rPr>
        <w:fldChar w:fldCharType="separate"/>
      </w:r>
      <w:r>
        <w:rPr>
          <w:rFonts w:hint="default" w:ascii="Calibri" w:hAnsi="Calibri" w:eastAsia="方正仿宋简体" w:cs="Times New Roman"/>
          <w:sz w:val="24"/>
          <w:szCs w:val="21"/>
          <w:lang w:eastAsia="zh-CN"/>
        </w:rPr>
        <w:t>检测</w:t>
      </w:r>
      <w:r>
        <w:rPr>
          <w:rFonts w:hint="default" w:ascii="Calibri" w:hAnsi="Calibri" w:eastAsia="方正仿宋简体" w:cs="Times New Roman"/>
          <w:sz w:val="24"/>
          <w:szCs w:val="21"/>
          <w:lang w:eastAsia="zh-CN"/>
        </w:rPr>
        <w:fldChar w:fldCharType="end"/>
      </w:r>
      <w:r>
        <w:rPr>
          <w:rFonts w:hint="default" w:ascii="Calibri" w:hAnsi="Calibri" w:eastAsia="方正仿宋简体" w:cs="Times New Roman"/>
          <w:sz w:val="24"/>
          <w:szCs w:val="21"/>
          <w:lang w:eastAsia="zh-CN"/>
        </w:rPr>
        <w:t>、</w:t>
      </w:r>
      <w:r>
        <w:rPr>
          <w:rFonts w:hint="default" w:ascii="Calibri" w:hAnsi="Calibri" w:eastAsia="方正仿宋简体" w:cs="Times New Roman"/>
          <w:sz w:val="24"/>
          <w:szCs w:val="21"/>
          <w:lang w:eastAsia="zh-CN"/>
        </w:rPr>
        <w:fldChar w:fldCharType="begin"/>
      </w:r>
      <w:r>
        <w:rPr>
          <w:rFonts w:hint="default" w:ascii="Calibri" w:hAnsi="Calibri" w:eastAsia="方正仿宋简体" w:cs="Times New Roman"/>
          <w:sz w:val="24"/>
          <w:szCs w:val="21"/>
          <w:lang w:eastAsia="zh-CN"/>
        </w:rPr>
        <w:instrText xml:space="preserve"> HYPERLINK "https://baike.baidu.com/item/%E5%88%86%E6%9E%90/4327108" \t "https://baike.baidu.com/item/%E5%81%A5%E5%BA%B7%E7%AE%A1%E7%90%86%E5%B8%88/_blank" </w:instrText>
      </w:r>
      <w:r>
        <w:rPr>
          <w:rFonts w:hint="default" w:ascii="Calibri" w:hAnsi="Calibri" w:eastAsia="方正仿宋简体" w:cs="Times New Roman"/>
          <w:sz w:val="24"/>
          <w:szCs w:val="21"/>
          <w:lang w:eastAsia="zh-CN"/>
        </w:rPr>
        <w:fldChar w:fldCharType="separate"/>
      </w:r>
      <w:r>
        <w:rPr>
          <w:rFonts w:hint="default" w:ascii="Calibri" w:hAnsi="Calibri" w:eastAsia="方正仿宋简体" w:cs="Times New Roman"/>
          <w:sz w:val="24"/>
          <w:szCs w:val="21"/>
          <w:lang w:eastAsia="zh-CN"/>
        </w:rPr>
        <w:t>分析</w:t>
      </w:r>
      <w:r>
        <w:rPr>
          <w:rFonts w:hint="default" w:ascii="Calibri" w:hAnsi="Calibri" w:eastAsia="方正仿宋简体" w:cs="Times New Roman"/>
          <w:sz w:val="24"/>
          <w:szCs w:val="21"/>
          <w:lang w:eastAsia="zh-CN"/>
        </w:rPr>
        <w:fldChar w:fldCharType="end"/>
      </w:r>
      <w:r>
        <w:rPr>
          <w:rFonts w:hint="default" w:ascii="Calibri" w:hAnsi="Calibri" w:eastAsia="方正仿宋简体" w:cs="Times New Roman"/>
          <w:sz w:val="24"/>
          <w:szCs w:val="21"/>
          <w:lang w:eastAsia="zh-CN"/>
        </w:rPr>
        <w:t>、</w:t>
      </w:r>
      <w:r>
        <w:rPr>
          <w:rFonts w:hint="default" w:ascii="Calibri" w:hAnsi="Calibri" w:eastAsia="方正仿宋简体" w:cs="Times New Roman"/>
          <w:sz w:val="24"/>
          <w:szCs w:val="21"/>
          <w:lang w:eastAsia="zh-CN"/>
        </w:rPr>
        <w:fldChar w:fldCharType="begin"/>
      </w:r>
      <w:r>
        <w:rPr>
          <w:rFonts w:hint="default" w:ascii="Calibri" w:hAnsi="Calibri" w:eastAsia="方正仿宋简体" w:cs="Times New Roman"/>
          <w:sz w:val="24"/>
          <w:szCs w:val="21"/>
          <w:lang w:eastAsia="zh-CN"/>
        </w:rPr>
        <w:instrText xml:space="preserve"> HYPERLINK "https://baike.baidu.com/item/%E8%AF%84%E4%BC%B0/396913" \t "https://baike.baidu.com/item/%E5%81%A5%E5%BA%B7%E7%AE%A1%E7%90%86%E5%B8%88/_blank" </w:instrText>
      </w:r>
      <w:r>
        <w:rPr>
          <w:rFonts w:hint="default" w:ascii="Calibri" w:hAnsi="Calibri" w:eastAsia="方正仿宋简体" w:cs="Times New Roman"/>
          <w:sz w:val="24"/>
          <w:szCs w:val="21"/>
          <w:lang w:eastAsia="zh-CN"/>
        </w:rPr>
        <w:fldChar w:fldCharType="separate"/>
      </w:r>
      <w:r>
        <w:rPr>
          <w:rFonts w:hint="default" w:ascii="Calibri" w:hAnsi="Calibri" w:eastAsia="方正仿宋简体" w:cs="Times New Roman"/>
          <w:sz w:val="24"/>
          <w:szCs w:val="21"/>
          <w:lang w:eastAsia="zh-CN"/>
        </w:rPr>
        <w:t>评估</w:t>
      </w:r>
      <w:r>
        <w:rPr>
          <w:rFonts w:hint="default" w:ascii="Calibri" w:hAnsi="Calibri" w:eastAsia="方正仿宋简体" w:cs="Times New Roman"/>
          <w:sz w:val="24"/>
          <w:szCs w:val="21"/>
          <w:lang w:eastAsia="zh-CN"/>
        </w:rPr>
        <w:fldChar w:fldCharType="end"/>
      </w:r>
      <w:r>
        <w:rPr>
          <w:rFonts w:hint="default" w:ascii="Calibri" w:hAnsi="Calibri" w:eastAsia="方正仿宋简体" w:cs="Times New Roman"/>
          <w:sz w:val="24"/>
          <w:szCs w:val="21"/>
          <w:lang w:eastAsia="zh-CN"/>
        </w:rPr>
        <w:t>以及</w:t>
      </w:r>
      <w:r>
        <w:rPr>
          <w:rFonts w:hint="default" w:ascii="Calibri" w:hAnsi="Calibri" w:eastAsia="方正仿宋简体" w:cs="Times New Roman"/>
          <w:sz w:val="24"/>
          <w:szCs w:val="21"/>
          <w:lang w:eastAsia="zh-CN"/>
        </w:rPr>
        <w:fldChar w:fldCharType="begin"/>
      </w:r>
      <w:r>
        <w:rPr>
          <w:rFonts w:hint="default" w:ascii="Calibri" w:hAnsi="Calibri" w:eastAsia="方正仿宋简体" w:cs="Times New Roman"/>
          <w:sz w:val="24"/>
          <w:szCs w:val="21"/>
          <w:lang w:eastAsia="zh-CN"/>
        </w:rPr>
        <w:instrText xml:space="preserve"> HYPERLINK "https://baike.baidu.com/item/%E5%81%A5%E5%BA%B7%E5%92%A8%E8%AF%A2/9110377" \t "https://baike.baidu.com/item/%E5%81%A5%E5%BA%B7%E7%AE%A1%E7%90%86%E5%B8%88/_blank" </w:instrText>
      </w:r>
      <w:r>
        <w:rPr>
          <w:rFonts w:hint="default" w:ascii="Calibri" w:hAnsi="Calibri" w:eastAsia="方正仿宋简体" w:cs="Times New Roman"/>
          <w:sz w:val="24"/>
          <w:szCs w:val="21"/>
          <w:lang w:eastAsia="zh-CN"/>
        </w:rPr>
        <w:fldChar w:fldCharType="separate"/>
      </w:r>
      <w:r>
        <w:rPr>
          <w:rFonts w:hint="default" w:ascii="Calibri" w:hAnsi="Calibri" w:eastAsia="方正仿宋简体" w:cs="Times New Roman"/>
          <w:sz w:val="24"/>
          <w:szCs w:val="21"/>
          <w:lang w:eastAsia="zh-CN"/>
        </w:rPr>
        <w:t>健康咨询</w:t>
      </w:r>
      <w:r>
        <w:rPr>
          <w:rFonts w:hint="default" w:ascii="Calibri" w:hAnsi="Calibri" w:eastAsia="方正仿宋简体" w:cs="Times New Roman"/>
          <w:sz w:val="24"/>
          <w:szCs w:val="21"/>
          <w:lang w:eastAsia="zh-CN"/>
        </w:rPr>
        <w:fldChar w:fldCharType="end"/>
      </w:r>
      <w:r>
        <w:rPr>
          <w:rFonts w:hint="default" w:ascii="Calibri" w:hAnsi="Calibri" w:eastAsia="方正仿宋简体" w:cs="Times New Roman"/>
          <w:sz w:val="24"/>
          <w:szCs w:val="21"/>
          <w:lang w:eastAsia="zh-CN"/>
        </w:rPr>
        <w:t>、指导和危险因素干预等工作。</w:t>
      </w:r>
    </w:p>
    <w:p>
      <w:pPr>
        <w:pageBreakBefore w:val="0"/>
        <w:numPr>
          <w:ilvl w:val="0"/>
          <w:numId w:val="1"/>
        </w:numPr>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2"/>
          <w:lang w:val="en-US" w:eastAsia="zh-CN"/>
        </w:rPr>
      </w:pPr>
      <w:r>
        <w:rPr>
          <w:rFonts w:hint="eastAsia" w:eastAsia="方正仿宋简体" w:cs="Times New Roman"/>
          <w:sz w:val="28"/>
          <w:szCs w:val="22"/>
          <w:lang w:val="en-US" w:eastAsia="zh-CN"/>
        </w:rPr>
        <w:t>教学基本条件</w:t>
      </w:r>
    </w:p>
    <w:p>
      <w:pPr>
        <w:pageBreakBefore w:val="0"/>
        <w:numPr>
          <w:ilvl w:val="0"/>
          <w:numId w:val="0"/>
        </w:numPr>
        <w:kinsoku/>
        <w:wordWrap/>
        <w:overflowPunct w:val="0"/>
        <w:topLinePunct w:val="0"/>
        <w:bidi w:val="0"/>
        <w:spacing w:line="360" w:lineRule="auto"/>
        <w:ind w:firstLine="280" w:firstLineChars="100"/>
        <w:textAlignment w:val="auto"/>
        <w:rPr>
          <w:rFonts w:hint="eastAsia" w:ascii="Calibri" w:hAnsi="Calibri" w:eastAsia="方正仿宋简体" w:cs="Times New Roman"/>
          <w:sz w:val="28"/>
          <w:szCs w:val="22"/>
          <w:lang w:val="en-US" w:eastAsia="zh-CN"/>
        </w:rPr>
      </w:pPr>
      <w:r>
        <w:rPr>
          <w:rFonts w:hint="eastAsia" w:eastAsia="方正仿宋简体" w:cs="Times New Roman"/>
          <w:sz w:val="28"/>
          <w:szCs w:val="22"/>
          <w:lang w:val="en-US" w:eastAsia="zh-CN"/>
        </w:rPr>
        <w:t>1.</w:t>
      </w:r>
      <w:r>
        <w:rPr>
          <w:rFonts w:hint="eastAsia" w:ascii="Calibri" w:hAnsi="Calibri" w:eastAsia="方正仿宋简体" w:cs="Times New Roman"/>
          <w:sz w:val="28"/>
          <w:szCs w:val="22"/>
          <w:lang w:val="en-US" w:eastAsia="zh-CN"/>
        </w:rPr>
        <w:t>师资队伍</w:t>
      </w:r>
    </w:p>
    <w:p>
      <w:pPr>
        <w:spacing w:line="520" w:lineRule="atLeast"/>
        <w:ind w:firstLine="482" w:firstLineChars="200"/>
        <w:jc w:val="center"/>
        <w:rPr>
          <w:rFonts w:ascii="宋体" w:cs="宋体"/>
          <w:b/>
          <w:bCs/>
          <w:color w:val="auto"/>
          <w:sz w:val="24"/>
        </w:rPr>
      </w:pPr>
      <w:r>
        <w:rPr>
          <w:rFonts w:hint="eastAsia" w:ascii="宋体" w:cs="宋体"/>
          <w:b/>
          <w:bCs/>
          <w:color w:val="auto"/>
          <w:sz w:val="24"/>
        </w:rPr>
        <w:t>教师情况一览表</w:t>
      </w:r>
    </w:p>
    <w:tbl>
      <w:tblPr>
        <w:tblStyle w:val="5"/>
        <w:tblW w:w="8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5"/>
        <w:gridCol w:w="991"/>
        <w:gridCol w:w="1077"/>
        <w:gridCol w:w="2257"/>
        <w:gridCol w:w="564"/>
        <w:gridCol w:w="1411"/>
        <w:gridCol w:w="1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435"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序号</w:t>
            </w:r>
          </w:p>
        </w:tc>
        <w:tc>
          <w:tcPr>
            <w:tcW w:w="991"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姓名</w:t>
            </w:r>
          </w:p>
        </w:tc>
        <w:tc>
          <w:tcPr>
            <w:tcW w:w="1077"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职称</w:t>
            </w:r>
          </w:p>
        </w:tc>
        <w:tc>
          <w:tcPr>
            <w:tcW w:w="2257"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最后学历毕业学校、专业、学位</w:t>
            </w:r>
          </w:p>
        </w:tc>
        <w:tc>
          <w:tcPr>
            <w:tcW w:w="564"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教龄</w:t>
            </w:r>
          </w:p>
        </w:tc>
        <w:tc>
          <w:tcPr>
            <w:tcW w:w="1411"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现从事专业</w:t>
            </w:r>
          </w:p>
        </w:tc>
        <w:tc>
          <w:tcPr>
            <w:tcW w:w="1981" w:type="dxa"/>
            <w:vAlign w:val="center"/>
          </w:tcPr>
          <w:p>
            <w:pPr>
              <w:tabs>
                <w:tab w:val="center" w:pos="4153"/>
                <w:tab w:val="right" w:pos="8306"/>
              </w:tabs>
              <w:snapToGrid w:val="0"/>
              <w:spacing w:line="240" w:lineRule="exact"/>
              <w:jc w:val="center"/>
              <w:rPr>
                <w:rFonts w:ascii="??_GB2312" w:hAnsi="宋体" w:eastAsia="Times New Roman"/>
                <w:b/>
                <w:color w:val="auto"/>
                <w:szCs w:val="21"/>
              </w:rPr>
            </w:pPr>
            <w:r>
              <w:rPr>
                <w:rFonts w:ascii="??_GB2312" w:hAnsi="宋体" w:eastAsia="Times New Roman"/>
                <w:b/>
                <w:color w:val="auto"/>
                <w:szCs w:val="21"/>
              </w:rPr>
              <w:t>拟任课程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杨黎</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浙江师范大学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舞蹈教育</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13</w:t>
            </w:r>
          </w:p>
        </w:tc>
        <w:tc>
          <w:tcPr>
            <w:tcW w:w="141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舞蹈</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舞蹈与形体</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学前儿童游戏</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幼儿园见习及实习指导</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学前儿童语言教育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幼儿教师礼仪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2</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陆春艳</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昆明学院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14</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手工</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傣族剪纸</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学前儿童文学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学前儿童语言教育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幼儿园见习与实习指导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exact"/>
          <w:jc w:val="center"/>
        </w:trPr>
        <w:tc>
          <w:tcPr>
            <w:tcW w:w="435"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3</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张晓璐</w:t>
            </w:r>
          </w:p>
        </w:tc>
        <w:tc>
          <w:tcPr>
            <w:tcW w:w="107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学士学位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5</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学前儿童卫生与保健</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学前儿童科学教育</w:t>
            </w:r>
          </w:p>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幼儿园班级管理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4</w:t>
            </w:r>
          </w:p>
        </w:tc>
        <w:tc>
          <w:tcPr>
            <w:tcW w:w="99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黄婷</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学士学位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5</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学前</w:t>
            </w:r>
            <w:r>
              <w:rPr>
                <w:rFonts w:hint="eastAsia" w:ascii="??_GB2312" w:hAnsi="宋体" w:eastAsiaTheme="minorEastAsia"/>
                <w:color w:val="auto"/>
                <w:szCs w:val="21"/>
              </w:rPr>
              <w:t>教育学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w:t>
            </w:r>
            <w:r>
              <w:rPr>
                <w:rFonts w:hint="eastAsia" w:ascii="??_GB2312" w:hAnsi="宋体" w:eastAsiaTheme="minorEastAsia"/>
                <w:color w:val="auto"/>
                <w:szCs w:val="21"/>
              </w:rPr>
              <w:t>社会教育</w:t>
            </w:r>
            <w:r>
              <w:rPr>
                <w:rFonts w:ascii="??_GB2312" w:hAnsi="宋体" w:eastAsia="Times New Roman"/>
                <w:color w:val="auto"/>
                <w:szCs w:val="21"/>
              </w:rPr>
              <w:t>教育</w:t>
            </w:r>
          </w:p>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学前儿童游戏理论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5</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张静</w:t>
            </w:r>
          </w:p>
        </w:tc>
        <w:tc>
          <w:tcPr>
            <w:tcW w:w="107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硕士学位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3</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幼儿教育心理学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学前儿童心理学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学前教育科研方法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6</w:t>
            </w:r>
          </w:p>
        </w:tc>
        <w:tc>
          <w:tcPr>
            <w:tcW w:w="99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张刘龙</w:t>
            </w:r>
          </w:p>
        </w:tc>
        <w:tc>
          <w:tcPr>
            <w:tcW w:w="107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硕士学位</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学前儿童心理学</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学前教育科研方法</w:t>
            </w:r>
          </w:p>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学前教育学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lang w:val="en-US" w:eastAsia="zh-CN"/>
              </w:rPr>
              <w:t>7</w:t>
            </w:r>
          </w:p>
        </w:tc>
        <w:tc>
          <w:tcPr>
            <w:tcW w:w="99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闫婷</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hint="eastAsia" w:ascii="??_GB2312" w:hAnsi="宋体" w:eastAsiaTheme="minorEastAsia"/>
                <w:color w:val="auto"/>
                <w:szCs w:val="21"/>
                <w:lang w:val="en-US" w:eastAsia="zh-CN"/>
              </w:rPr>
              <w:t>助教</w:t>
            </w:r>
          </w:p>
        </w:tc>
        <w:tc>
          <w:tcPr>
            <w:tcW w:w="225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云南师范大学</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w:t>
            </w:r>
          </w:p>
        </w:tc>
        <w:tc>
          <w:tcPr>
            <w:tcW w:w="141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学前教育</w:t>
            </w:r>
          </w:p>
        </w:tc>
        <w:tc>
          <w:tcPr>
            <w:tcW w:w="198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学前心理学</w:t>
            </w:r>
          </w:p>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学前儿童语言教育</w:t>
            </w:r>
          </w:p>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学前教育学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hint="eastAsia" w:ascii="??_GB2312" w:hAnsi="宋体" w:eastAsiaTheme="minorEastAsia"/>
                <w:color w:val="auto"/>
                <w:szCs w:val="21"/>
                <w:lang w:val="en-US" w:eastAsia="zh-CN"/>
              </w:rPr>
              <w:t>8</w:t>
            </w:r>
          </w:p>
        </w:tc>
        <w:tc>
          <w:tcPr>
            <w:tcW w:w="99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李杏华</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舞蹈教育</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学士学位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9</w:t>
            </w:r>
          </w:p>
        </w:tc>
        <w:tc>
          <w:tcPr>
            <w:tcW w:w="141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舞蹈、形体</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舞蹈与形体</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学前儿童游戏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hint="eastAsia" w:ascii="??_GB2312" w:hAnsi="宋体" w:eastAsiaTheme="minorEastAsia"/>
                <w:color w:val="auto"/>
                <w:szCs w:val="21"/>
                <w:lang w:val="en-US" w:eastAsia="zh-CN"/>
              </w:rPr>
              <w:t>9</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许阿满</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舞蹈教育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学士学位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9</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舞蹈、形体</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舞蹈与形体</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0</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王馥艳</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高级讲师</w:t>
            </w:r>
          </w:p>
        </w:tc>
        <w:tc>
          <w:tcPr>
            <w:tcW w:w="225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音乐教育</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2</w:t>
            </w:r>
            <w:r>
              <w:rPr>
                <w:rFonts w:hint="eastAsia" w:ascii="??_GB2312" w:hAnsi="宋体" w:eastAsiaTheme="minorEastAsia"/>
                <w:color w:val="auto"/>
                <w:szCs w:val="21"/>
              </w:rPr>
              <w:t>9</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1</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罗娟</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云南师范大学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音乐学</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30</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学前儿童艺术教育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声乐、乐理视唱练耳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2</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王万春</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云南艺术学院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音乐学</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1</w:t>
            </w:r>
            <w:r>
              <w:rPr>
                <w:rFonts w:hint="eastAsia" w:ascii="??_GB2312" w:hAnsi="宋体" w:eastAsiaTheme="minorEastAsia"/>
                <w:color w:val="auto"/>
                <w:szCs w:val="21"/>
              </w:rPr>
              <w:t>9</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3</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沈家斌</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助理讲师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云南艺术学院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声乐表演</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6</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4</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张瑶瑶</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玉溪师范学院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音乐学</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10</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奥尔夫音乐活动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5</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杨潘洲</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大理学院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音乐学</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4</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学前儿童音乐教育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6</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rPr>
              <w:t>刀文秋</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lang w:eastAsia="zh-CN"/>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rPr>
              <w:t>云南艺术学院</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lang w:val="en-US" w:eastAsia="zh-CN"/>
              </w:rPr>
              <w:t>2</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学前儿童音乐教育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7</w:t>
            </w:r>
          </w:p>
        </w:tc>
        <w:tc>
          <w:tcPr>
            <w:tcW w:w="99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杨穆</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hint="eastAsia" w:ascii="??_GB2312" w:hAnsi="宋体" w:eastAsiaTheme="minorEastAsia"/>
                <w:color w:val="auto"/>
                <w:szCs w:val="21"/>
                <w:lang w:val="en-US" w:eastAsia="zh-CN"/>
              </w:rPr>
              <w:t>助教</w:t>
            </w:r>
          </w:p>
        </w:tc>
        <w:tc>
          <w:tcPr>
            <w:tcW w:w="225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云南艺术学院</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p>
        </w:tc>
        <w:tc>
          <w:tcPr>
            <w:tcW w:w="141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lang w:eastAsia="zh-CN"/>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学前儿童音乐教育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1</w:t>
            </w:r>
            <w:r>
              <w:rPr>
                <w:rFonts w:hint="eastAsia" w:ascii="??_GB2312" w:hAnsi="宋体" w:eastAsiaTheme="minorEastAsia"/>
                <w:color w:val="auto"/>
                <w:szCs w:val="21"/>
                <w:lang w:val="en-US" w:eastAsia="zh-CN"/>
              </w:rPr>
              <w:t>8</w:t>
            </w:r>
          </w:p>
        </w:tc>
        <w:tc>
          <w:tcPr>
            <w:tcW w:w="991"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董从香</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云南艺术学院</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美术教育</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20</w:t>
            </w:r>
          </w:p>
        </w:tc>
        <w:tc>
          <w:tcPr>
            <w:tcW w:w="1411"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eastAsia="zh-CN"/>
              </w:rPr>
            </w:pPr>
            <w:r>
              <w:rPr>
                <w:rFonts w:ascii="??_GB2312" w:hAnsi="宋体" w:eastAsia="Times New Roman"/>
                <w:color w:val="auto"/>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中国画、美术色彩</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装饰画、儿童简笔画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color w:val="auto"/>
                <w:szCs w:val="21"/>
                <w:lang w:val="en-US" w:eastAsia="zh-CN"/>
              </w:rPr>
            </w:pPr>
            <w:r>
              <w:rPr>
                <w:rFonts w:hint="eastAsia" w:ascii="??_GB2312" w:hAnsi="宋体" w:eastAsiaTheme="minorEastAsia"/>
                <w:color w:val="auto"/>
                <w:szCs w:val="21"/>
                <w:lang w:val="en-US" w:eastAsia="zh-CN"/>
              </w:rPr>
              <w:t>19</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彭秋砚</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云南艺术学院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绘画</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10</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中国画、美术色彩</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装饰画、儿童简笔画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2</w:t>
            </w:r>
            <w:r>
              <w:rPr>
                <w:rFonts w:hint="eastAsia" w:ascii="??_GB2312" w:hAnsi="宋体" w:eastAsiaTheme="minorEastAsia"/>
                <w:color w:val="auto"/>
                <w:szCs w:val="21"/>
                <w:lang w:val="en-US" w:eastAsia="zh-CN"/>
              </w:rPr>
              <w:t>0</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杨茜</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西南大学</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美术教育</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学士学位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10</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手工、中国画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美术色彩、装饰画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儿童简笔画、书法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2</w:t>
            </w:r>
            <w:r>
              <w:rPr>
                <w:rFonts w:hint="eastAsia" w:ascii="??_GB2312" w:hAnsi="宋体" w:eastAsiaTheme="minorEastAsia"/>
                <w:color w:val="auto"/>
                <w:szCs w:val="21"/>
                <w:lang w:val="en-US" w:eastAsia="zh-CN"/>
              </w:rPr>
              <w:t>1</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陈国总</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大理学院</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美术教育</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10</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手工、中国画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美术色彩、装饰画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6"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2</w:t>
            </w:r>
            <w:r>
              <w:rPr>
                <w:rFonts w:hint="eastAsia" w:ascii="??_GB2312" w:hAnsi="宋体" w:eastAsiaTheme="minorEastAsia"/>
                <w:color w:val="auto"/>
                <w:szCs w:val="21"/>
                <w:lang w:val="en-US" w:eastAsia="zh-CN"/>
              </w:rPr>
              <w:t>2</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张丽</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讲师</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广西艺术学院</w:t>
            </w:r>
          </w:p>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美术学</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硕士</w:t>
            </w:r>
            <w:r>
              <w:rPr>
                <w:rFonts w:hint="eastAsia" w:ascii="??_GB2312" w:hAnsi="宋体" w:eastAsiaTheme="minorEastAsia"/>
                <w:color w:val="auto"/>
                <w:szCs w:val="21"/>
              </w:rPr>
              <w:t>学位</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6</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手工、中国画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美术色彩、装饰画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435"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rPr>
              <w:t>2</w:t>
            </w:r>
            <w:r>
              <w:rPr>
                <w:rFonts w:hint="eastAsia" w:ascii="??_GB2312" w:hAnsi="宋体" w:eastAsiaTheme="minorEastAsia"/>
                <w:color w:val="auto"/>
                <w:szCs w:val="21"/>
                <w:lang w:val="en-US" w:eastAsia="zh-CN"/>
              </w:rPr>
              <w:t>3</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苏玉玲</w:t>
            </w:r>
          </w:p>
        </w:tc>
        <w:tc>
          <w:tcPr>
            <w:tcW w:w="107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eastAsiaTheme="minorEastAsia"/>
                <w:color w:val="auto"/>
                <w:szCs w:val="21"/>
              </w:rPr>
              <w:t>助教</w:t>
            </w:r>
          </w:p>
        </w:tc>
        <w:tc>
          <w:tcPr>
            <w:tcW w:w="2257"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ascii="??_GB2312" w:hAnsi="宋体" w:eastAsia="Times New Roman"/>
                <w:color w:val="auto"/>
                <w:szCs w:val="21"/>
              </w:rPr>
              <w:t>云南艺术学院</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rPr>
              <w:t>3</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手工、中国画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美术色彩、装饰画</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儿童简笔画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color w:val="auto"/>
                <w:szCs w:val="21"/>
                <w:lang w:val="en-US"/>
              </w:rPr>
            </w:pPr>
            <w:r>
              <w:rPr>
                <w:rFonts w:hint="eastAsia" w:ascii="??_GB2312" w:hAnsi="宋体" w:eastAsiaTheme="minorEastAsia"/>
                <w:color w:val="auto"/>
                <w:szCs w:val="21"/>
                <w:lang w:val="en-US" w:eastAsia="zh-CN"/>
              </w:rPr>
              <w:t>24</w:t>
            </w:r>
          </w:p>
        </w:tc>
        <w:tc>
          <w:tcPr>
            <w:tcW w:w="99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color w:val="auto"/>
                <w:szCs w:val="21"/>
                <w:lang w:eastAsia="zh-CN"/>
              </w:rPr>
              <w:t>寸童</w:t>
            </w:r>
          </w:p>
        </w:tc>
        <w:tc>
          <w:tcPr>
            <w:tcW w:w="1077"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lang w:val="en-US" w:eastAsia="zh-CN"/>
              </w:rPr>
              <w:t>助教</w:t>
            </w:r>
          </w:p>
        </w:tc>
        <w:tc>
          <w:tcPr>
            <w:tcW w:w="2257"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hint="eastAsia" w:ascii="??_GB2312" w:hAnsi="宋体"/>
                <w:color w:val="auto"/>
                <w:szCs w:val="21"/>
                <w:lang w:eastAsia="zh-CN"/>
              </w:rPr>
              <w:t>玉溪师范学院</w:t>
            </w:r>
          </w:p>
        </w:tc>
        <w:tc>
          <w:tcPr>
            <w:tcW w:w="564" w:type="dxa"/>
            <w:vAlign w:val="center"/>
          </w:tcPr>
          <w:p>
            <w:pPr>
              <w:tabs>
                <w:tab w:val="center" w:pos="4153"/>
                <w:tab w:val="right" w:pos="8306"/>
              </w:tabs>
              <w:snapToGrid w:val="0"/>
              <w:spacing w:line="240" w:lineRule="exact"/>
              <w:jc w:val="center"/>
              <w:rPr>
                <w:rFonts w:ascii="??_GB2312" w:hAnsi="宋体" w:eastAsiaTheme="minorEastAsia"/>
                <w:color w:val="auto"/>
                <w:szCs w:val="21"/>
              </w:rPr>
            </w:pPr>
            <w:r>
              <w:rPr>
                <w:rFonts w:hint="eastAsia" w:ascii="??_GB2312" w:hAnsi="宋体" w:eastAsiaTheme="minorEastAsia"/>
                <w:color w:val="auto"/>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舞蹈、形体</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舞蹈与形体</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学前儿童游戏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exact"/>
          <w:jc w:val="center"/>
        </w:trPr>
        <w:tc>
          <w:tcPr>
            <w:tcW w:w="435" w:type="dxa"/>
            <w:vAlign w:val="center"/>
          </w:tcPr>
          <w:p>
            <w:pPr>
              <w:tabs>
                <w:tab w:val="center" w:pos="4153"/>
                <w:tab w:val="right" w:pos="8306"/>
              </w:tabs>
              <w:snapToGrid w:val="0"/>
              <w:spacing w:line="240" w:lineRule="exact"/>
              <w:jc w:val="center"/>
              <w:rPr>
                <w:rFonts w:hint="default" w:ascii="??_GB2312" w:hAnsi="宋体" w:eastAsiaTheme="minorEastAsia"/>
                <w:color w:val="auto"/>
                <w:szCs w:val="21"/>
                <w:lang w:val="en-US" w:eastAsia="zh-CN"/>
              </w:rPr>
            </w:pPr>
            <w:r>
              <w:rPr>
                <w:rFonts w:hint="eastAsia" w:ascii="??_GB2312" w:hAnsi="宋体" w:eastAsiaTheme="minorEastAsia"/>
                <w:color w:val="auto"/>
                <w:szCs w:val="21"/>
                <w:lang w:val="en-US" w:eastAsia="zh-CN"/>
              </w:rPr>
              <w:t>25</w:t>
            </w:r>
          </w:p>
        </w:tc>
        <w:tc>
          <w:tcPr>
            <w:tcW w:w="991" w:type="dxa"/>
            <w:vAlign w:val="center"/>
          </w:tcPr>
          <w:p>
            <w:pPr>
              <w:tabs>
                <w:tab w:val="center" w:pos="4153"/>
                <w:tab w:val="right" w:pos="8306"/>
              </w:tabs>
              <w:snapToGrid w:val="0"/>
              <w:spacing w:line="240" w:lineRule="exact"/>
              <w:jc w:val="center"/>
              <w:rPr>
                <w:rFonts w:hint="eastAsia" w:ascii="??_GB2312" w:hAnsi="宋体" w:eastAsia="宋体"/>
                <w:color w:val="auto"/>
                <w:szCs w:val="21"/>
                <w:lang w:eastAsia="zh-CN"/>
              </w:rPr>
            </w:pPr>
            <w:r>
              <w:rPr>
                <w:rFonts w:hint="eastAsia" w:ascii="??_GB2312" w:hAnsi="宋体"/>
                <w:color w:val="auto"/>
                <w:szCs w:val="21"/>
                <w:lang w:eastAsia="zh-CN"/>
              </w:rPr>
              <w:t>尹</w:t>
            </w:r>
            <w:r>
              <w:rPr>
                <w:rFonts w:hint="eastAsia" w:ascii="??_GB2312" w:hAnsi="宋体"/>
                <w:color w:val="auto"/>
                <w:szCs w:val="21"/>
                <w:lang w:val="en-US" w:eastAsia="zh-CN"/>
              </w:rPr>
              <w:t>照</w:t>
            </w:r>
            <w:r>
              <w:rPr>
                <w:rFonts w:hint="eastAsia" w:ascii="??_GB2312" w:hAnsi="宋体"/>
                <w:color w:val="auto"/>
                <w:szCs w:val="21"/>
                <w:lang w:eastAsia="zh-CN"/>
              </w:rPr>
              <w:t>謦</w:t>
            </w:r>
          </w:p>
        </w:tc>
        <w:tc>
          <w:tcPr>
            <w:tcW w:w="1077" w:type="dxa"/>
            <w:vAlign w:val="center"/>
          </w:tcPr>
          <w:p>
            <w:pPr>
              <w:tabs>
                <w:tab w:val="center" w:pos="4153"/>
                <w:tab w:val="right" w:pos="8306"/>
              </w:tabs>
              <w:snapToGrid w:val="0"/>
              <w:spacing w:line="240" w:lineRule="exact"/>
              <w:jc w:val="center"/>
              <w:rPr>
                <w:rFonts w:hint="default" w:ascii="??_GB2312" w:hAnsi="宋体" w:eastAsiaTheme="minorEastAsia"/>
                <w:color w:val="auto"/>
                <w:szCs w:val="21"/>
                <w:lang w:val="en-US" w:eastAsia="zh-CN"/>
              </w:rPr>
            </w:pPr>
            <w:r>
              <w:rPr>
                <w:rFonts w:hint="eastAsia" w:ascii="??_GB2312" w:hAnsi="宋体" w:eastAsiaTheme="minorEastAsia"/>
                <w:color w:val="auto"/>
                <w:szCs w:val="21"/>
                <w:lang w:val="en-US" w:eastAsia="zh-CN"/>
              </w:rPr>
              <w:t>助教</w:t>
            </w:r>
          </w:p>
        </w:tc>
        <w:tc>
          <w:tcPr>
            <w:tcW w:w="2257" w:type="dxa"/>
            <w:vAlign w:val="center"/>
          </w:tcPr>
          <w:p>
            <w:pPr>
              <w:tabs>
                <w:tab w:val="center" w:pos="4153"/>
                <w:tab w:val="right" w:pos="8306"/>
              </w:tabs>
              <w:snapToGrid w:val="0"/>
              <w:spacing w:line="240" w:lineRule="exact"/>
              <w:jc w:val="center"/>
              <w:rPr>
                <w:rFonts w:hint="eastAsia" w:ascii="??_GB2312" w:hAnsi="宋体" w:eastAsia="宋体"/>
                <w:color w:val="auto"/>
                <w:szCs w:val="21"/>
                <w:lang w:eastAsia="zh-CN"/>
              </w:rPr>
            </w:pPr>
            <w:r>
              <w:rPr>
                <w:rFonts w:hint="eastAsia" w:ascii="??_GB2312" w:hAnsi="宋体"/>
                <w:color w:val="auto"/>
                <w:szCs w:val="21"/>
                <w:lang w:eastAsia="zh-CN"/>
              </w:rPr>
              <w:t>玉溪师范学院</w:t>
            </w:r>
          </w:p>
        </w:tc>
        <w:tc>
          <w:tcPr>
            <w:tcW w:w="564" w:type="dxa"/>
            <w:vAlign w:val="center"/>
          </w:tcPr>
          <w:p>
            <w:pPr>
              <w:tabs>
                <w:tab w:val="center" w:pos="4153"/>
                <w:tab w:val="right" w:pos="8306"/>
              </w:tabs>
              <w:snapToGrid w:val="0"/>
              <w:spacing w:line="240" w:lineRule="exact"/>
              <w:jc w:val="center"/>
              <w:rPr>
                <w:rFonts w:hint="eastAsia" w:ascii="??_GB2312" w:hAnsi="宋体" w:eastAsiaTheme="minorEastAsia"/>
                <w:color w:val="auto"/>
                <w:szCs w:val="21"/>
                <w:lang w:val="en-US" w:eastAsia="zh-CN"/>
              </w:rPr>
            </w:pPr>
            <w:r>
              <w:rPr>
                <w:rFonts w:hint="eastAsia" w:ascii="??_GB2312" w:hAnsi="宋体" w:eastAsiaTheme="minorEastAsia"/>
                <w:color w:val="auto"/>
                <w:szCs w:val="21"/>
                <w:lang w:val="en-US" w:eastAsia="zh-CN"/>
              </w:rPr>
              <w:t>1</w:t>
            </w:r>
          </w:p>
        </w:tc>
        <w:tc>
          <w:tcPr>
            <w:tcW w:w="1411" w:type="dxa"/>
            <w:vAlign w:val="center"/>
          </w:tcPr>
          <w:p>
            <w:pPr>
              <w:tabs>
                <w:tab w:val="center" w:pos="4153"/>
                <w:tab w:val="right" w:pos="8306"/>
              </w:tabs>
              <w:snapToGrid w:val="0"/>
              <w:spacing w:line="240" w:lineRule="exact"/>
              <w:jc w:val="center"/>
              <w:rPr>
                <w:rFonts w:ascii="??_GB2312" w:hAnsi="宋体" w:eastAsia="Times New Roman" w:cs="Times New Roman"/>
                <w:color w:val="auto"/>
                <w:kern w:val="2"/>
                <w:sz w:val="21"/>
                <w:szCs w:val="21"/>
                <w:lang w:val="en-US" w:eastAsia="zh-CN" w:bidi="ar-SA"/>
              </w:rPr>
            </w:pPr>
            <w:r>
              <w:rPr>
                <w:rFonts w:hint="eastAsia" w:ascii="??_GB2312" w:hAnsi="宋体" w:eastAsiaTheme="minorEastAsia"/>
                <w:color w:val="auto"/>
                <w:szCs w:val="21"/>
              </w:rPr>
              <w:t>音乐</w:t>
            </w:r>
          </w:p>
        </w:tc>
        <w:tc>
          <w:tcPr>
            <w:tcW w:w="1981" w:type="dxa"/>
            <w:vAlign w:val="center"/>
          </w:tcPr>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声乐、键盘</w:t>
            </w:r>
          </w:p>
          <w:p>
            <w:pPr>
              <w:tabs>
                <w:tab w:val="center" w:pos="4153"/>
                <w:tab w:val="right" w:pos="8306"/>
              </w:tabs>
              <w:snapToGrid w:val="0"/>
              <w:spacing w:line="240" w:lineRule="exact"/>
              <w:jc w:val="center"/>
              <w:rPr>
                <w:rFonts w:ascii="??_GB2312" w:hAnsi="宋体" w:eastAsia="Times New Roman"/>
                <w:color w:val="auto"/>
                <w:szCs w:val="21"/>
              </w:rPr>
            </w:pPr>
            <w:r>
              <w:rPr>
                <w:rFonts w:ascii="??_GB2312" w:hAnsi="宋体" w:eastAsia="Times New Roman"/>
                <w:color w:val="auto"/>
                <w:szCs w:val="21"/>
              </w:rPr>
              <w:t>幼儿歌曲即兴伴奏</w:t>
            </w:r>
          </w:p>
          <w:p>
            <w:pPr>
              <w:tabs>
                <w:tab w:val="center" w:pos="4153"/>
                <w:tab w:val="right" w:pos="8306"/>
              </w:tabs>
              <w:snapToGrid w:val="0"/>
              <w:spacing w:line="240" w:lineRule="exact"/>
              <w:jc w:val="center"/>
              <w:rPr>
                <w:rFonts w:ascii="??_GB2312" w:hAnsi="宋体" w:eastAsia="Times New Roman" w:cs="Times New Roman"/>
                <w:color w:val="auto"/>
                <w:kern w:val="2"/>
                <w:sz w:val="21"/>
                <w:szCs w:val="21"/>
                <w:lang w:val="en-US" w:eastAsia="zh-CN" w:bidi="ar-SA"/>
              </w:rPr>
            </w:pPr>
            <w:r>
              <w:rPr>
                <w:rFonts w:ascii="??_GB2312" w:hAnsi="宋体" w:eastAsia="Times New Roman"/>
                <w:color w:val="auto"/>
                <w:szCs w:val="21"/>
              </w:rPr>
              <w:t>学前儿童音乐教育</w:t>
            </w:r>
          </w:p>
        </w:tc>
      </w:tr>
    </w:tbl>
    <w:p>
      <w:pPr>
        <w:pageBreakBefore w:val="0"/>
        <w:numPr>
          <w:ilvl w:val="0"/>
          <w:numId w:val="2"/>
        </w:numPr>
        <w:kinsoku/>
        <w:wordWrap/>
        <w:overflowPunct w:val="0"/>
        <w:topLinePunct w:val="0"/>
        <w:bidi w:val="0"/>
        <w:spacing w:line="360" w:lineRule="auto"/>
        <w:textAlignment w:val="auto"/>
        <w:rPr>
          <w:rFonts w:hint="eastAsia" w:eastAsia="方正仿宋简体" w:cs="Times New Roman"/>
          <w:sz w:val="28"/>
          <w:szCs w:val="22"/>
          <w:lang w:val="en-US" w:eastAsia="zh-CN"/>
        </w:rPr>
      </w:pPr>
      <w:r>
        <w:rPr>
          <w:rFonts w:hint="eastAsia" w:eastAsia="方正仿宋简体" w:cs="Times New Roman"/>
          <w:sz w:val="28"/>
          <w:szCs w:val="22"/>
          <w:lang w:val="en-US" w:eastAsia="zh-CN"/>
        </w:rPr>
        <w:t>教学实训</w:t>
      </w:r>
    </w:p>
    <w:p>
      <w:pPr>
        <w:spacing w:line="520" w:lineRule="atLeast"/>
        <w:ind w:firstLine="480" w:firstLineChars="200"/>
        <w:jc w:val="left"/>
        <w:rPr>
          <w:rFonts w:ascii="宋体" w:cs="宋体"/>
          <w:bCs/>
          <w:color w:val="auto"/>
          <w:sz w:val="24"/>
        </w:rPr>
      </w:pPr>
      <w:r>
        <w:rPr>
          <w:rFonts w:ascii="宋体" w:hAnsi="宋体" w:cs="宋体"/>
          <w:bCs/>
          <w:color w:val="auto"/>
          <w:sz w:val="24"/>
        </w:rPr>
        <w:t>1.</w:t>
      </w:r>
      <w:r>
        <w:rPr>
          <w:rFonts w:hint="eastAsia" w:ascii="宋体" w:hAnsi="宋体" w:cs="宋体"/>
          <w:bCs/>
          <w:color w:val="auto"/>
          <w:sz w:val="24"/>
        </w:rPr>
        <w:t>校内专业实训条件</w:t>
      </w:r>
    </w:p>
    <w:p>
      <w:pPr>
        <w:spacing w:line="520" w:lineRule="atLeast"/>
        <w:ind w:firstLine="480" w:firstLineChars="200"/>
        <w:jc w:val="left"/>
        <w:rPr>
          <w:rFonts w:ascii="宋体" w:cs="宋体"/>
          <w:bCs/>
          <w:color w:val="auto"/>
          <w:sz w:val="24"/>
        </w:rPr>
      </w:pPr>
      <w:r>
        <w:rPr>
          <w:rFonts w:hint="eastAsia" w:ascii="宋体" w:hAnsi="宋体" w:cs="宋体"/>
          <w:bCs/>
          <w:color w:val="auto"/>
          <w:sz w:val="24"/>
        </w:rPr>
        <w:t>已建成学前教育专业教学专用</w:t>
      </w:r>
      <w:r>
        <w:rPr>
          <w:rFonts w:hint="eastAsia" w:ascii="宋体" w:hAnsi="宋体" w:cs="宋体"/>
          <w:bCs/>
          <w:color w:val="auto"/>
          <w:sz w:val="24"/>
          <w:lang w:eastAsia="zh-CN"/>
        </w:rPr>
        <w:t>保育实训室、幼儿园模拟活动室、葫芦丝工作室、琴房、声乐教室、手工实训室、形体训练室等多间实训室</w:t>
      </w:r>
      <w:r>
        <w:rPr>
          <w:rFonts w:hint="eastAsia" w:ascii="宋体" w:hAnsi="宋体" w:cs="宋体"/>
          <w:bCs/>
          <w:color w:val="auto"/>
          <w:sz w:val="24"/>
        </w:rPr>
        <w:t>。</w:t>
      </w:r>
    </w:p>
    <w:p>
      <w:pPr>
        <w:spacing w:line="520" w:lineRule="atLeast"/>
        <w:ind w:firstLine="482" w:firstLineChars="200"/>
        <w:jc w:val="center"/>
        <w:rPr>
          <w:rFonts w:hint="eastAsia" w:ascii="宋体" w:eastAsia="宋体" w:cs="宋体"/>
          <w:b/>
          <w:color w:val="auto"/>
          <w:sz w:val="24"/>
          <w:lang w:eastAsia="zh-CN"/>
        </w:rPr>
      </w:pPr>
      <w:r>
        <w:rPr>
          <w:rFonts w:hint="eastAsia" w:ascii="宋体" w:hAnsi="宋体" w:cs="宋体"/>
          <w:b/>
          <w:color w:val="auto"/>
          <w:sz w:val="24"/>
        </w:rPr>
        <w:t>校内专业实训</w:t>
      </w:r>
      <w:r>
        <w:rPr>
          <w:rFonts w:hint="eastAsia" w:ascii="宋体" w:hAnsi="宋体" w:cs="宋体"/>
          <w:b/>
          <w:color w:val="auto"/>
          <w:sz w:val="24"/>
          <w:lang w:eastAsia="zh-CN"/>
        </w:rPr>
        <w:t>室一览表</w:t>
      </w:r>
    </w:p>
    <w:tbl>
      <w:tblPr>
        <w:tblStyle w:val="5"/>
        <w:tblpPr w:leftFromText="180" w:rightFromText="180" w:vertAnchor="text" w:horzAnchor="margin" w:tblpXSpec="center" w:tblpY="13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6"/>
        <w:gridCol w:w="2136"/>
        <w:gridCol w:w="2436"/>
        <w:gridCol w:w="1656"/>
        <w:gridCol w:w="15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1" w:hRule="atLeast"/>
        </w:trPr>
        <w:tc>
          <w:tcPr>
            <w:tcW w:w="0" w:type="auto"/>
            <w:noWrap w:val="0"/>
            <w:vAlign w:val="center"/>
          </w:tcPr>
          <w:p>
            <w:pPr>
              <w:jc w:val="center"/>
              <w:rPr>
                <w:rFonts w:hint="eastAsia" w:ascii="黑体" w:eastAsia="黑体"/>
                <w:sz w:val="24"/>
                <w:szCs w:val="24"/>
              </w:rPr>
            </w:pPr>
            <w:r>
              <w:rPr>
                <w:rFonts w:hint="eastAsia" w:ascii="黑体" w:eastAsia="黑体"/>
                <w:sz w:val="24"/>
                <w:szCs w:val="24"/>
              </w:rPr>
              <w:t>序号</w:t>
            </w:r>
          </w:p>
        </w:tc>
        <w:tc>
          <w:tcPr>
            <w:tcW w:w="0" w:type="auto"/>
            <w:noWrap w:val="0"/>
            <w:vAlign w:val="center"/>
          </w:tcPr>
          <w:p>
            <w:pPr>
              <w:jc w:val="center"/>
              <w:rPr>
                <w:rFonts w:hint="eastAsia" w:ascii="黑体" w:eastAsia="黑体"/>
                <w:sz w:val="24"/>
                <w:szCs w:val="24"/>
              </w:rPr>
            </w:pPr>
            <w:r>
              <w:rPr>
                <w:rFonts w:hint="eastAsia" w:ascii="黑体" w:eastAsia="黑体"/>
                <w:sz w:val="24"/>
                <w:szCs w:val="24"/>
              </w:rPr>
              <w:t>实训室名称</w:t>
            </w:r>
          </w:p>
        </w:tc>
        <w:tc>
          <w:tcPr>
            <w:tcW w:w="0" w:type="auto"/>
            <w:tcBorders>
              <w:right w:val="single" w:color="auto" w:sz="4" w:space="0"/>
            </w:tcBorders>
            <w:noWrap w:val="0"/>
            <w:vAlign w:val="center"/>
          </w:tcPr>
          <w:p>
            <w:pPr>
              <w:jc w:val="center"/>
              <w:rPr>
                <w:rFonts w:hint="eastAsia" w:ascii="黑体" w:eastAsia="黑体"/>
                <w:sz w:val="24"/>
                <w:szCs w:val="24"/>
              </w:rPr>
            </w:pPr>
            <w:r>
              <w:rPr>
                <w:rFonts w:hint="eastAsia" w:ascii="黑体" w:eastAsia="黑体"/>
                <w:sz w:val="24"/>
                <w:szCs w:val="24"/>
              </w:rPr>
              <w:t>位置</w:t>
            </w:r>
          </w:p>
        </w:tc>
        <w:tc>
          <w:tcPr>
            <w:tcW w:w="0" w:type="auto"/>
            <w:tcBorders>
              <w:right w:val="single" w:color="auto" w:sz="4" w:space="0"/>
            </w:tcBorders>
            <w:noWrap w:val="0"/>
            <w:vAlign w:val="center"/>
          </w:tcPr>
          <w:p>
            <w:pPr>
              <w:jc w:val="center"/>
              <w:rPr>
                <w:rFonts w:hint="eastAsia" w:ascii="黑体" w:eastAsia="黑体"/>
                <w:sz w:val="24"/>
                <w:szCs w:val="24"/>
              </w:rPr>
            </w:pPr>
            <w:r>
              <w:rPr>
                <w:rFonts w:hint="eastAsia" w:ascii="黑体" w:eastAsia="黑体"/>
                <w:sz w:val="24"/>
                <w:szCs w:val="24"/>
              </w:rPr>
              <w:t>实训室管理员</w:t>
            </w:r>
          </w:p>
        </w:tc>
        <w:tc>
          <w:tcPr>
            <w:tcW w:w="0" w:type="auto"/>
            <w:tcBorders>
              <w:left w:val="single" w:color="auto" w:sz="4" w:space="0"/>
            </w:tcBorders>
            <w:noWrap w:val="0"/>
            <w:vAlign w:val="center"/>
          </w:tcPr>
          <w:p>
            <w:pPr>
              <w:jc w:val="center"/>
              <w:rPr>
                <w:rFonts w:hint="eastAsia" w:ascii="黑体" w:eastAsia="黑体"/>
                <w:sz w:val="24"/>
                <w:szCs w:val="24"/>
              </w:rPr>
            </w:pPr>
            <w:r>
              <w:rPr>
                <w:rFonts w:hint="eastAsia" w:ascii="黑体" w:eastAsia="黑体"/>
                <w:sz w:val="24"/>
                <w:szCs w:val="24"/>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 w:hRule="atLeast"/>
        </w:trPr>
        <w:tc>
          <w:tcPr>
            <w:tcW w:w="0" w:type="auto"/>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1</w:t>
            </w:r>
          </w:p>
        </w:tc>
        <w:tc>
          <w:tcPr>
            <w:tcW w:w="0" w:type="auto"/>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保育员实训室</w:t>
            </w:r>
          </w:p>
        </w:tc>
        <w:tc>
          <w:tcPr>
            <w:tcW w:w="0" w:type="auto"/>
            <w:tcBorders>
              <w:right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w:t>
            </w:r>
          </w:p>
        </w:tc>
        <w:tc>
          <w:tcPr>
            <w:tcW w:w="0" w:type="auto"/>
            <w:tcBorders>
              <w:right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罗娟</w:t>
            </w:r>
          </w:p>
        </w:tc>
        <w:tc>
          <w:tcPr>
            <w:tcW w:w="0" w:type="auto"/>
            <w:tcBorders>
              <w:left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18988228290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6"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2</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幼儿园模拟活动室</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科技楼203</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张晓璐</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18988236261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3</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葫芦丝工作室</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科技楼2楼204  205</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尹照馨</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17708822423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4</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琴房3</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科技楼2楼206</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沈家斌</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18183693123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5</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琴房1</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科技楼2楼207</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杨潘洲</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18314259062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9"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6</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琴房2</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科技楼2楼208</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王馥艳</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18183693061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7"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7</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声乐教室</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南科技楼</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刀文秋</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18387550571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0" w:type="auto"/>
            <w:tcBorders>
              <w:top w:val="single" w:color="auto" w:sz="4" w:space="0"/>
              <w:bottom w:val="single" w:color="auto" w:sz="4" w:space="0"/>
            </w:tcBorders>
            <w:noWrap w:val="0"/>
            <w:vAlign w:val="center"/>
          </w:tcPr>
          <w:p>
            <w:pPr>
              <w:tabs>
                <w:tab w:val="center" w:pos="4153"/>
                <w:tab w:val="right" w:pos="8306"/>
              </w:tabs>
              <w:snapToGrid w:val="0"/>
              <w:spacing w:line="240" w:lineRule="exact"/>
              <w:jc w:val="both"/>
              <w:rPr>
                <w:rFonts w:hint="eastAsia" w:asciiTheme="majorEastAsia" w:hAnsiTheme="majorEastAsia" w:eastAsiaTheme="majorEastAsia" w:cstheme="majorEastAsia"/>
                <w:color w:val="auto"/>
                <w:kern w:val="2"/>
                <w:sz w:val="24"/>
                <w:szCs w:val="24"/>
                <w:lang w:val="en-US" w:eastAsia="zh-CN" w:bidi="ar-SA"/>
              </w:rPr>
            </w:pPr>
            <w:r>
              <w:rPr>
                <w:rFonts w:hint="eastAsia" w:asciiTheme="majorEastAsia" w:hAnsiTheme="majorEastAsia" w:eastAsiaTheme="majorEastAsia" w:cstheme="majorEastAsia"/>
                <w:color w:val="auto"/>
                <w:sz w:val="24"/>
                <w:szCs w:val="24"/>
              </w:rPr>
              <w:t>8</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手工实训室</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科技楼301</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杨茜</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18183693117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9</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形体训练室1</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科技楼302</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李杏华</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18183693107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7" w:hRule="atLeast"/>
        </w:trPr>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10</w:t>
            </w:r>
          </w:p>
        </w:tc>
        <w:tc>
          <w:tcPr>
            <w:tcW w:w="0" w:type="auto"/>
            <w:tcBorders>
              <w:top w:val="single" w:color="auto" w:sz="4" w:space="0"/>
              <w:bottom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形体训练室2</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济世楼6楼</w:t>
            </w:r>
          </w:p>
        </w:tc>
        <w:tc>
          <w:tcPr>
            <w:tcW w:w="0" w:type="auto"/>
            <w:tcBorders>
              <w:top w:val="single" w:color="auto" w:sz="4" w:space="0"/>
              <w:bottom w:val="single" w:color="auto" w:sz="4" w:space="0"/>
              <w:right w:val="single" w:color="auto" w:sz="4" w:space="0"/>
            </w:tcBorders>
            <w:noWrap w:val="0"/>
            <w:vAlign w:val="center"/>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许阿满</w:t>
            </w:r>
          </w:p>
        </w:tc>
        <w:tc>
          <w:tcPr>
            <w:tcW w:w="0" w:type="auto"/>
            <w:tcBorders>
              <w:top w:val="single" w:color="auto" w:sz="4" w:space="0"/>
              <w:left w:val="single" w:color="auto" w:sz="4" w:space="0"/>
              <w:bottom w:val="single" w:color="auto" w:sz="4" w:space="0"/>
            </w:tcBorders>
            <w:noWrap w:val="0"/>
            <w:vAlign w:val="top"/>
          </w:tcPr>
          <w:p>
            <w:pPr>
              <w:jc w:val="both"/>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13988277177</w:t>
            </w:r>
          </w:p>
        </w:tc>
      </w:tr>
    </w:tbl>
    <w:p>
      <w:pPr>
        <w:spacing w:line="520" w:lineRule="atLeast"/>
        <w:ind w:firstLine="480" w:firstLineChars="200"/>
        <w:rPr>
          <w:rFonts w:ascii="宋体" w:hAnsi="宋体" w:cs="宋体"/>
          <w:bCs/>
          <w:color w:val="auto"/>
          <w:sz w:val="24"/>
        </w:rPr>
      </w:pPr>
      <w:r>
        <w:rPr>
          <w:rFonts w:hint="eastAsia" w:ascii="宋体" w:hAnsi="宋体" w:cs="宋体"/>
          <w:bCs/>
          <w:color w:val="auto"/>
          <w:sz w:val="24"/>
        </w:rPr>
        <w:t>2.校外实训条件</w:t>
      </w:r>
    </w:p>
    <w:p>
      <w:pPr>
        <w:spacing w:line="520" w:lineRule="atLeast"/>
        <w:ind w:firstLine="480" w:firstLineChars="200"/>
        <w:rPr>
          <w:rFonts w:ascii="宋体" w:cs="宋体"/>
          <w:b/>
          <w:color w:val="auto"/>
          <w:sz w:val="24"/>
        </w:rPr>
      </w:pPr>
      <w:r>
        <w:rPr>
          <w:rFonts w:hint="eastAsia" w:ascii="宋体" w:hAnsi="宋体" w:cs="宋体"/>
          <w:bCs/>
          <w:color w:val="auto"/>
          <w:sz w:val="24"/>
        </w:rPr>
        <w:t>与本地多家幼儿园达成协议，共同建设实习基地。</w:t>
      </w:r>
      <w:r>
        <w:rPr>
          <w:rFonts w:hint="eastAsia" w:ascii="宋体" w:cs="宋体"/>
          <w:b/>
          <w:color w:val="auto"/>
          <w:sz w:val="24"/>
        </w:rPr>
        <w:t xml:space="preserve">   </w:t>
      </w:r>
    </w:p>
    <w:p>
      <w:pPr>
        <w:spacing w:line="520" w:lineRule="atLeast"/>
        <w:jc w:val="center"/>
        <w:rPr>
          <w:rFonts w:ascii="宋体" w:hAnsi="宋体" w:cs="宋体"/>
          <w:b/>
          <w:color w:val="auto"/>
          <w:sz w:val="24"/>
        </w:rPr>
      </w:pPr>
      <w:r>
        <w:rPr>
          <w:rFonts w:hint="eastAsia" w:ascii="宋体" w:hAnsi="宋体" w:cs="宋体"/>
          <w:b/>
          <w:color w:val="auto"/>
          <w:sz w:val="24"/>
        </w:rPr>
        <w:t>校外专业实训条件</w:t>
      </w:r>
    </w:p>
    <w:tbl>
      <w:tblPr>
        <w:tblStyle w:val="5"/>
        <w:tblW w:w="8580" w:type="dxa"/>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1447"/>
        <w:gridCol w:w="2126"/>
        <w:gridCol w:w="1134"/>
        <w:gridCol w:w="2552"/>
        <w:gridCol w:w="6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630" w:type="dxa"/>
          </w:tcPr>
          <w:p>
            <w:pPr>
              <w:spacing w:line="520" w:lineRule="atLeast"/>
              <w:jc w:val="left"/>
              <w:rPr>
                <w:rFonts w:ascii="宋体" w:cs="宋体"/>
                <w:b/>
                <w:bCs/>
                <w:color w:val="auto"/>
                <w:szCs w:val="21"/>
              </w:rPr>
            </w:pPr>
            <w:r>
              <w:rPr>
                <w:rFonts w:hint="eastAsia" w:ascii="宋体" w:hAnsi="宋体" w:cs="宋体"/>
                <w:b/>
                <w:bCs/>
                <w:color w:val="auto"/>
                <w:szCs w:val="21"/>
              </w:rPr>
              <w:t>序号</w:t>
            </w:r>
          </w:p>
        </w:tc>
        <w:tc>
          <w:tcPr>
            <w:tcW w:w="1447" w:type="dxa"/>
          </w:tcPr>
          <w:p>
            <w:pPr>
              <w:spacing w:line="520" w:lineRule="atLeast"/>
              <w:jc w:val="center"/>
              <w:rPr>
                <w:rFonts w:hint="eastAsia" w:ascii="宋体" w:hAnsi="宋体" w:cs="宋体"/>
                <w:b/>
                <w:bCs/>
                <w:color w:val="auto"/>
                <w:szCs w:val="21"/>
              </w:rPr>
            </w:pPr>
            <w:r>
              <w:rPr>
                <w:rFonts w:hint="eastAsia" w:ascii="宋体" w:hAnsi="宋体" w:cs="宋体"/>
                <w:b/>
                <w:bCs/>
                <w:color w:val="auto"/>
                <w:szCs w:val="21"/>
              </w:rPr>
              <w:t>实训基地</w:t>
            </w:r>
          </w:p>
          <w:p>
            <w:pPr>
              <w:spacing w:line="520" w:lineRule="atLeast"/>
              <w:jc w:val="center"/>
              <w:rPr>
                <w:rFonts w:ascii="宋体" w:cs="宋体"/>
                <w:b/>
                <w:bCs/>
                <w:color w:val="auto"/>
                <w:szCs w:val="21"/>
              </w:rPr>
            </w:pPr>
            <w:r>
              <w:rPr>
                <w:rFonts w:hint="eastAsia" w:ascii="宋体" w:hAnsi="宋体" w:cs="宋体"/>
                <w:b/>
                <w:bCs/>
                <w:color w:val="auto"/>
                <w:szCs w:val="21"/>
              </w:rPr>
              <w:t>名称</w:t>
            </w:r>
          </w:p>
        </w:tc>
        <w:tc>
          <w:tcPr>
            <w:tcW w:w="2126" w:type="dxa"/>
          </w:tcPr>
          <w:p>
            <w:pPr>
              <w:spacing w:line="520" w:lineRule="atLeast"/>
              <w:jc w:val="center"/>
              <w:rPr>
                <w:rFonts w:hint="eastAsia" w:ascii="宋体" w:hAnsi="宋体" w:cs="宋体"/>
                <w:b/>
                <w:bCs/>
                <w:color w:val="auto"/>
                <w:szCs w:val="21"/>
              </w:rPr>
            </w:pPr>
            <w:r>
              <w:rPr>
                <w:rFonts w:hint="eastAsia" w:ascii="宋体" w:hAnsi="宋体" w:cs="宋体"/>
                <w:b/>
                <w:bCs/>
                <w:color w:val="auto"/>
                <w:szCs w:val="21"/>
              </w:rPr>
              <w:t>实训基地的</w:t>
            </w:r>
          </w:p>
          <w:p>
            <w:pPr>
              <w:spacing w:line="520" w:lineRule="atLeast"/>
              <w:jc w:val="center"/>
              <w:rPr>
                <w:rFonts w:ascii="宋体" w:cs="宋体"/>
                <w:b/>
                <w:bCs/>
                <w:color w:val="auto"/>
                <w:szCs w:val="21"/>
              </w:rPr>
            </w:pPr>
            <w:r>
              <w:rPr>
                <w:rFonts w:hint="eastAsia" w:ascii="宋体" w:hAnsi="宋体" w:cs="宋体"/>
                <w:b/>
                <w:bCs/>
                <w:color w:val="auto"/>
                <w:szCs w:val="21"/>
              </w:rPr>
              <w:t>功能要求</w:t>
            </w:r>
          </w:p>
        </w:tc>
        <w:tc>
          <w:tcPr>
            <w:tcW w:w="1134" w:type="dxa"/>
          </w:tcPr>
          <w:p>
            <w:pPr>
              <w:spacing w:line="520" w:lineRule="atLeast"/>
              <w:jc w:val="center"/>
              <w:rPr>
                <w:rFonts w:hint="eastAsia" w:ascii="宋体" w:hAnsi="宋体" w:cs="宋体"/>
                <w:b/>
                <w:bCs/>
                <w:color w:val="auto"/>
                <w:szCs w:val="21"/>
              </w:rPr>
            </w:pPr>
            <w:r>
              <w:rPr>
                <w:rFonts w:hint="eastAsia" w:ascii="宋体" w:hAnsi="宋体" w:cs="宋体"/>
                <w:b/>
                <w:bCs/>
                <w:color w:val="auto"/>
                <w:szCs w:val="21"/>
              </w:rPr>
              <w:t>实习</w:t>
            </w:r>
          </w:p>
          <w:p>
            <w:pPr>
              <w:spacing w:line="520" w:lineRule="atLeast"/>
              <w:jc w:val="center"/>
              <w:rPr>
                <w:rFonts w:ascii="宋体" w:cs="宋体"/>
                <w:b/>
                <w:bCs/>
                <w:color w:val="auto"/>
                <w:szCs w:val="21"/>
              </w:rPr>
            </w:pPr>
            <w:r>
              <w:rPr>
                <w:rFonts w:hint="eastAsia" w:ascii="宋体" w:hAnsi="宋体" w:cs="宋体"/>
                <w:b/>
                <w:bCs/>
                <w:color w:val="auto"/>
                <w:szCs w:val="21"/>
              </w:rPr>
              <w:t>岗位</w:t>
            </w:r>
          </w:p>
        </w:tc>
        <w:tc>
          <w:tcPr>
            <w:tcW w:w="2552" w:type="dxa"/>
          </w:tcPr>
          <w:p>
            <w:pPr>
              <w:spacing w:line="520" w:lineRule="atLeast"/>
              <w:jc w:val="center"/>
              <w:rPr>
                <w:rFonts w:hint="eastAsia" w:ascii="宋体" w:hAnsi="宋体" w:cs="宋体"/>
                <w:b/>
                <w:bCs/>
                <w:color w:val="auto"/>
                <w:szCs w:val="21"/>
              </w:rPr>
            </w:pPr>
            <w:r>
              <w:rPr>
                <w:rFonts w:hint="eastAsia" w:ascii="宋体" w:hAnsi="宋体" w:cs="宋体"/>
                <w:b/>
                <w:bCs/>
                <w:color w:val="auto"/>
                <w:szCs w:val="21"/>
              </w:rPr>
              <w:t>对应的</w:t>
            </w:r>
          </w:p>
          <w:p>
            <w:pPr>
              <w:spacing w:line="520" w:lineRule="atLeast"/>
              <w:jc w:val="center"/>
              <w:rPr>
                <w:rFonts w:ascii="宋体" w:cs="宋体"/>
                <w:b/>
                <w:bCs/>
                <w:color w:val="auto"/>
                <w:szCs w:val="21"/>
              </w:rPr>
            </w:pPr>
            <w:r>
              <w:rPr>
                <w:rFonts w:hint="eastAsia" w:ascii="宋体" w:hAnsi="宋体" w:cs="宋体"/>
                <w:b/>
                <w:bCs/>
                <w:color w:val="auto"/>
                <w:szCs w:val="21"/>
              </w:rPr>
              <w:t>学习领域</w:t>
            </w:r>
          </w:p>
        </w:tc>
        <w:tc>
          <w:tcPr>
            <w:tcW w:w="691" w:type="dxa"/>
          </w:tcPr>
          <w:p>
            <w:pPr>
              <w:spacing w:line="520" w:lineRule="atLeast"/>
              <w:jc w:val="center"/>
              <w:rPr>
                <w:rFonts w:hint="eastAsia" w:ascii="宋体" w:eastAsia="宋体" w:cs="宋体"/>
                <w:b/>
                <w:bCs/>
                <w:color w:val="auto"/>
                <w:szCs w:val="21"/>
                <w:lang w:eastAsia="zh-CN"/>
              </w:rPr>
            </w:pPr>
            <w:r>
              <w:rPr>
                <w:rFonts w:hint="eastAsia" w:ascii="宋体" w:hAnsi="宋体" w:cs="宋体"/>
                <w:b/>
                <w:bCs/>
                <w:color w:val="auto"/>
                <w:szCs w:val="21"/>
              </w:rPr>
              <w:t>年接纳</w:t>
            </w:r>
            <w:r>
              <w:rPr>
                <w:rFonts w:hint="eastAsia" w:ascii="宋体" w:hAnsi="宋体" w:cs="宋体"/>
                <w:b/>
                <w:bCs/>
                <w:color w:val="auto"/>
                <w:szCs w:val="21"/>
                <w:lang w:eastAsia="zh-CN"/>
              </w:rPr>
              <w:t>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630" w:type="dxa"/>
          </w:tcPr>
          <w:p>
            <w:pPr>
              <w:spacing w:line="520" w:lineRule="atLeast"/>
              <w:jc w:val="center"/>
              <w:rPr>
                <w:rFonts w:ascii="宋体" w:hAnsi="宋体" w:cs="宋体"/>
                <w:bCs/>
                <w:color w:val="auto"/>
                <w:szCs w:val="21"/>
              </w:rPr>
            </w:pPr>
            <w:r>
              <w:rPr>
                <w:rFonts w:ascii="宋体" w:hAnsi="宋体" w:cs="宋体"/>
                <w:bCs/>
                <w:color w:val="auto"/>
                <w:szCs w:val="21"/>
              </w:rPr>
              <w:t>1</w:t>
            </w:r>
          </w:p>
        </w:tc>
        <w:tc>
          <w:tcPr>
            <w:tcW w:w="1447" w:type="dxa"/>
          </w:tcPr>
          <w:p>
            <w:pPr>
              <w:spacing w:line="520" w:lineRule="atLeast"/>
              <w:jc w:val="center"/>
              <w:rPr>
                <w:rFonts w:ascii="宋体" w:cs="宋体"/>
                <w:bCs/>
                <w:color w:val="auto"/>
                <w:szCs w:val="21"/>
              </w:rPr>
            </w:pPr>
            <w:r>
              <w:rPr>
                <w:rFonts w:hint="eastAsia" w:ascii="宋体" w:hAnsi="宋体" w:cs="宋体"/>
                <w:bCs/>
                <w:color w:val="auto"/>
                <w:szCs w:val="21"/>
              </w:rPr>
              <w:t>芒市幼儿园</w:t>
            </w:r>
          </w:p>
        </w:tc>
        <w:tc>
          <w:tcPr>
            <w:tcW w:w="2126" w:type="dxa"/>
          </w:tcPr>
          <w:p>
            <w:pPr>
              <w:spacing w:line="520" w:lineRule="atLeast"/>
              <w:jc w:val="center"/>
              <w:rPr>
                <w:rFonts w:ascii="宋体" w:cs="宋体"/>
                <w:bCs/>
                <w:color w:val="auto"/>
                <w:szCs w:val="21"/>
              </w:rPr>
            </w:pPr>
            <w:r>
              <w:rPr>
                <w:rFonts w:hint="eastAsia" w:ascii="宋体" w:hAnsi="宋体" w:cs="宋体"/>
                <w:bCs/>
                <w:color w:val="auto"/>
                <w:szCs w:val="21"/>
              </w:rPr>
              <w:t>提供学前教育专业学生见习实习机会</w:t>
            </w:r>
          </w:p>
        </w:tc>
        <w:tc>
          <w:tcPr>
            <w:tcW w:w="1134" w:type="dxa"/>
          </w:tcPr>
          <w:p>
            <w:pPr>
              <w:spacing w:line="520" w:lineRule="atLeast"/>
              <w:jc w:val="center"/>
              <w:rPr>
                <w:rFonts w:ascii="宋体" w:hAnsi="宋体" w:cs="宋体"/>
                <w:bCs/>
                <w:color w:val="auto"/>
                <w:szCs w:val="21"/>
              </w:rPr>
            </w:pPr>
            <w:r>
              <w:rPr>
                <w:rFonts w:hint="eastAsia" w:ascii="宋体" w:hAnsi="宋体" w:cs="宋体"/>
                <w:bCs/>
                <w:color w:val="auto"/>
                <w:szCs w:val="21"/>
              </w:rPr>
              <w:t>教师</w:t>
            </w:r>
          </w:p>
          <w:p>
            <w:pPr>
              <w:spacing w:line="520" w:lineRule="atLeast"/>
              <w:jc w:val="center"/>
              <w:rPr>
                <w:rFonts w:ascii="宋体" w:cs="宋体"/>
                <w:bCs/>
                <w:color w:val="auto"/>
                <w:szCs w:val="21"/>
              </w:rPr>
            </w:pPr>
            <w:r>
              <w:rPr>
                <w:rFonts w:hint="eastAsia" w:ascii="宋体" w:hAnsi="宋体" w:cs="宋体"/>
                <w:bCs/>
                <w:color w:val="auto"/>
                <w:szCs w:val="21"/>
              </w:rPr>
              <w:t>保育员</w:t>
            </w:r>
          </w:p>
        </w:tc>
        <w:tc>
          <w:tcPr>
            <w:tcW w:w="2552" w:type="dxa"/>
          </w:tcPr>
          <w:p>
            <w:pPr>
              <w:spacing w:line="520" w:lineRule="atLeast"/>
              <w:jc w:val="center"/>
              <w:rPr>
                <w:rFonts w:ascii="宋体" w:cs="宋体"/>
                <w:bCs/>
                <w:color w:val="auto"/>
                <w:szCs w:val="21"/>
              </w:rPr>
            </w:pPr>
            <w:r>
              <w:rPr>
                <w:rFonts w:hint="eastAsia" w:ascii="宋体" w:hAnsi="宋体" w:cs="宋体"/>
                <w:bCs/>
                <w:color w:val="auto"/>
                <w:szCs w:val="21"/>
              </w:rPr>
              <w:t>保育员知识与技能、学前儿童五大领域教育教学</w:t>
            </w:r>
          </w:p>
        </w:tc>
        <w:tc>
          <w:tcPr>
            <w:tcW w:w="691" w:type="dxa"/>
          </w:tcPr>
          <w:p>
            <w:pPr>
              <w:spacing w:line="520" w:lineRule="atLeast"/>
              <w:jc w:val="center"/>
              <w:rPr>
                <w:rFonts w:ascii="宋体" w:cs="宋体"/>
                <w:bCs/>
                <w:color w:val="auto"/>
                <w:szCs w:val="21"/>
              </w:rPr>
            </w:pPr>
            <w:r>
              <w:rPr>
                <w:rFonts w:ascii="宋体" w:hAnsi="宋体" w:cs="宋体"/>
                <w:bCs/>
                <w:color w:val="auto"/>
                <w:szCs w:val="21"/>
              </w:rPr>
              <w:t>100</w:t>
            </w:r>
            <w:r>
              <w:rPr>
                <w:rFonts w:hint="eastAsia" w:ascii="宋体" w:hAnsi="宋体" w:cs="宋体"/>
                <w:bCs/>
                <w:color w:val="auto"/>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630" w:type="dxa"/>
          </w:tcPr>
          <w:p>
            <w:pPr>
              <w:spacing w:line="520" w:lineRule="atLeast"/>
              <w:jc w:val="center"/>
              <w:rPr>
                <w:rFonts w:ascii="宋体" w:hAnsi="宋体" w:cs="宋体"/>
                <w:bCs/>
                <w:color w:val="auto"/>
                <w:szCs w:val="21"/>
              </w:rPr>
            </w:pPr>
            <w:r>
              <w:rPr>
                <w:rFonts w:ascii="宋体" w:hAnsi="宋体" w:cs="宋体"/>
                <w:bCs/>
                <w:color w:val="auto"/>
                <w:szCs w:val="21"/>
              </w:rPr>
              <w:t>2</w:t>
            </w:r>
          </w:p>
        </w:tc>
        <w:tc>
          <w:tcPr>
            <w:tcW w:w="1447" w:type="dxa"/>
          </w:tcPr>
          <w:p>
            <w:pPr>
              <w:spacing w:line="520" w:lineRule="atLeast"/>
              <w:jc w:val="center"/>
              <w:rPr>
                <w:rFonts w:ascii="宋体" w:cs="宋体"/>
                <w:bCs/>
                <w:color w:val="auto"/>
                <w:szCs w:val="21"/>
              </w:rPr>
            </w:pPr>
            <w:r>
              <w:rPr>
                <w:rFonts w:hint="eastAsia" w:ascii="宋体" w:hAnsi="宋体" w:cs="宋体"/>
                <w:bCs/>
                <w:color w:val="auto"/>
                <w:szCs w:val="21"/>
              </w:rPr>
              <w:t>德宏州幼儿园</w:t>
            </w:r>
          </w:p>
        </w:tc>
        <w:tc>
          <w:tcPr>
            <w:tcW w:w="2126" w:type="dxa"/>
          </w:tcPr>
          <w:p>
            <w:pPr>
              <w:spacing w:line="520" w:lineRule="atLeast"/>
              <w:jc w:val="center"/>
              <w:rPr>
                <w:rFonts w:ascii="宋体" w:cs="宋体"/>
                <w:bCs/>
                <w:color w:val="auto"/>
                <w:szCs w:val="21"/>
              </w:rPr>
            </w:pPr>
            <w:r>
              <w:rPr>
                <w:rFonts w:hint="eastAsia" w:ascii="宋体" w:hAnsi="宋体" w:cs="宋体"/>
                <w:bCs/>
                <w:color w:val="auto"/>
                <w:szCs w:val="21"/>
              </w:rPr>
              <w:t>提供学前教育专业学生见习实习机会</w:t>
            </w:r>
          </w:p>
        </w:tc>
        <w:tc>
          <w:tcPr>
            <w:tcW w:w="1134" w:type="dxa"/>
          </w:tcPr>
          <w:p>
            <w:pPr>
              <w:spacing w:line="520" w:lineRule="atLeast"/>
              <w:jc w:val="center"/>
              <w:rPr>
                <w:rFonts w:ascii="宋体" w:hAnsi="宋体" w:cs="宋体"/>
                <w:bCs/>
                <w:color w:val="auto"/>
                <w:szCs w:val="21"/>
              </w:rPr>
            </w:pPr>
            <w:r>
              <w:rPr>
                <w:rFonts w:hint="eastAsia" w:ascii="宋体" w:hAnsi="宋体" w:cs="宋体"/>
                <w:bCs/>
                <w:color w:val="auto"/>
                <w:szCs w:val="21"/>
              </w:rPr>
              <w:t>教师</w:t>
            </w:r>
          </w:p>
          <w:p>
            <w:pPr>
              <w:spacing w:line="520" w:lineRule="atLeast"/>
              <w:jc w:val="center"/>
              <w:rPr>
                <w:rFonts w:ascii="宋体" w:cs="宋体"/>
                <w:bCs/>
                <w:color w:val="auto"/>
                <w:szCs w:val="21"/>
              </w:rPr>
            </w:pPr>
            <w:r>
              <w:rPr>
                <w:rFonts w:hint="eastAsia" w:ascii="宋体" w:hAnsi="宋体" w:cs="宋体"/>
                <w:bCs/>
                <w:color w:val="auto"/>
                <w:szCs w:val="21"/>
              </w:rPr>
              <w:t>保育员</w:t>
            </w:r>
          </w:p>
        </w:tc>
        <w:tc>
          <w:tcPr>
            <w:tcW w:w="2552" w:type="dxa"/>
          </w:tcPr>
          <w:p>
            <w:pPr>
              <w:spacing w:line="520" w:lineRule="atLeast"/>
              <w:jc w:val="center"/>
              <w:rPr>
                <w:rFonts w:ascii="宋体" w:cs="宋体"/>
                <w:bCs/>
                <w:color w:val="auto"/>
                <w:szCs w:val="21"/>
              </w:rPr>
            </w:pPr>
            <w:r>
              <w:rPr>
                <w:rFonts w:hint="eastAsia" w:ascii="宋体" w:hAnsi="宋体" w:cs="宋体"/>
                <w:bCs/>
                <w:color w:val="auto"/>
                <w:szCs w:val="21"/>
              </w:rPr>
              <w:t>保育员知识与技能、学前儿童五大领域教育教学</w:t>
            </w:r>
          </w:p>
        </w:tc>
        <w:tc>
          <w:tcPr>
            <w:tcW w:w="691" w:type="dxa"/>
          </w:tcPr>
          <w:p>
            <w:pPr>
              <w:spacing w:line="520" w:lineRule="atLeast"/>
              <w:jc w:val="center"/>
              <w:rPr>
                <w:rFonts w:ascii="宋体" w:cs="宋体"/>
                <w:bCs/>
                <w:color w:val="auto"/>
                <w:szCs w:val="21"/>
              </w:rPr>
            </w:pPr>
            <w:r>
              <w:rPr>
                <w:rFonts w:ascii="宋体" w:hAnsi="宋体" w:cs="宋体"/>
                <w:bCs/>
                <w:color w:val="auto"/>
                <w:szCs w:val="21"/>
              </w:rPr>
              <w:t>100</w:t>
            </w:r>
            <w:r>
              <w:rPr>
                <w:rFonts w:hint="eastAsia" w:ascii="宋体" w:hAnsi="宋体" w:cs="宋体"/>
                <w:bCs/>
                <w:color w:val="auto"/>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2" w:hRule="atLeast"/>
        </w:trPr>
        <w:tc>
          <w:tcPr>
            <w:tcW w:w="630" w:type="dxa"/>
          </w:tcPr>
          <w:p>
            <w:pPr>
              <w:spacing w:line="520" w:lineRule="atLeast"/>
              <w:jc w:val="center"/>
              <w:rPr>
                <w:rFonts w:ascii="宋体" w:hAnsi="宋体" w:cs="宋体"/>
                <w:bCs/>
                <w:color w:val="auto"/>
                <w:szCs w:val="21"/>
              </w:rPr>
            </w:pPr>
            <w:r>
              <w:rPr>
                <w:rFonts w:hint="eastAsia" w:ascii="宋体" w:hAnsi="宋体" w:cs="宋体"/>
                <w:bCs/>
                <w:color w:val="auto"/>
                <w:szCs w:val="21"/>
              </w:rPr>
              <w:t>3</w:t>
            </w:r>
          </w:p>
        </w:tc>
        <w:tc>
          <w:tcPr>
            <w:tcW w:w="1447" w:type="dxa"/>
          </w:tcPr>
          <w:p>
            <w:pPr>
              <w:spacing w:line="520" w:lineRule="atLeast"/>
              <w:jc w:val="center"/>
              <w:rPr>
                <w:rFonts w:ascii="宋体" w:hAnsi="宋体" w:cs="宋体"/>
                <w:bCs/>
                <w:color w:val="auto"/>
                <w:szCs w:val="21"/>
              </w:rPr>
            </w:pPr>
            <w:r>
              <w:rPr>
                <w:rFonts w:hint="eastAsia" w:ascii="宋体" w:hAnsi="宋体" w:cs="宋体"/>
                <w:bCs/>
                <w:color w:val="auto"/>
                <w:szCs w:val="21"/>
                <w:lang w:eastAsia="zh-CN"/>
              </w:rPr>
              <w:t>芒</w:t>
            </w:r>
            <w:r>
              <w:rPr>
                <w:rFonts w:hint="eastAsia" w:ascii="宋体" w:hAnsi="宋体" w:cs="宋体"/>
                <w:bCs/>
                <w:color w:val="auto"/>
                <w:szCs w:val="21"/>
              </w:rPr>
              <w:t>市</w:t>
            </w:r>
            <w:r>
              <w:rPr>
                <w:rFonts w:hint="eastAsia" w:ascii="宋体" w:hAnsi="宋体" w:cs="宋体"/>
                <w:bCs/>
                <w:color w:val="auto"/>
                <w:szCs w:val="21"/>
                <w:lang w:eastAsia="zh-CN"/>
              </w:rPr>
              <w:t>瑞恩</w:t>
            </w:r>
            <w:r>
              <w:rPr>
                <w:rFonts w:hint="eastAsia" w:ascii="宋体" w:hAnsi="宋体" w:cs="宋体"/>
                <w:bCs/>
                <w:color w:val="auto"/>
                <w:szCs w:val="21"/>
              </w:rPr>
              <w:t>幼儿园</w:t>
            </w:r>
          </w:p>
        </w:tc>
        <w:tc>
          <w:tcPr>
            <w:tcW w:w="2126" w:type="dxa"/>
          </w:tcPr>
          <w:p>
            <w:pPr>
              <w:spacing w:line="520" w:lineRule="atLeast"/>
              <w:jc w:val="center"/>
              <w:rPr>
                <w:rFonts w:ascii="宋体" w:cs="宋体"/>
                <w:bCs/>
                <w:color w:val="auto"/>
                <w:szCs w:val="21"/>
              </w:rPr>
            </w:pPr>
            <w:r>
              <w:rPr>
                <w:rFonts w:hint="eastAsia" w:ascii="宋体" w:hAnsi="宋体" w:cs="宋体"/>
                <w:bCs/>
                <w:color w:val="auto"/>
                <w:szCs w:val="21"/>
              </w:rPr>
              <w:t>提供学前教育专业学生见习实习机会</w:t>
            </w:r>
          </w:p>
        </w:tc>
        <w:tc>
          <w:tcPr>
            <w:tcW w:w="1134" w:type="dxa"/>
          </w:tcPr>
          <w:p>
            <w:pPr>
              <w:spacing w:line="520" w:lineRule="atLeast"/>
              <w:jc w:val="center"/>
              <w:rPr>
                <w:rFonts w:ascii="宋体" w:hAnsi="宋体" w:cs="宋体"/>
                <w:bCs/>
                <w:color w:val="auto"/>
                <w:szCs w:val="21"/>
              </w:rPr>
            </w:pPr>
            <w:r>
              <w:rPr>
                <w:rFonts w:hint="eastAsia" w:ascii="宋体" w:hAnsi="宋体" w:cs="宋体"/>
                <w:bCs/>
                <w:color w:val="auto"/>
                <w:szCs w:val="21"/>
              </w:rPr>
              <w:t>教师</w:t>
            </w:r>
          </w:p>
          <w:p>
            <w:pPr>
              <w:spacing w:line="520" w:lineRule="atLeast"/>
              <w:jc w:val="center"/>
              <w:rPr>
                <w:rFonts w:ascii="宋体" w:cs="宋体"/>
                <w:bCs/>
                <w:color w:val="auto"/>
                <w:szCs w:val="21"/>
              </w:rPr>
            </w:pPr>
            <w:r>
              <w:rPr>
                <w:rFonts w:hint="eastAsia" w:ascii="宋体" w:hAnsi="宋体" w:cs="宋体"/>
                <w:bCs/>
                <w:color w:val="auto"/>
                <w:szCs w:val="21"/>
              </w:rPr>
              <w:t>保育员</w:t>
            </w:r>
          </w:p>
        </w:tc>
        <w:tc>
          <w:tcPr>
            <w:tcW w:w="2552" w:type="dxa"/>
          </w:tcPr>
          <w:p>
            <w:pPr>
              <w:spacing w:line="520" w:lineRule="atLeast"/>
              <w:jc w:val="center"/>
              <w:rPr>
                <w:rFonts w:ascii="宋体" w:cs="宋体"/>
                <w:bCs/>
                <w:color w:val="auto"/>
                <w:szCs w:val="21"/>
              </w:rPr>
            </w:pPr>
            <w:r>
              <w:rPr>
                <w:rFonts w:hint="eastAsia" w:ascii="宋体" w:hAnsi="宋体" w:cs="宋体"/>
                <w:bCs/>
                <w:color w:val="auto"/>
                <w:szCs w:val="21"/>
              </w:rPr>
              <w:t>保育员知识与技能、学前儿童五大领域教育教学</w:t>
            </w:r>
          </w:p>
        </w:tc>
        <w:tc>
          <w:tcPr>
            <w:tcW w:w="691" w:type="dxa"/>
          </w:tcPr>
          <w:p>
            <w:pPr>
              <w:spacing w:line="520" w:lineRule="atLeast"/>
              <w:jc w:val="center"/>
              <w:rPr>
                <w:rFonts w:ascii="宋体" w:cs="宋体"/>
                <w:bCs/>
                <w:color w:val="auto"/>
                <w:szCs w:val="21"/>
              </w:rPr>
            </w:pPr>
            <w:r>
              <w:rPr>
                <w:rFonts w:hint="eastAsia" w:ascii="宋体" w:hAnsi="宋体" w:cs="宋体"/>
                <w:bCs/>
                <w:color w:val="auto"/>
                <w:szCs w:val="21"/>
                <w:lang w:val="en-US" w:eastAsia="zh-CN"/>
              </w:rPr>
              <w:t>5</w:t>
            </w:r>
            <w:r>
              <w:rPr>
                <w:rFonts w:ascii="宋体" w:hAnsi="宋体" w:cs="宋体"/>
                <w:bCs/>
                <w:color w:val="auto"/>
                <w:szCs w:val="21"/>
              </w:rPr>
              <w:t>0</w:t>
            </w:r>
            <w:r>
              <w:rPr>
                <w:rFonts w:hint="eastAsia" w:ascii="宋体" w:hAnsi="宋体" w:cs="宋体"/>
                <w:bCs/>
                <w:color w:val="auto"/>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630" w:type="dxa"/>
            <w:vAlign w:val="top"/>
          </w:tcPr>
          <w:p>
            <w:pPr>
              <w:spacing w:line="520" w:lineRule="atLeast"/>
              <w:jc w:val="center"/>
              <w:rPr>
                <w:rFonts w:hint="eastAsia" w:ascii="宋体" w:hAnsi="宋体" w:eastAsia="宋体" w:cs="宋体"/>
                <w:bCs/>
                <w:color w:val="auto"/>
                <w:szCs w:val="21"/>
                <w:lang w:val="en-US" w:eastAsia="zh-CN"/>
              </w:rPr>
            </w:pPr>
            <w:r>
              <w:rPr>
                <w:rFonts w:hint="eastAsia" w:ascii="宋体" w:hAnsi="宋体" w:cs="宋体"/>
                <w:bCs/>
                <w:color w:val="auto"/>
                <w:szCs w:val="21"/>
                <w:lang w:val="en-US" w:eastAsia="zh-CN"/>
              </w:rPr>
              <w:t>4</w:t>
            </w:r>
          </w:p>
        </w:tc>
        <w:tc>
          <w:tcPr>
            <w:tcW w:w="1447" w:type="dxa"/>
            <w:vAlign w:val="top"/>
          </w:tcPr>
          <w:p>
            <w:pPr>
              <w:spacing w:line="520" w:lineRule="atLeast"/>
              <w:jc w:val="center"/>
              <w:rPr>
                <w:rFonts w:hint="eastAsia" w:ascii="宋体" w:hAnsi="宋体" w:cs="宋体"/>
                <w:bCs/>
                <w:color w:val="auto"/>
                <w:szCs w:val="21"/>
              </w:rPr>
            </w:pPr>
            <w:r>
              <w:rPr>
                <w:rFonts w:hint="eastAsia" w:ascii="宋体" w:hAnsi="宋体" w:cs="宋体"/>
                <w:bCs/>
                <w:color w:val="auto"/>
                <w:szCs w:val="21"/>
              </w:rPr>
              <w:t>瑞丽市翡翠幼儿园</w:t>
            </w:r>
          </w:p>
        </w:tc>
        <w:tc>
          <w:tcPr>
            <w:tcW w:w="2126" w:type="dxa"/>
            <w:vAlign w:val="top"/>
          </w:tcPr>
          <w:p>
            <w:pPr>
              <w:spacing w:line="520" w:lineRule="atLeast"/>
              <w:jc w:val="center"/>
              <w:rPr>
                <w:rFonts w:hint="eastAsia" w:ascii="宋体" w:hAnsi="宋体" w:cs="宋体"/>
                <w:bCs/>
                <w:color w:val="auto"/>
                <w:szCs w:val="21"/>
              </w:rPr>
            </w:pPr>
            <w:r>
              <w:rPr>
                <w:rFonts w:hint="eastAsia" w:ascii="宋体" w:hAnsi="宋体" w:cs="宋体"/>
                <w:bCs/>
                <w:color w:val="auto"/>
                <w:szCs w:val="21"/>
              </w:rPr>
              <w:t>提供学前教育专业学生见习实习机会</w:t>
            </w:r>
          </w:p>
        </w:tc>
        <w:tc>
          <w:tcPr>
            <w:tcW w:w="1134" w:type="dxa"/>
            <w:vAlign w:val="top"/>
          </w:tcPr>
          <w:p>
            <w:pPr>
              <w:spacing w:line="520" w:lineRule="atLeast"/>
              <w:jc w:val="center"/>
              <w:rPr>
                <w:rFonts w:ascii="宋体" w:hAnsi="宋体" w:cs="宋体"/>
                <w:bCs/>
                <w:color w:val="auto"/>
                <w:szCs w:val="21"/>
              </w:rPr>
            </w:pPr>
            <w:r>
              <w:rPr>
                <w:rFonts w:hint="eastAsia" w:ascii="宋体" w:hAnsi="宋体" w:cs="宋体"/>
                <w:bCs/>
                <w:color w:val="auto"/>
                <w:szCs w:val="21"/>
              </w:rPr>
              <w:t>教师</w:t>
            </w:r>
          </w:p>
          <w:p>
            <w:pPr>
              <w:spacing w:line="520" w:lineRule="atLeast"/>
              <w:jc w:val="center"/>
              <w:rPr>
                <w:rFonts w:hint="eastAsia" w:ascii="宋体" w:hAnsi="宋体" w:cs="宋体"/>
                <w:bCs/>
                <w:color w:val="auto"/>
                <w:szCs w:val="21"/>
              </w:rPr>
            </w:pPr>
            <w:r>
              <w:rPr>
                <w:rFonts w:hint="eastAsia" w:ascii="宋体" w:hAnsi="宋体" w:cs="宋体"/>
                <w:bCs/>
                <w:color w:val="auto"/>
                <w:szCs w:val="21"/>
              </w:rPr>
              <w:t>保育员</w:t>
            </w:r>
          </w:p>
        </w:tc>
        <w:tc>
          <w:tcPr>
            <w:tcW w:w="2552" w:type="dxa"/>
            <w:vAlign w:val="top"/>
          </w:tcPr>
          <w:p>
            <w:pPr>
              <w:spacing w:line="520" w:lineRule="atLeast"/>
              <w:jc w:val="center"/>
              <w:rPr>
                <w:rFonts w:hint="eastAsia" w:ascii="宋体" w:hAnsi="宋体" w:cs="宋体"/>
                <w:bCs/>
                <w:color w:val="auto"/>
                <w:szCs w:val="21"/>
              </w:rPr>
            </w:pPr>
            <w:r>
              <w:rPr>
                <w:rFonts w:hint="eastAsia" w:ascii="宋体" w:hAnsi="宋体" w:cs="宋体"/>
                <w:bCs/>
                <w:color w:val="auto"/>
                <w:szCs w:val="21"/>
              </w:rPr>
              <w:t>保育员知识与技能、学前儿童五大领域教育教学</w:t>
            </w:r>
          </w:p>
        </w:tc>
        <w:tc>
          <w:tcPr>
            <w:tcW w:w="691" w:type="dxa"/>
            <w:vAlign w:val="top"/>
          </w:tcPr>
          <w:p>
            <w:pPr>
              <w:spacing w:line="520" w:lineRule="atLeast"/>
              <w:jc w:val="center"/>
              <w:rPr>
                <w:rFonts w:ascii="宋体" w:hAnsi="宋体" w:cs="宋体"/>
                <w:bCs/>
                <w:color w:val="auto"/>
                <w:szCs w:val="21"/>
              </w:rPr>
            </w:pPr>
            <w:r>
              <w:rPr>
                <w:rFonts w:hint="eastAsia" w:ascii="宋体" w:hAnsi="宋体" w:cs="宋体"/>
                <w:bCs/>
                <w:color w:val="auto"/>
                <w:szCs w:val="21"/>
                <w:lang w:val="en-US" w:eastAsia="zh-CN"/>
              </w:rPr>
              <w:t>5</w:t>
            </w:r>
            <w:r>
              <w:rPr>
                <w:rFonts w:ascii="宋体" w:hAnsi="宋体" w:cs="宋体"/>
                <w:bCs/>
                <w:color w:val="auto"/>
                <w:szCs w:val="21"/>
              </w:rPr>
              <w:t>0</w:t>
            </w:r>
            <w:r>
              <w:rPr>
                <w:rFonts w:hint="eastAsia" w:ascii="宋体" w:hAnsi="宋体" w:cs="宋体"/>
                <w:bCs/>
                <w:color w:val="auto"/>
                <w:szCs w:val="21"/>
              </w:rPr>
              <w:t>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630" w:type="dxa"/>
            <w:vAlign w:val="top"/>
          </w:tcPr>
          <w:p>
            <w:pPr>
              <w:spacing w:line="520" w:lineRule="atLeast"/>
              <w:jc w:val="center"/>
              <w:rPr>
                <w:rFonts w:hint="eastAsia" w:ascii="宋体" w:hAnsi="宋体" w:eastAsia="宋体" w:cs="宋体"/>
                <w:bCs/>
                <w:color w:val="auto"/>
                <w:szCs w:val="21"/>
                <w:lang w:val="en-US" w:eastAsia="zh-CN"/>
              </w:rPr>
            </w:pPr>
            <w:r>
              <w:rPr>
                <w:rFonts w:hint="eastAsia" w:ascii="宋体" w:hAnsi="宋体" w:cs="宋体"/>
                <w:bCs/>
                <w:color w:val="auto"/>
                <w:szCs w:val="21"/>
                <w:lang w:val="en-US" w:eastAsia="zh-CN"/>
              </w:rPr>
              <w:t>5</w:t>
            </w:r>
          </w:p>
        </w:tc>
        <w:tc>
          <w:tcPr>
            <w:tcW w:w="1447" w:type="dxa"/>
            <w:vAlign w:val="top"/>
          </w:tcPr>
          <w:p>
            <w:pPr>
              <w:spacing w:line="520" w:lineRule="atLeast"/>
              <w:jc w:val="center"/>
              <w:rPr>
                <w:rFonts w:hint="eastAsia" w:ascii="宋体" w:hAnsi="宋体" w:cs="宋体"/>
                <w:bCs/>
                <w:color w:val="auto"/>
                <w:szCs w:val="21"/>
              </w:rPr>
            </w:pPr>
            <w:r>
              <w:rPr>
                <w:rFonts w:hint="eastAsia" w:ascii="宋体" w:hAnsi="宋体" w:cs="宋体"/>
                <w:bCs/>
                <w:color w:val="auto"/>
                <w:szCs w:val="21"/>
              </w:rPr>
              <w:t>瑞丽市</w:t>
            </w:r>
            <w:r>
              <w:rPr>
                <w:rFonts w:hint="eastAsia" w:ascii="宋体" w:hAnsi="宋体" w:cs="宋体"/>
                <w:bCs/>
                <w:color w:val="auto"/>
                <w:szCs w:val="21"/>
                <w:lang w:eastAsia="zh-CN"/>
              </w:rPr>
              <w:t>尚好</w:t>
            </w:r>
            <w:r>
              <w:rPr>
                <w:rFonts w:hint="eastAsia" w:ascii="宋体" w:hAnsi="宋体" w:cs="宋体"/>
                <w:bCs/>
                <w:color w:val="auto"/>
                <w:szCs w:val="21"/>
              </w:rPr>
              <w:t>幼儿园</w:t>
            </w:r>
          </w:p>
        </w:tc>
        <w:tc>
          <w:tcPr>
            <w:tcW w:w="2126" w:type="dxa"/>
            <w:vAlign w:val="top"/>
          </w:tcPr>
          <w:p>
            <w:pPr>
              <w:spacing w:line="520" w:lineRule="atLeast"/>
              <w:jc w:val="center"/>
              <w:rPr>
                <w:rFonts w:hint="eastAsia" w:ascii="宋体" w:hAnsi="宋体" w:cs="宋体"/>
                <w:bCs/>
                <w:color w:val="auto"/>
                <w:szCs w:val="21"/>
              </w:rPr>
            </w:pPr>
            <w:r>
              <w:rPr>
                <w:rFonts w:hint="eastAsia" w:ascii="宋体" w:hAnsi="宋体" w:cs="宋体"/>
                <w:bCs/>
                <w:color w:val="auto"/>
                <w:szCs w:val="21"/>
              </w:rPr>
              <w:t>提供学前教育专业学生见习实习机会</w:t>
            </w:r>
          </w:p>
        </w:tc>
        <w:tc>
          <w:tcPr>
            <w:tcW w:w="1134" w:type="dxa"/>
            <w:vAlign w:val="top"/>
          </w:tcPr>
          <w:p>
            <w:pPr>
              <w:spacing w:line="520" w:lineRule="atLeast"/>
              <w:jc w:val="center"/>
              <w:rPr>
                <w:rFonts w:ascii="宋体" w:hAnsi="宋体" w:cs="宋体"/>
                <w:bCs/>
                <w:color w:val="auto"/>
                <w:szCs w:val="21"/>
              </w:rPr>
            </w:pPr>
            <w:r>
              <w:rPr>
                <w:rFonts w:hint="eastAsia" w:ascii="宋体" w:hAnsi="宋体" w:cs="宋体"/>
                <w:bCs/>
                <w:color w:val="auto"/>
                <w:szCs w:val="21"/>
              </w:rPr>
              <w:t>教师</w:t>
            </w:r>
          </w:p>
          <w:p>
            <w:pPr>
              <w:spacing w:line="520" w:lineRule="atLeast"/>
              <w:jc w:val="center"/>
              <w:rPr>
                <w:rFonts w:hint="eastAsia" w:ascii="宋体" w:hAnsi="宋体" w:cs="宋体"/>
                <w:bCs/>
                <w:color w:val="auto"/>
                <w:szCs w:val="21"/>
              </w:rPr>
            </w:pPr>
            <w:r>
              <w:rPr>
                <w:rFonts w:hint="eastAsia" w:ascii="宋体" w:hAnsi="宋体" w:cs="宋体"/>
                <w:bCs/>
                <w:color w:val="auto"/>
                <w:szCs w:val="21"/>
              </w:rPr>
              <w:t>保育员</w:t>
            </w:r>
          </w:p>
        </w:tc>
        <w:tc>
          <w:tcPr>
            <w:tcW w:w="2552" w:type="dxa"/>
            <w:vAlign w:val="top"/>
          </w:tcPr>
          <w:p>
            <w:pPr>
              <w:spacing w:line="520" w:lineRule="atLeast"/>
              <w:jc w:val="center"/>
              <w:rPr>
                <w:rFonts w:hint="eastAsia" w:ascii="宋体" w:hAnsi="宋体" w:cs="宋体"/>
                <w:bCs/>
                <w:color w:val="auto"/>
                <w:szCs w:val="21"/>
              </w:rPr>
            </w:pPr>
            <w:r>
              <w:rPr>
                <w:rFonts w:hint="eastAsia" w:ascii="宋体" w:hAnsi="宋体" w:cs="宋体"/>
                <w:bCs/>
                <w:color w:val="auto"/>
                <w:szCs w:val="21"/>
              </w:rPr>
              <w:t>保育员知识与技能、学前儿童五大领域教育教学</w:t>
            </w:r>
          </w:p>
        </w:tc>
        <w:tc>
          <w:tcPr>
            <w:tcW w:w="691" w:type="dxa"/>
            <w:vAlign w:val="top"/>
          </w:tcPr>
          <w:p>
            <w:pPr>
              <w:spacing w:line="520" w:lineRule="atLeast"/>
              <w:jc w:val="center"/>
              <w:rPr>
                <w:rFonts w:ascii="宋体" w:hAnsi="宋体" w:cs="宋体"/>
                <w:bCs/>
                <w:color w:val="auto"/>
                <w:szCs w:val="21"/>
              </w:rPr>
            </w:pPr>
            <w:r>
              <w:rPr>
                <w:rFonts w:hint="eastAsia" w:ascii="宋体" w:hAnsi="宋体" w:cs="宋体"/>
                <w:bCs/>
                <w:color w:val="auto"/>
                <w:szCs w:val="21"/>
                <w:lang w:val="en-US" w:eastAsia="zh-CN"/>
              </w:rPr>
              <w:t>5</w:t>
            </w:r>
            <w:r>
              <w:rPr>
                <w:rFonts w:ascii="宋体" w:hAnsi="宋体" w:cs="宋体"/>
                <w:bCs/>
                <w:color w:val="auto"/>
                <w:szCs w:val="21"/>
              </w:rPr>
              <w:t>0</w:t>
            </w:r>
            <w:r>
              <w:rPr>
                <w:rFonts w:hint="eastAsia" w:ascii="宋体" w:hAnsi="宋体" w:cs="宋体"/>
                <w:bCs/>
                <w:color w:val="auto"/>
                <w:szCs w:val="21"/>
              </w:rPr>
              <w:t>人</w:t>
            </w:r>
          </w:p>
        </w:tc>
      </w:tr>
    </w:tbl>
    <w:p>
      <w:pPr>
        <w:pageBreakBefore w:val="0"/>
        <w:kinsoku/>
        <w:wordWrap/>
        <w:overflowPunct w:val="0"/>
        <w:topLinePunct w:val="0"/>
        <w:bidi w:val="0"/>
        <w:spacing w:line="360" w:lineRule="auto"/>
        <w:ind w:firstLine="280" w:firstLineChars="100"/>
        <w:textAlignment w:val="auto"/>
        <w:rPr>
          <w:rFonts w:hint="eastAsia" w:ascii="Calibri" w:hAnsi="Calibri" w:eastAsia="方正仿宋简体" w:cs="Times New Roman"/>
          <w:sz w:val="28"/>
          <w:szCs w:val="22"/>
          <w:lang w:eastAsia="zh-CN"/>
        </w:rPr>
      </w:pPr>
      <w:r>
        <w:rPr>
          <w:rFonts w:hint="eastAsia" w:ascii="Calibri" w:hAnsi="Calibri" w:eastAsia="方正仿宋简体" w:cs="Times New Roman"/>
          <w:sz w:val="28"/>
          <w:szCs w:val="22"/>
          <w:lang w:eastAsia="zh-CN"/>
        </w:rPr>
        <w:t>（</w:t>
      </w:r>
      <w:r>
        <w:rPr>
          <w:rFonts w:hint="eastAsia" w:eastAsia="方正仿宋简体" w:cs="Times New Roman"/>
          <w:sz w:val="28"/>
          <w:szCs w:val="22"/>
          <w:lang w:val="en-US" w:eastAsia="zh-CN"/>
        </w:rPr>
        <w:t>九</w:t>
      </w:r>
      <w:r>
        <w:rPr>
          <w:rFonts w:hint="eastAsia" w:ascii="Calibri" w:hAnsi="Calibri" w:eastAsia="方正仿宋简体" w:cs="Times New Roman"/>
          <w:sz w:val="28"/>
          <w:szCs w:val="22"/>
          <w:lang w:eastAsia="zh-CN"/>
        </w:rPr>
        <w:t>）就业方向</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eastAsia="方正仿宋简体" w:cs="Times New Roman"/>
          <w:sz w:val="24"/>
          <w:szCs w:val="21"/>
          <w:lang w:eastAsia="zh-CN"/>
        </w:rPr>
        <w:t>婴幼儿托育服务与管理专业</w:t>
      </w:r>
      <w:r>
        <w:rPr>
          <w:rFonts w:hint="eastAsia" w:ascii="Calibri" w:hAnsi="Calibri" w:eastAsia="方正仿宋简体" w:cs="Times New Roman"/>
          <w:sz w:val="24"/>
          <w:szCs w:val="21"/>
          <w:lang w:eastAsia="zh-CN"/>
        </w:rPr>
        <w:t>的毕业生主要面向幼儿园、托幼机构、早教机构、妇幼保健机构、艺术培训机构、儿童运动与游乐中心、幼儿健康管理机构及儿童慈善机构，从事幼儿保育保健、早教指导、健康管理、综合事务管理等教育、服务与管理工作。</w:t>
      </w:r>
    </w:p>
    <w:p>
      <w:pPr>
        <w:pageBreakBefore w:val="0"/>
        <w:kinsoku/>
        <w:wordWrap/>
        <w:overflowPunct w:val="0"/>
        <w:topLinePunct w:val="0"/>
        <w:bidi w:val="0"/>
        <w:spacing w:line="360" w:lineRule="auto"/>
        <w:ind w:firstLine="280" w:firstLineChars="100"/>
        <w:textAlignment w:val="auto"/>
        <w:rPr>
          <w:rFonts w:hint="eastAsia" w:ascii="Calibri" w:hAnsi="Calibri" w:eastAsia="方正仿宋简体" w:cs="Times New Roman"/>
          <w:sz w:val="28"/>
          <w:szCs w:val="22"/>
          <w:lang w:val="en-US" w:eastAsia="zh-CN"/>
        </w:rPr>
      </w:pPr>
      <w:r>
        <w:rPr>
          <w:rFonts w:hint="eastAsia" w:ascii="Calibri" w:hAnsi="Calibri" w:eastAsia="方正仿宋简体" w:cs="Times New Roman"/>
          <w:sz w:val="28"/>
          <w:szCs w:val="22"/>
          <w:lang w:val="en-US" w:eastAsia="zh-CN"/>
        </w:rPr>
        <w:t>十、质量保障</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（一）建立教学评价机制</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1.学生学习质量评价</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（1）</w:t>
      </w:r>
      <w:r>
        <w:rPr>
          <w:rFonts w:hint="eastAsia" w:ascii="Calibri" w:hAnsi="Calibri" w:eastAsia="方正仿宋简体" w:cs="Times New Roman"/>
          <w:sz w:val="24"/>
          <w:szCs w:val="21"/>
          <w:lang w:eastAsia="zh-CN"/>
        </w:rPr>
        <w:t>评价维度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根据课程标准，对学生学习的评价应从基础知识与基本技能、过程方法以及情感态度三个维度展开。</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1</w:t>
      </w:r>
      <w:r>
        <w:rPr>
          <w:rFonts w:hint="eastAsia" w:ascii="Calibri" w:hAnsi="Calibri" w:eastAsia="方正仿宋简体" w:cs="Times New Roman"/>
          <w:sz w:val="24"/>
          <w:szCs w:val="21"/>
          <w:lang w:eastAsia="zh-CN"/>
        </w:rPr>
        <w:t>）对基础知识和基本技能的评价</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对学科领域的基础知识和基本技能进行评价，这是评价中的基础部分。在理论知识层面，教师注重学生对知识的理解与掌握。在实践技能层面，注重学生的动手能力，让学生在动手实践中掌握专业技能。</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2</w:t>
      </w:r>
      <w:r>
        <w:rPr>
          <w:rFonts w:hint="eastAsia" w:ascii="Calibri" w:hAnsi="Calibri" w:eastAsia="方正仿宋简体" w:cs="Times New Roman"/>
          <w:sz w:val="24"/>
          <w:szCs w:val="21"/>
          <w:lang w:eastAsia="zh-CN"/>
        </w:rPr>
        <w:t>）对过程方法的评价</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对过程方法的评价要求教师帮助学生能在解决问题中进行简单的有条理的思考，运用生活经验对有关的问题做出解释等。应重视了解学生思考的过程，可以让学生在解决问题时，说一说他的思考过程。</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3）</w:t>
      </w:r>
      <w:r>
        <w:rPr>
          <w:rFonts w:hint="eastAsia" w:ascii="Calibri" w:hAnsi="Calibri" w:eastAsia="方正仿宋简体" w:cs="Times New Roman"/>
          <w:sz w:val="24"/>
          <w:szCs w:val="21"/>
          <w:lang w:eastAsia="zh-CN"/>
        </w:rPr>
        <w:t>对情感态度的评价</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情感态度的评价主要方式有课堂观察、活动记录、课后访谈等。 情感态度评价主要在平时教学过程中进行，在教学中，不应用 “ 人为 ” 编造毫无实际价值的复杂的问题，来考验学生的毅力，而要多结合具体情境，让学生感受到数学的有用、有趣，并且用一些具有挑战性、探索性的问题，增强学生学习的信心和兴趣。</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（2）</w:t>
      </w:r>
      <w:r>
        <w:rPr>
          <w:rFonts w:hint="eastAsia" w:ascii="Calibri" w:hAnsi="Calibri" w:eastAsia="方正仿宋简体" w:cs="Times New Roman"/>
          <w:sz w:val="24"/>
          <w:szCs w:val="21"/>
          <w:lang w:eastAsia="zh-CN"/>
        </w:rPr>
        <w:t>具体的评价方法</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评价最重要的意图是为了改进。而改进的前提是对学生进行全面、深入、真实的观察，从而需要通过多渠道、采取多种评价方式来获取学生的信息。在评价方法上，我们比较熟悉纸笔测试，但纸笔测试并不能很好地评价学生学习的过程与情感，所以在传统纸笔测试基础上，我们还要注意采取其它多样化的评价方式。说说常用的评价方法。</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1</w:t>
      </w:r>
      <w:r>
        <w:rPr>
          <w:rFonts w:hint="eastAsia" w:ascii="Calibri" w:hAnsi="Calibri" w:eastAsia="方正仿宋简体" w:cs="Times New Roman"/>
          <w:sz w:val="24"/>
          <w:szCs w:val="21"/>
          <w:lang w:eastAsia="zh-CN"/>
        </w:rPr>
        <w:t>）课堂观察</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由于课堂观察的主观性较强，记录的水平与观察者个人的经验、描述能力和理论水平有很大关系，因此不同的观察者对同一学习现象的观察很难达到较高的一致性，但它有利于教师获取书面、口头测验中不易获得的东西，例如：学生的学习态度、独立思考的习惯，合作交流的意识，倾听和表达的能力等方面。</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2</w:t>
      </w:r>
      <w:r>
        <w:rPr>
          <w:rFonts w:hint="eastAsia" w:ascii="Calibri" w:hAnsi="Calibri" w:eastAsia="方正仿宋简体" w:cs="Times New Roman"/>
          <w:sz w:val="24"/>
          <w:szCs w:val="21"/>
          <w:lang w:eastAsia="zh-CN"/>
        </w:rPr>
        <w:t>）课外作业</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作业评价，是教学流程的一个重要环节，是学生学习数学、发展思维的一项经常性的实践活动，也是师生信息交流的一个窗口。常见的批改作业方式有一、全批全改；二、抽查；三、个别的面批和面改。通过课外作业对学生的学习能力、学习态度、参与程度和合作精神等做出过程性的评价，能使学生在学习过程中不断得到激励，产生自信心和成就感，从而转化成继续进步的动力。</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3</w:t>
      </w:r>
      <w:r>
        <w:rPr>
          <w:rFonts w:hint="eastAsia" w:ascii="Calibri" w:hAnsi="Calibri" w:eastAsia="方正仿宋简体" w:cs="Times New Roman"/>
          <w:sz w:val="24"/>
          <w:szCs w:val="21"/>
          <w:lang w:eastAsia="zh-CN"/>
        </w:rPr>
        <w:t>）期中、期末考试（考查）</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每个学期对各科进行期中、期末考试或考查。针对专业理论较强的科目以书面的形式进行期中、期末的考试；针对实践性较强的科目，如手工、舞蹈等，进行期中、期末考查。通过两次考试（考查），系统地掌握测试的学习效果。严格把关期中、期末考试（考查），有效促进学生的学习积极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2.教师教学质量评价</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教学是趋向目标的定向活动。为了实现特定的目标，教师需要根据教材内容的特点和学生的实际情况，选择和应用一定的教学方法和手段，以保证实现自己的预期。</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1）</w:t>
      </w:r>
      <w:r>
        <w:rPr>
          <w:rFonts w:hint="eastAsia" w:ascii="Calibri" w:hAnsi="Calibri" w:eastAsia="方正仿宋简体" w:cs="Times New Roman"/>
          <w:sz w:val="24"/>
          <w:szCs w:val="21"/>
          <w:lang w:eastAsia="zh-CN"/>
        </w:rPr>
        <w:t>互动方式应具有多变性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教学方法不局限于传统的单项活动论和双向活动论，强调教学是一种多边活动，提倡师生、生生、师师之间的多边互动，倡导教师与学生、学生与学生进行全面的、广泛的社会互动。这种新走势对于充分开发与利用教学系统中的人力资源，减轻师生的负担，提高学生的积极性与参与度，增强教学效果，达成教学目标，无疑有着积极意义。</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2）学习情境应具有合作性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教学方法强调教学中各动态因素之间密切合作的重要性。这种合作不仅是为了集思广益，相互切磋，提高学业成绩，也是为了培养学生的合作意识与行为，形成良好的非认知品质，从而顺应教育社会化的需求，培养现代社会所需要的人才。合作学习以小组合作活动为主要教学形式，不仅强调生生、师生合作，而且要求教师与教师就所授课题进行合作设计，从而显示了令人瞩目的实效。</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3）价值取向应具有个体性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教学方法因材施教，注意增加个性学习参与度，注意发挥学生的潜能。一方面，个性活动已成为许多教学方法的重要组成部分；另一方面，现代教学技术手段的发展为教学方法提供了一个新的发展空间，师生相互作用的条件趋于多元化，是学生在知识、能力、兴趣、特长和个性品质等方面的适应发展成为可能。</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4）目标达成应具有全面性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 xml:space="preserve">教学方法应重视知识与技能，过程与方法，情感态度与价值观等各种目标的协同达成，强调知、情、意、行的有机统一。教学方法追求为全面实现教学目标要让教学方法充分发挥其多方面的功能，更具有包容性和科学性。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5）选择使用应具有综合性</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eastAsia="zh-CN"/>
        </w:rPr>
        <w:t>教学方法注重多法结合，互配使用，以期达到最优化的教学效果。提倡多方法的综合使用，一种方法的优点可能恰恰是另一种方法的不足所在。反之亦然。倘若能利用各种方法之间的这种互补性，并将具有互补性的方法互配使用，一定能取得好的效果。</w:t>
      </w:r>
    </w:p>
    <w:p>
      <w:pPr>
        <w:pageBreakBefore w:val="0"/>
        <w:kinsoku/>
        <w:wordWrap/>
        <w:overflowPunct w:val="0"/>
        <w:topLinePunct w:val="0"/>
        <w:bidi w:val="0"/>
        <w:spacing w:line="360" w:lineRule="auto"/>
        <w:ind w:firstLine="560" w:firstLineChars="200"/>
        <w:textAlignment w:val="auto"/>
        <w:rPr>
          <w:rFonts w:hint="eastAsia" w:ascii="Calibri" w:hAnsi="Calibri" w:eastAsia="方正仿宋简体" w:cs="Times New Roman"/>
          <w:sz w:val="28"/>
          <w:szCs w:val="28"/>
          <w:lang w:val="en-US" w:eastAsia="zh-CN"/>
        </w:rPr>
      </w:pPr>
      <w:r>
        <w:rPr>
          <w:rFonts w:hint="eastAsia" w:ascii="Calibri" w:hAnsi="Calibri" w:eastAsia="方正仿宋简体" w:cs="Times New Roman"/>
          <w:sz w:val="28"/>
          <w:szCs w:val="28"/>
          <w:lang w:val="en-US" w:eastAsia="zh-CN"/>
        </w:rPr>
        <w:t>（二）人才培养质量管理机制</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 xml:space="preserve"> </w:t>
      </w:r>
      <w:r>
        <w:rPr>
          <w:rFonts w:hint="eastAsia" w:ascii="Calibri" w:hAnsi="Calibri" w:eastAsia="方正仿宋简体" w:cs="Times New Roman"/>
          <w:sz w:val="24"/>
          <w:szCs w:val="21"/>
          <w:lang w:eastAsia="zh-CN"/>
        </w:rPr>
        <w:t xml:space="preserve"> </w:t>
      </w:r>
      <w:r>
        <w:rPr>
          <w:rFonts w:hint="eastAsia" w:ascii="Calibri" w:hAnsi="Calibri" w:eastAsia="方正仿宋简体" w:cs="Times New Roman"/>
          <w:sz w:val="24"/>
          <w:szCs w:val="21"/>
          <w:lang w:val="en-US" w:eastAsia="zh-CN"/>
        </w:rPr>
        <w:t>1.</w:t>
      </w:r>
      <w:r>
        <w:rPr>
          <w:rFonts w:hint="eastAsia" w:ascii="Calibri" w:hAnsi="Calibri" w:eastAsia="方正仿宋简体" w:cs="Times New Roman"/>
          <w:sz w:val="24"/>
          <w:szCs w:val="21"/>
          <w:lang w:eastAsia="zh-CN"/>
        </w:rPr>
        <w:t xml:space="preserve">加强人才培养质量的规范管理，明确人才培养质量的责任机制，保证人才培养质量逐年提高。每学年制定规划、提出措施，及时解决人才培养质量中遇到的各种问题，制订详细的人才培养规划。并把人才培养质量设列入年度工作计划，定期检查，落到实处，对教师实行目标考核，建立奖罚激励机制。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2.</w:t>
      </w:r>
      <w:r>
        <w:rPr>
          <w:rFonts w:hint="eastAsia" w:ascii="Calibri" w:hAnsi="Calibri" w:eastAsia="方正仿宋简体" w:cs="Times New Roman"/>
          <w:sz w:val="24"/>
          <w:szCs w:val="21"/>
          <w:lang w:eastAsia="zh-CN"/>
        </w:rPr>
        <w:t xml:space="preserve">加强人才培养质量的经费投入力度，侧重在图书资料、实验室建设、师资培养三个方面加大投入。对待人才培养质量管理，按规划的时间表，预留专项经费，保证人才培养质量。同时加强人才培养质量经费的管理，确保经费切实用于人才培养质量管理。 </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3.</w:t>
      </w:r>
      <w:r>
        <w:rPr>
          <w:rFonts w:hint="eastAsia" w:ascii="Calibri" w:hAnsi="Calibri" w:eastAsia="方正仿宋简体" w:cs="Times New Roman"/>
          <w:sz w:val="24"/>
          <w:szCs w:val="21"/>
          <w:lang w:eastAsia="zh-CN"/>
        </w:rPr>
        <w:t xml:space="preserve">强化教学管理。加强教学管理队伍建设，强化服务意识，提高管理水平，适时修订和完善教学管理的规章制度。加强教风、学风建设，积极推进教学建设与改革。 </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4.</w:t>
      </w:r>
      <w:r>
        <w:rPr>
          <w:rFonts w:hint="eastAsia" w:ascii="Calibri" w:hAnsi="Calibri" w:eastAsia="方正仿宋简体" w:cs="Times New Roman"/>
          <w:sz w:val="24"/>
          <w:szCs w:val="21"/>
          <w:lang w:eastAsia="zh-CN"/>
        </w:rPr>
        <w:t>坚持开展专业人才培养质量评估工作。完善经常性专业评估制度和校级重点专业评审制度，树立和强化专业办学质量与水平的有生劣汰意识，建立和健全办学质量自我约束、自我监控机制，促进专业建设良性循环，良性发展。</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十</w:t>
      </w:r>
      <w:r>
        <w:rPr>
          <w:rFonts w:hint="eastAsia" w:ascii="Calibri" w:hAnsi="Calibri" w:eastAsia="方正仿宋简体" w:cs="Times New Roman"/>
          <w:sz w:val="24"/>
          <w:szCs w:val="21"/>
          <w:lang w:val="en-US" w:eastAsia="zh-CN"/>
        </w:rPr>
        <w:t>一</w:t>
      </w:r>
      <w:r>
        <w:rPr>
          <w:rFonts w:hint="eastAsia" w:ascii="Calibri" w:hAnsi="Calibri" w:eastAsia="方正仿宋简体" w:cs="Times New Roman"/>
          <w:sz w:val="24"/>
          <w:szCs w:val="21"/>
          <w:lang w:eastAsia="zh-CN"/>
        </w:rPr>
        <w:t>、成绩考核及毕业条件</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（一）考核方式</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采取考试、考查、实际操作、撰写调查报告、毕业实习报告相结合</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（二）毕业条件</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针对鼓励学校积极参与实施1+X证书制度试点，将职业技能等级标准有关内容及要求有机融入专业课程教学，优化专业人才培养方案的指导方针。制定了毕业标准，学生在完成我院既定学分、素质拓展学分，充分满足军训、顶岗实习、毕业论文等条件的同时，还必须达到如下十项之中的三项：</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eastAsia="zh-CN"/>
        </w:rPr>
        <w:t>1.幼儿园教师资格证；</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2.</w:t>
      </w:r>
      <w:r>
        <w:rPr>
          <w:rFonts w:hint="eastAsia" w:ascii="Calibri" w:hAnsi="Calibri" w:eastAsia="方正仿宋简体" w:cs="Times New Roman"/>
          <w:sz w:val="24"/>
          <w:szCs w:val="21"/>
          <w:lang w:eastAsia="zh-CN"/>
        </w:rPr>
        <w:t>普通话等级证书（二乙以上）；</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3</w:t>
      </w:r>
      <w:r>
        <w:rPr>
          <w:rFonts w:hint="eastAsia" w:ascii="Calibri" w:hAnsi="Calibri" w:eastAsia="方正仿宋简体" w:cs="Times New Roman"/>
          <w:sz w:val="24"/>
          <w:szCs w:val="21"/>
          <w:lang w:eastAsia="zh-CN"/>
        </w:rPr>
        <w:t>.保育员资格证书；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4</w:t>
      </w:r>
      <w:r>
        <w:rPr>
          <w:rFonts w:hint="eastAsia" w:ascii="Calibri" w:hAnsi="Calibri" w:eastAsia="方正仿宋简体" w:cs="Times New Roman"/>
          <w:sz w:val="24"/>
          <w:szCs w:val="21"/>
          <w:lang w:eastAsia="zh-CN"/>
        </w:rPr>
        <w:t>.育婴师资格证书；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5.营养师资格证书；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6.幼儿照护资格证书；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7.舞蹈等级考试资格证书；</w:t>
      </w:r>
    </w:p>
    <w:p>
      <w:pPr>
        <w:pageBreakBefore w:val="0"/>
        <w:kinsoku/>
        <w:wordWrap/>
        <w:overflowPunct w:val="0"/>
        <w:topLinePunct w:val="0"/>
        <w:bidi w:val="0"/>
        <w:spacing w:line="360" w:lineRule="auto"/>
        <w:ind w:firstLine="480" w:firstLineChars="200"/>
        <w:textAlignment w:val="auto"/>
        <w:rPr>
          <w:rFonts w:hint="default" w:ascii="Calibri" w:hAnsi="Calibri" w:eastAsia="方正仿宋简体" w:cs="Times New Roman"/>
          <w:sz w:val="24"/>
          <w:szCs w:val="21"/>
          <w:lang w:val="en-US" w:eastAsia="zh-CN"/>
        </w:rPr>
      </w:pPr>
      <w:r>
        <w:rPr>
          <w:rFonts w:hint="eastAsia" w:ascii="Calibri" w:hAnsi="Calibri" w:eastAsia="方正仿宋简体" w:cs="Times New Roman"/>
          <w:sz w:val="24"/>
          <w:szCs w:val="21"/>
          <w:lang w:val="en-US" w:eastAsia="zh-CN"/>
        </w:rPr>
        <w:t>8.乐器等级考试资格证书；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r>
        <w:rPr>
          <w:rFonts w:hint="eastAsia" w:ascii="Calibri" w:hAnsi="Calibri" w:eastAsia="方正仿宋简体" w:cs="Times New Roman"/>
          <w:sz w:val="24"/>
          <w:szCs w:val="21"/>
          <w:lang w:val="en-US" w:eastAsia="zh-CN"/>
        </w:rPr>
        <w:t>9.</w:t>
      </w:r>
      <w:r>
        <w:rPr>
          <w:rFonts w:hint="eastAsia" w:ascii="Calibri" w:hAnsi="Calibri" w:eastAsia="方正仿宋简体" w:cs="Times New Roman"/>
          <w:sz w:val="24"/>
          <w:szCs w:val="21"/>
          <w:lang w:eastAsia="zh-CN"/>
        </w:rPr>
        <w:t>公共英语考试A级；</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Calibri" w:hAnsi="Calibri" w:eastAsia="方正仿宋简体" w:cs="Times New Roman"/>
          <w:sz w:val="24"/>
          <w:szCs w:val="21"/>
          <w:lang w:val="en-US" w:eastAsia="zh-CN"/>
        </w:rPr>
        <w:t>10</w:t>
      </w:r>
      <w:r>
        <w:rPr>
          <w:rFonts w:hint="eastAsia" w:ascii="Calibri" w:hAnsi="Calibri" w:eastAsia="方正仿宋简体" w:cs="Times New Roman"/>
          <w:sz w:val="24"/>
          <w:szCs w:val="21"/>
          <w:lang w:eastAsia="zh-CN"/>
        </w:rPr>
        <w:t>.计算机等级证书</w:t>
      </w:r>
    </w:p>
    <w:p>
      <w:pPr>
        <w:pageBreakBefore w:val="0"/>
        <w:kinsoku/>
        <w:wordWrap/>
        <w:overflowPunct w:val="0"/>
        <w:topLinePunct w:val="0"/>
        <w:bidi w:val="0"/>
        <w:spacing w:line="360" w:lineRule="auto"/>
        <w:ind w:firstLine="480" w:firstLineChars="200"/>
        <w:textAlignment w:val="auto"/>
        <w:rPr>
          <w:rFonts w:hint="eastAsia" w:ascii="Calibri" w:hAnsi="Calibri" w:eastAsia="方正仿宋简体" w:cs="Times New Roman"/>
          <w:sz w:val="24"/>
          <w:szCs w:val="21"/>
          <w:lang w:eastAsia="zh-CN"/>
        </w:rPr>
      </w:pPr>
    </w:p>
    <w:sectPr>
      <w:footerReference r:id="rId5"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简体">
    <w:altName w:val="微软雅黑"/>
    <w:panose1 w:val="02010601030101010101"/>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_GB2312">
    <w:altName w:val="Times New Roman"/>
    <w:panose1 w:val="000000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方正仿宋简体">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8A035"/>
    <w:multiLevelType w:val="singleLevel"/>
    <w:tmpl w:val="0948A035"/>
    <w:lvl w:ilvl="0" w:tentative="0">
      <w:start w:val="8"/>
      <w:numFmt w:val="chineseCounting"/>
      <w:suff w:val="nothing"/>
      <w:lvlText w:val="（%1）"/>
      <w:lvlJc w:val="left"/>
      <w:rPr>
        <w:rFonts w:hint="eastAsia"/>
      </w:rPr>
    </w:lvl>
  </w:abstractNum>
  <w:abstractNum w:abstractNumId="1">
    <w:nsid w:val="3B7A102C"/>
    <w:multiLevelType w:val="singleLevel"/>
    <w:tmpl w:val="3B7A102C"/>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jOTA0NmVhYzhlNDA5YWMxYTAwN2I5MWIzZTg2YmIifQ=="/>
  </w:docVars>
  <w:rsids>
    <w:rsidRoot w:val="24B2674A"/>
    <w:rsid w:val="03CA1FAF"/>
    <w:rsid w:val="049C7DEF"/>
    <w:rsid w:val="06020126"/>
    <w:rsid w:val="07061550"/>
    <w:rsid w:val="08752E31"/>
    <w:rsid w:val="08E33B5B"/>
    <w:rsid w:val="096B5FE2"/>
    <w:rsid w:val="09D90117"/>
    <w:rsid w:val="0B923CFA"/>
    <w:rsid w:val="0CA21D1B"/>
    <w:rsid w:val="0D181FDD"/>
    <w:rsid w:val="0F8C280E"/>
    <w:rsid w:val="100920B1"/>
    <w:rsid w:val="119079DF"/>
    <w:rsid w:val="11AE2F10"/>
    <w:rsid w:val="11FA0C81"/>
    <w:rsid w:val="154F67B8"/>
    <w:rsid w:val="16AB2114"/>
    <w:rsid w:val="17563E2E"/>
    <w:rsid w:val="18934C0E"/>
    <w:rsid w:val="19055892"/>
    <w:rsid w:val="19A27755"/>
    <w:rsid w:val="1A963CB9"/>
    <w:rsid w:val="1B267FBB"/>
    <w:rsid w:val="1B80591D"/>
    <w:rsid w:val="1CC17F9B"/>
    <w:rsid w:val="1D4806BC"/>
    <w:rsid w:val="1E6C1DA5"/>
    <w:rsid w:val="1FD06747"/>
    <w:rsid w:val="202C4905"/>
    <w:rsid w:val="21D544E9"/>
    <w:rsid w:val="233901C8"/>
    <w:rsid w:val="24B2674A"/>
    <w:rsid w:val="257D111F"/>
    <w:rsid w:val="262E6080"/>
    <w:rsid w:val="26773DC1"/>
    <w:rsid w:val="27545580"/>
    <w:rsid w:val="28EA6ACC"/>
    <w:rsid w:val="2953641F"/>
    <w:rsid w:val="2A84085A"/>
    <w:rsid w:val="2B9845BD"/>
    <w:rsid w:val="2D377E06"/>
    <w:rsid w:val="2EED2E72"/>
    <w:rsid w:val="30083D4E"/>
    <w:rsid w:val="306929CC"/>
    <w:rsid w:val="35311B69"/>
    <w:rsid w:val="356A0D5C"/>
    <w:rsid w:val="38B85882"/>
    <w:rsid w:val="3A8F2233"/>
    <w:rsid w:val="3BC970E6"/>
    <w:rsid w:val="3BCA6880"/>
    <w:rsid w:val="3CC03974"/>
    <w:rsid w:val="3CC50F8A"/>
    <w:rsid w:val="3F565885"/>
    <w:rsid w:val="40DB0EC6"/>
    <w:rsid w:val="42E61C5A"/>
    <w:rsid w:val="458D387D"/>
    <w:rsid w:val="46454EEA"/>
    <w:rsid w:val="469B0FAE"/>
    <w:rsid w:val="476D46F8"/>
    <w:rsid w:val="4783216D"/>
    <w:rsid w:val="4CF338F1"/>
    <w:rsid w:val="4FEE03A0"/>
    <w:rsid w:val="502D0EC8"/>
    <w:rsid w:val="54BD357F"/>
    <w:rsid w:val="54D72115"/>
    <w:rsid w:val="55410F72"/>
    <w:rsid w:val="55A67C62"/>
    <w:rsid w:val="56E66275"/>
    <w:rsid w:val="58354DBE"/>
    <w:rsid w:val="58727DC0"/>
    <w:rsid w:val="58A12453"/>
    <w:rsid w:val="5CDF1E21"/>
    <w:rsid w:val="5D135F93"/>
    <w:rsid w:val="5D331AE8"/>
    <w:rsid w:val="5EBA66CD"/>
    <w:rsid w:val="60B44CEE"/>
    <w:rsid w:val="62652744"/>
    <w:rsid w:val="63C36769"/>
    <w:rsid w:val="64255E4C"/>
    <w:rsid w:val="65516FAF"/>
    <w:rsid w:val="67395F4D"/>
    <w:rsid w:val="686A0A63"/>
    <w:rsid w:val="68DC1286"/>
    <w:rsid w:val="6A4E7F61"/>
    <w:rsid w:val="6B7D0AFE"/>
    <w:rsid w:val="6D443A69"/>
    <w:rsid w:val="6E272FA3"/>
    <w:rsid w:val="6FF869A5"/>
    <w:rsid w:val="712B4B58"/>
    <w:rsid w:val="72916C3D"/>
    <w:rsid w:val="745B5755"/>
    <w:rsid w:val="766C7226"/>
    <w:rsid w:val="77163BB5"/>
    <w:rsid w:val="77E048EF"/>
    <w:rsid w:val="78047EB1"/>
    <w:rsid w:val="786F5C73"/>
    <w:rsid w:val="7C9E1179"/>
    <w:rsid w:val="7ED405DD"/>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13030</Words>
  <Characters>13399</Characters>
  <Lines>0</Lines>
  <Paragraphs>0</Paragraphs>
  <TotalTime>14</TotalTime>
  <ScaleCrop>false</ScaleCrop>
  <LinksUpToDate>false</LinksUpToDate>
  <CharactersWithSpaces>14207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2024-10-09T07:31:00Z</dcterms:created>
  <dc:creator>心若清莲</dc:creator>
  <cp:lastModifiedBy>张晓璐</cp:lastModifiedBy>
  <dcterms:modified xsi:type="dcterms:W3CDTF">2024-10-11T09:15:56Z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FA9DC50260AD429DBCB7D519CC2904C8_11</vt:lpwstr>
  </property>
</Properties>
</file>