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4DE447">
      <w:pPr>
        <w:adjustRightInd w:val="0"/>
        <w:snapToGrid w:val="0"/>
        <w:spacing w:line="360" w:lineRule="auto"/>
        <w:jc w:val="center"/>
        <w:rPr>
          <w:rFonts w:hint="eastAsia" w:ascii="方正小标宋_GBK" w:hAnsi="方正小标宋_GBK" w:eastAsia="方正小标宋_GBK" w:cs="方正小标宋_GBK"/>
          <w:b w:val="0"/>
          <w:bCs w:val="0"/>
          <w:color w:val="000000"/>
          <w:sz w:val="52"/>
          <w:szCs w:val="52"/>
        </w:rPr>
      </w:pPr>
      <w:r>
        <w:rPr>
          <w:rFonts w:hint="eastAsia" w:eastAsiaTheme="minorEastAsia"/>
          <w:lang w:eastAsia="zh-CN"/>
        </w:rPr>
        <w:drawing>
          <wp:inline distT="0" distB="0" distL="114300" distR="114300">
            <wp:extent cx="5258435" cy="1384300"/>
            <wp:effectExtent l="0" t="0" r="14605" b="2540"/>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pic:cNvPicPr>
                      <a:picLocks noChangeAspect="1"/>
                    </pic:cNvPicPr>
                  </pic:nvPicPr>
                  <pic:blipFill>
                    <a:blip r:embed="rId4"/>
                    <a:stretch>
                      <a:fillRect/>
                    </a:stretch>
                  </pic:blipFill>
                  <pic:spPr>
                    <a:xfrm>
                      <a:off x="0" y="0"/>
                      <a:ext cx="5258435" cy="1384300"/>
                    </a:xfrm>
                    <a:prstGeom prst="rect">
                      <a:avLst/>
                    </a:prstGeom>
                  </pic:spPr>
                </pic:pic>
              </a:graphicData>
            </a:graphic>
          </wp:inline>
        </w:drawing>
      </w:r>
    </w:p>
    <w:p w14:paraId="01290BA3">
      <w:pPr>
        <w:adjustRightInd w:val="0"/>
        <w:snapToGrid w:val="0"/>
        <w:spacing w:line="360" w:lineRule="auto"/>
        <w:jc w:val="center"/>
        <w:rPr>
          <w:rFonts w:hint="eastAsia" w:ascii="方正小标宋_GBK" w:hAnsi="方正小标宋_GBK" w:eastAsia="方正小标宋_GBK" w:cs="方正小标宋_GBK"/>
          <w:b w:val="0"/>
          <w:bCs w:val="0"/>
          <w:color w:val="000000"/>
          <w:sz w:val="52"/>
          <w:szCs w:val="52"/>
        </w:rPr>
      </w:pPr>
    </w:p>
    <w:p w14:paraId="33C431E1">
      <w:pPr>
        <w:adjustRightInd w:val="0"/>
        <w:snapToGrid w:val="0"/>
        <w:spacing w:line="360" w:lineRule="auto"/>
        <w:jc w:val="center"/>
        <w:rPr>
          <w:rFonts w:hint="eastAsia" w:ascii="方正小标宋_GBK" w:hAnsi="方正小标宋_GBK" w:eastAsia="方正小标宋_GBK" w:cs="方正小标宋_GBK"/>
          <w:b w:val="0"/>
          <w:bCs w:val="0"/>
          <w:color w:val="000000"/>
          <w:sz w:val="52"/>
          <w:szCs w:val="52"/>
          <w:lang w:val="en-US" w:eastAsia="zh-CN"/>
        </w:rPr>
      </w:pPr>
      <w:r>
        <w:rPr>
          <w:rFonts w:hint="eastAsia" w:ascii="方正小标宋_GBK" w:hAnsi="方正小标宋_GBK" w:eastAsia="方正小标宋_GBK" w:cs="方正小标宋_GBK"/>
          <w:b w:val="0"/>
          <w:bCs w:val="0"/>
          <w:color w:val="000000"/>
          <w:sz w:val="52"/>
          <w:szCs w:val="52"/>
          <w:lang w:val="en-US" w:eastAsia="zh-CN"/>
        </w:rPr>
        <w:t>德宏职业学院企业实践单位</w:t>
      </w:r>
    </w:p>
    <w:p w14:paraId="408B3082">
      <w:pPr>
        <w:adjustRightInd w:val="0"/>
        <w:snapToGrid w:val="0"/>
        <w:spacing w:line="360" w:lineRule="auto"/>
        <w:jc w:val="center"/>
        <w:rPr>
          <w:rFonts w:hint="default" w:ascii="宋体" w:hAnsi="宋体" w:eastAsia="宋体" w:cs="宋体"/>
          <w:b/>
          <w:bCs/>
          <w:color w:val="000000"/>
          <w:sz w:val="28"/>
          <w:szCs w:val="28"/>
          <w:lang w:val="en-US" w:eastAsia="zh-CN"/>
        </w:rPr>
      </w:pPr>
      <w:r>
        <w:rPr>
          <w:rFonts w:hint="eastAsia" w:ascii="方正小标宋_GBK" w:hAnsi="方正小标宋_GBK" w:eastAsia="方正小标宋_GBK" w:cs="方正小标宋_GBK"/>
          <w:b w:val="0"/>
          <w:bCs w:val="0"/>
          <w:color w:val="000000"/>
          <w:sz w:val="52"/>
          <w:szCs w:val="52"/>
          <w:lang w:val="en-US" w:eastAsia="zh-CN"/>
        </w:rPr>
        <w:t>考察报告</w:t>
      </w:r>
    </w:p>
    <w:p w14:paraId="4E7A49C3">
      <w:pPr>
        <w:adjustRightInd w:val="0"/>
        <w:snapToGrid w:val="0"/>
        <w:spacing w:line="360" w:lineRule="auto"/>
        <w:jc w:val="center"/>
        <w:rPr>
          <w:rFonts w:hint="eastAsia" w:ascii="宋体" w:hAnsi="宋体" w:cs="宋体"/>
          <w:b/>
          <w:bCs/>
          <w:color w:val="000000"/>
          <w:sz w:val="28"/>
          <w:szCs w:val="28"/>
          <w:lang w:eastAsia="zh-CN"/>
        </w:rPr>
      </w:pPr>
    </w:p>
    <w:p w14:paraId="470EA6B1">
      <w:pPr>
        <w:adjustRightInd w:val="0"/>
        <w:snapToGrid w:val="0"/>
        <w:spacing w:line="360" w:lineRule="auto"/>
        <w:jc w:val="both"/>
        <w:rPr>
          <w:rFonts w:hint="eastAsia" w:ascii="宋体" w:hAnsi="宋体" w:cs="宋体"/>
          <w:b/>
          <w:bCs/>
          <w:color w:val="000000"/>
          <w:sz w:val="28"/>
          <w:szCs w:val="28"/>
          <w:lang w:eastAsia="zh-CN"/>
        </w:rPr>
      </w:pPr>
    </w:p>
    <w:p w14:paraId="488A2DCD">
      <w:pPr>
        <w:adjustRightInd w:val="0"/>
        <w:snapToGrid w:val="0"/>
        <w:spacing w:line="360" w:lineRule="auto"/>
        <w:jc w:val="both"/>
        <w:rPr>
          <w:rFonts w:hint="eastAsia" w:ascii="方正仿宋_GBK" w:hAnsi="方正仿宋_GBK" w:eastAsia="方正仿宋_GBK" w:cs="方正仿宋_GBK"/>
          <w:b w:val="0"/>
          <w:bCs w:val="0"/>
          <w:color w:val="000000"/>
          <w:sz w:val="32"/>
          <w:szCs w:val="32"/>
          <w:lang w:eastAsia="zh-CN"/>
        </w:rPr>
      </w:pPr>
    </w:p>
    <w:p w14:paraId="0B9EA466">
      <w:pPr>
        <w:adjustRightInd w:val="0"/>
        <w:snapToGrid w:val="0"/>
        <w:spacing w:line="360" w:lineRule="auto"/>
        <w:ind w:left="2880" w:leftChars="400" w:hanging="1600" w:hangingChars="500"/>
        <w:jc w:val="both"/>
        <w:rPr>
          <w:rFonts w:hint="default" w:ascii="方正仿宋_GBK" w:hAnsi="方正仿宋_GBK" w:eastAsia="方正仿宋_GBK" w:cs="方正仿宋_GBK"/>
          <w:b w:val="0"/>
          <w:bCs w:val="0"/>
          <w:color w:val="000000"/>
          <w:sz w:val="32"/>
          <w:szCs w:val="32"/>
          <w:u w:val="single"/>
          <w:lang w:val="en-US" w:eastAsia="zh-CN"/>
        </w:rPr>
      </w:pPr>
      <w:r>
        <w:rPr>
          <w:rFonts w:hint="eastAsia" w:ascii="方正仿宋_GBK" w:hAnsi="方正仿宋_GBK" w:eastAsia="方正仿宋_GBK" w:cs="方正仿宋_GBK"/>
          <w:b w:val="0"/>
          <w:bCs w:val="0"/>
          <w:color w:val="000000"/>
          <w:sz w:val="32"/>
          <w:szCs w:val="32"/>
          <w:lang w:eastAsia="zh-CN"/>
        </w:rPr>
        <w:t>企业名称：</w:t>
      </w:r>
      <w:r>
        <w:rPr>
          <w:rFonts w:hint="eastAsia" w:ascii="方正仿宋_GBK" w:hAnsi="方正仿宋_GBK" w:eastAsia="方正仿宋_GBK" w:cs="方正仿宋_GBK"/>
          <w:b w:val="0"/>
          <w:bCs w:val="0"/>
          <w:color w:val="000000"/>
          <w:sz w:val="32"/>
          <w:szCs w:val="32"/>
          <w:u w:val="single"/>
          <w:lang w:val="en-US" w:eastAsia="zh-CN"/>
        </w:rPr>
        <w:t xml:space="preserve"> 昆明市五华区高正好老师教育培训学校有限公司芒市第二分公司          </w:t>
      </w:r>
    </w:p>
    <w:p w14:paraId="33DEACAB">
      <w:pPr>
        <w:adjustRightInd w:val="0"/>
        <w:snapToGrid w:val="0"/>
        <w:spacing w:line="360" w:lineRule="auto"/>
        <w:ind w:firstLine="1280" w:firstLineChars="400"/>
        <w:jc w:val="both"/>
        <w:rPr>
          <w:rFonts w:hint="default" w:ascii="方正仿宋_GBK" w:hAnsi="方正仿宋_GBK" w:eastAsia="方正仿宋_GBK" w:cs="方正仿宋_GBK"/>
          <w:b w:val="0"/>
          <w:bCs w:val="0"/>
          <w:color w:val="000000"/>
          <w:sz w:val="32"/>
          <w:szCs w:val="32"/>
          <w:u w:val="single"/>
          <w:lang w:val="en-US" w:eastAsia="zh-CN"/>
        </w:rPr>
      </w:pPr>
      <w:r>
        <w:rPr>
          <w:rFonts w:hint="eastAsia" w:ascii="方正仿宋_GBK" w:hAnsi="方正仿宋_GBK" w:eastAsia="方正仿宋_GBK" w:cs="方正仿宋_GBK"/>
          <w:b w:val="0"/>
          <w:bCs w:val="0"/>
          <w:color w:val="000000"/>
          <w:sz w:val="32"/>
          <w:szCs w:val="32"/>
          <w:lang w:eastAsia="zh-CN"/>
        </w:rPr>
        <w:t>学院名称：</w:t>
      </w:r>
      <w:r>
        <w:rPr>
          <w:rFonts w:hint="eastAsia" w:ascii="方正仿宋_GBK" w:hAnsi="方正仿宋_GBK" w:eastAsia="方正仿宋_GBK" w:cs="方正仿宋_GBK"/>
          <w:b w:val="0"/>
          <w:bCs w:val="0"/>
          <w:color w:val="000000"/>
          <w:sz w:val="32"/>
          <w:szCs w:val="32"/>
          <w:u w:val="single"/>
          <w:lang w:val="en-US" w:eastAsia="zh-CN"/>
        </w:rPr>
        <w:t xml:space="preserve">       人文学院                   </w:t>
      </w:r>
    </w:p>
    <w:p w14:paraId="71D787FB">
      <w:pPr>
        <w:adjustRightInd w:val="0"/>
        <w:snapToGrid w:val="0"/>
        <w:spacing w:line="360" w:lineRule="auto"/>
        <w:ind w:firstLine="1280" w:firstLineChars="400"/>
        <w:jc w:val="both"/>
        <w:rPr>
          <w:rFonts w:hint="eastAsia" w:ascii="方正仿宋_GBK" w:hAnsi="方正仿宋_GBK" w:eastAsia="方正仿宋_GBK" w:cs="方正仿宋_GBK"/>
          <w:b w:val="0"/>
          <w:bCs w:val="0"/>
          <w:color w:val="000000"/>
          <w:sz w:val="32"/>
          <w:szCs w:val="32"/>
          <w:lang w:eastAsia="zh-CN"/>
        </w:rPr>
      </w:pPr>
    </w:p>
    <w:p w14:paraId="2467D480">
      <w:pPr>
        <w:adjustRightInd w:val="0"/>
        <w:snapToGrid w:val="0"/>
        <w:spacing w:line="360" w:lineRule="auto"/>
        <w:ind w:firstLine="2560" w:firstLineChars="800"/>
        <w:jc w:val="both"/>
        <w:rPr>
          <w:rFonts w:hint="eastAsia" w:ascii="方正仿宋_GBK" w:hAnsi="方正仿宋_GBK" w:eastAsia="方正仿宋_GBK" w:cs="方正仿宋_GBK"/>
          <w:b w:val="0"/>
          <w:bCs w:val="0"/>
          <w:color w:val="000000"/>
          <w:sz w:val="32"/>
          <w:szCs w:val="32"/>
          <w:lang w:eastAsia="zh-CN"/>
        </w:rPr>
      </w:pPr>
    </w:p>
    <w:p w14:paraId="19221AF5">
      <w:pPr>
        <w:adjustRightInd w:val="0"/>
        <w:snapToGrid w:val="0"/>
        <w:spacing w:line="360" w:lineRule="auto"/>
        <w:ind w:firstLine="2560" w:firstLineChars="800"/>
        <w:jc w:val="both"/>
        <w:rPr>
          <w:rFonts w:hint="eastAsia" w:ascii="方正仿宋_GBK" w:hAnsi="方正仿宋_GBK" w:eastAsia="方正仿宋_GBK" w:cs="方正仿宋_GBK"/>
          <w:b w:val="0"/>
          <w:bCs w:val="0"/>
          <w:color w:val="000000"/>
          <w:sz w:val="32"/>
          <w:szCs w:val="32"/>
          <w:lang w:eastAsia="zh-CN"/>
        </w:rPr>
      </w:pPr>
    </w:p>
    <w:p w14:paraId="5CCFD2FC">
      <w:pPr>
        <w:adjustRightInd w:val="0"/>
        <w:snapToGrid w:val="0"/>
        <w:spacing w:line="360" w:lineRule="auto"/>
        <w:ind w:firstLine="2560" w:firstLineChars="800"/>
        <w:jc w:val="both"/>
        <w:rPr>
          <w:rFonts w:hint="eastAsia" w:ascii="方正仿宋_GBK" w:hAnsi="方正仿宋_GBK" w:eastAsia="方正仿宋_GBK" w:cs="方正仿宋_GBK"/>
          <w:b w:val="0"/>
          <w:bCs w:val="0"/>
          <w:color w:val="000000"/>
          <w:sz w:val="32"/>
          <w:szCs w:val="32"/>
          <w:lang w:eastAsia="zh-CN"/>
        </w:rPr>
      </w:pPr>
    </w:p>
    <w:p w14:paraId="2D1715AC">
      <w:pPr>
        <w:adjustRightInd w:val="0"/>
        <w:snapToGrid w:val="0"/>
        <w:spacing w:line="360" w:lineRule="auto"/>
        <w:ind w:firstLine="2560" w:firstLineChars="800"/>
        <w:jc w:val="both"/>
        <w:rPr>
          <w:rFonts w:hint="eastAsia" w:ascii="方正仿宋_GBK" w:hAnsi="方正仿宋_GBK" w:eastAsia="方正仿宋_GBK" w:cs="方正仿宋_GBK"/>
          <w:b w:val="0"/>
          <w:bCs w:val="0"/>
          <w:color w:val="000000"/>
          <w:sz w:val="32"/>
          <w:szCs w:val="32"/>
          <w:lang w:eastAsia="zh-CN"/>
        </w:rPr>
      </w:pPr>
    </w:p>
    <w:p w14:paraId="1F86ACBB">
      <w:pPr>
        <w:adjustRightInd w:val="0"/>
        <w:snapToGrid w:val="0"/>
        <w:spacing w:line="360" w:lineRule="auto"/>
        <w:ind w:firstLine="2560" w:firstLineChars="800"/>
        <w:jc w:val="both"/>
        <w:rPr>
          <w:rFonts w:hint="eastAsia" w:ascii="方正仿宋_GBK" w:hAnsi="方正仿宋_GBK" w:eastAsia="方正仿宋_GBK" w:cs="方正仿宋_GBK"/>
          <w:b w:val="0"/>
          <w:bCs w:val="0"/>
          <w:color w:val="000000"/>
          <w:sz w:val="32"/>
          <w:szCs w:val="32"/>
          <w:lang w:eastAsia="zh-CN"/>
        </w:rPr>
      </w:pPr>
      <w:r>
        <w:rPr>
          <w:rFonts w:hint="eastAsia" w:ascii="方正仿宋_GBK" w:hAnsi="方正仿宋_GBK" w:eastAsia="方正仿宋_GBK" w:cs="方正仿宋_GBK"/>
          <w:b w:val="0"/>
          <w:bCs w:val="0"/>
          <w:color w:val="000000"/>
          <w:sz w:val="32"/>
          <w:szCs w:val="32"/>
          <w:lang w:val="en-US" w:eastAsia="zh-CN"/>
        </w:rPr>
        <w:t>2025</w:t>
      </w:r>
      <w:r>
        <w:rPr>
          <w:rFonts w:hint="eastAsia" w:ascii="方正仿宋_GBK" w:hAnsi="方正仿宋_GBK" w:eastAsia="方正仿宋_GBK" w:cs="方正仿宋_GBK"/>
          <w:b w:val="0"/>
          <w:bCs w:val="0"/>
          <w:color w:val="000000"/>
          <w:sz w:val="32"/>
          <w:szCs w:val="32"/>
          <w:lang w:eastAsia="zh-CN"/>
        </w:rPr>
        <w:t>年</w:t>
      </w:r>
      <w:r>
        <w:rPr>
          <w:rFonts w:hint="eastAsia" w:ascii="方正仿宋_GBK" w:hAnsi="方正仿宋_GBK" w:eastAsia="方正仿宋_GBK" w:cs="方正仿宋_GBK"/>
          <w:b w:val="0"/>
          <w:bCs w:val="0"/>
          <w:color w:val="000000"/>
          <w:sz w:val="32"/>
          <w:szCs w:val="32"/>
          <w:lang w:val="en-US" w:eastAsia="zh-CN"/>
        </w:rPr>
        <w:t>11</w:t>
      </w:r>
      <w:r>
        <w:rPr>
          <w:rFonts w:hint="eastAsia" w:ascii="方正仿宋_GBK" w:hAnsi="方正仿宋_GBK" w:eastAsia="方正仿宋_GBK" w:cs="方正仿宋_GBK"/>
          <w:b w:val="0"/>
          <w:bCs w:val="0"/>
          <w:color w:val="000000"/>
          <w:sz w:val="32"/>
          <w:szCs w:val="32"/>
          <w:lang w:eastAsia="zh-CN"/>
        </w:rPr>
        <w:t>月</w:t>
      </w:r>
      <w:r>
        <w:rPr>
          <w:rFonts w:hint="eastAsia" w:ascii="方正仿宋_GBK" w:hAnsi="方正仿宋_GBK" w:eastAsia="方正仿宋_GBK" w:cs="方正仿宋_GBK"/>
          <w:b w:val="0"/>
          <w:bCs w:val="0"/>
          <w:color w:val="000000"/>
          <w:sz w:val="32"/>
          <w:szCs w:val="32"/>
          <w:lang w:val="en-US" w:eastAsia="zh-CN"/>
        </w:rPr>
        <w:t xml:space="preserve"> 11</w:t>
      </w:r>
      <w:r>
        <w:rPr>
          <w:rFonts w:hint="eastAsia" w:ascii="方正仿宋_GBK" w:hAnsi="方正仿宋_GBK" w:eastAsia="方正仿宋_GBK" w:cs="方正仿宋_GBK"/>
          <w:b w:val="0"/>
          <w:bCs w:val="0"/>
          <w:color w:val="000000"/>
          <w:sz w:val="32"/>
          <w:szCs w:val="32"/>
          <w:lang w:eastAsia="zh-CN"/>
        </w:rPr>
        <w:t>日</w:t>
      </w:r>
    </w:p>
    <w:tbl>
      <w:tblPr>
        <w:tblStyle w:val="6"/>
        <w:tblW w:w="8272" w:type="dxa"/>
        <w:tblInd w:w="25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380"/>
        <w:gridCol w:w="1791"/>
        <w:gridCol w:w="1678"/>
        <w:gridCol w:w="1672"/>
        <w:gridCol w:w="1751"/>
      </w:tblGrid>
      <w:tr w14:paraId="7536A44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42" w:hRule="atLeast"/>
        </w:trPr>
        <w:tc>
          <w:tcPr>
            <w:tcW w:w="1380" w:type="dxa"/>
            <w:vAlign w:val="center"/>
          </w:tcPr>
          <w:p w14:paraId="650C78A9">
            <w:pPr>
              <w:snapToGrid w:val="0"/>
              <w:jc w:val="center"/>
              <w:rPr>
                <w:rFonts w:hint="eastAsia" w:ascii="方正仿宋_GBK" w:hAnsi="方正仿宋_GBK" w:eastAsia="方正仿宋_GBK" w:cs="方正仿宋_GBK"/>
                <w:bCs/>
                <w:kern w:val="0"/>
                <w:sz w:val="28"/>
                <w:szCs w:val="36"/>
              </w:rPr>
            </w:pPr>
            <w:r>
              <w:rPr>
                <w:rFonts w:hint="eastAsia" w:ascii="方正仿宋_GBK" w:hAnsi="方正仿宋_GBK" w:eastAsia="方正仿宋_GBK" w:cs="方正仿宋_GBK"/>
                <w:bCs/>
                <w:kern w:val="0"/>
                <w:sz w:val="28"/>
                <w:szCs w:val="36"/>
              </w:rPr>
              <w:t>推荐企业名称</w:t>
            </w:r>
          </w:p>
        </w:tc>
        <w:tc>
          <w:tcPr>
            <w:tcW w:w="6892" w:type="dxa"/>
            <w:gridSpan w:val="4"/>
            <w:vAlign w:val="center"/>
          </w:tcPr>
          <w:p w14:paraId="0F2B3D79">
            <w:pPr>
              <w:snapToGrid w:val="0"/>
              <w:jc w:val="left"/>
              <w:rPr>
                <w:rFonts w:hint="eastAsia" w:ascii="方正仿宋_GBK" w:hAnsi="方正仿宋_GBK" w:eastAsia="方正仿宋_GBK" w:cs="方正仿宋_GBK"/>
                <w:bCs/>
                <w:kern w:val="0"/>
                <w:sz w:val="28"/>
                <w:szCs w:val="36"/>
                <w:lang w:val="en-US" w:eastAsia="zh-CN"/>
              </w:rPr>
            </w:pPr>
            <w:r>
              <w:rPr>
                <w:rFonts w:hint="eastAsia" w:ascii="方正仿宋_GBK" w:hAnsi="方正仿宋_GBK" w:eastAsia="方正仿宋_GBK" w:cs="方正仿宋_GBK"/>
                <w:bCs/>
                <w:kern w:val="0"/>
                <w:sz w:val="28"/>
                <w:szCs w:val="36"/>
                <w:lang w:val="en-US" w:eastAsia="zh-CN"/>
              </w:rPr>
              <w:t>昆明市五华区高正好老师教育培训学校有限公司芒市第二分公司</w:t>
            </w:r>
          </w:p>
        </w:tc>
      </w:tr>
      <w:tr w14:paraId="38FC7D2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45" w:hRule="atLeast"/>
        </w:trPr>
        <w:tc>
          <w:tcPr>
            <w:tcW w:w="1380" w:type="dxa"/>
            <w:vAlign w:val="center"/>
          </w:tcPr>
          <w:p w14:paraId="43E60B2A">
            <w:pPr>
              <w:snapToGrid w:val="0"/>
              <w:jc w:val="center"/>
              <w:rPr>
                <w:rFonts w:hint="eastAsia" w:ascii="方正仿宋_GBK" w:hAnsi="方正仿宋_GBK" w:eastAsia="方正仿宋_GBK" w:cs="方正仿宋_GBK"/>
                <w:bCs/>
                <w:kern w:val="0"/>
                <w:sz w:val="28"/>
                <w:szCs w:val="36"/>
              </w:rPr>
            </w:pPr>
            <w:r>
              <w:rPr>
                <w:rFonts w:hint="eastAsia" w:ascii="方正仿宋_GBK" w:hAnsi="方正仿宋_GBK" w:eastAsia="方正仿宋_GBK" w:cs="方正仿宋_GBK"/>
                <w:sz w:val="28"/>
                <w:szCs w:val="28"/>
                <w:lang w:eastAsia="zh-CN"/>
              </w:rPr>
              <w:t>企业</w:t>
            </w:r>
            <w:r>
              <w:rPr>
                <w:rFonts w:hint="eastAsia" w:ascii="方正仿宋_GBK" w:hAnsi="方正仿宋_GBK" w:eastAsia="方正仿宋_GBK" w:cs="方正仿宋_GBK"/>
                <w:sz w:val="28"/>
                <w:szCs w:val="28"/>
              </w:rPr>
              <w:t>统一社会信用代码</w:t>
            </w:r>
          </w:p>
        </w:tc>
        <w:tc>
          <w:tcPr>
            <w:tcW w:w="6892" w:type="dxa"/>
            <w:gridSpan w:val="4"/>
            <w:vAlign w:val="center"/>
          </w:tcPr>
          <w:p w14:paraId="7419FC9F">
            <w:pPr>
              <w:spacing w:line="400" w:lineRule="exact"/>
              <w:rPr>
                <w:rFonts w:hint="eastAsia" w:ascii="方正仿宋_GBK" w:hAnsi="方正仿宋_GBK" w:eastAsia="方正仿宋_GBK" w:cs="方正仿宋_GBK"/>
                <w:kern w:val="0"/>
                <w:sz w:val="28"/>
                <w:szCs w:val="36"/>
                <w:lang w:val="en-US" w:eastAsia="zh-CN"/>
              </w:rPr>
            </w:pPr>
            <w:r>
              <w:rPr>
                <w:rFonts w:hint="eastAsia" w:ascii="方正仿宋_GBK" w:hAnsi="方正仿宋_GBK" w:eastAsia="方正仿宋_GBK" w:cs="方正仿宋_GBK"/>
                <w:kern w:val="0"/>
                <w:sz w:val="28"/>
                <w:szCs w:val="36"/>
                <w:lang w:val="en-US" w:eastAsia="zh-CN"/>
              </w:rPr>
              <w:t>91530102MA6QAWTY6N</w:t>
            </w:r>
          </w:p>
        </w:tc>
      </w:tr>
      <w:tr w14:paraId="0A968C1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55" w:hRule="atLeast"/>
        </w:trPr>
        <w:tc>
          <w:tcPr>
            <w:tcW w:w="1380" w:type="dxa"/>
            <w:vAlign w:val="center"/>
          </w:tcPr>
          <w:p w14:paraId="129736C2">
            <w:pPr>
              <w:snapToGrid w:val="0"/>
              <w:jc w:val="center"/>
              <w:rPr>
                <w:rFonts w:hint="eastAsia" w:ascii="方正仿宋_GBK" w:hAnsi="方正仿宋_GBK" w:eastAsia="方正仿宋_GBK" w:cs="方正仿宋_GBK"/>
                <w:bCs/>
                <w:kern w:val="0"/>
                <w:sz w:val="28"/>
                <w:szCs w:val="36"/>
                <w:lang w:eastAsia="zh-CN"/>
              </w:rPr>
            </w:pPr>
            <w:r>
              <w:rPr>
                <w:rFonts w:hint="eastAsia" w:ascii="方正仿宋_GBK" w:hAnsi="方正仿宋_GBK" w:eastAsia="方正仿宋_GBK" w:cs="方正仿宋_GBK"/>
                <w:bCs/>
                <w:kern w:val="0"/>
                <w:sz w:val="28"/>
                <w:szCs w:val="36"/>
                <w:lang w:eastAsia="zh-CN"/>
              </w:rPr>
              <w:t>企业地址</w:t>
            </w:r>
          </w:p>
        </w:tc>
        <w:tc>
          <w:tcPr>
            <w:tcW w:w="6892" w:type="dxa"/>
            <w:gridSpan w:val="4"/>
            <w:vAlign w:val="center"/>
          </w:tcPr>
          <w:p w14:paraId="1367A6EA">
            <w:pPr>
              <w:spacing w:line="400" w:lineRule="exact"/>
              <w:rPr>
                <w:rFonts w:hint="eastAsia" w:ascii="方正仿宋_GBK" w:hAnsi="方正仿宋_GBK" w:eastAsia="方正仿宋_GBK" w:cs="方正仿宋_GBK"/>
                <w:kern w:val="0"/>
                <w:sz w:val="28"/>
                <w:szCs w:val="36"/>
                <w:lang w:val="en-US" w:eastAsia="zh-CN"/>
              </w:rPr>
            </w:pPr>
            <w:r>
              <w:rPr>
                <w:rFonts w:hint="eastAsia" w:ascii="方正仿宋_GBK" w:hAnsi="方正仿宋_GBK" w:eastAsia="方正仿宋_GBK" w:cs="方正仿宋_GBK"/>
                <w:kern w:val="0"/>
                <w:sz w:val="28"/>
                <w:szCs w:val="36"/>
                <w:lang w:val="en-US" w:eastAsia="zh-CN"/>
              </w:rPr>
              <w:t>云南省德宏州芒市学府时代北区6-9号商铺SC</w:t>
            </w:r>
          </w:p>
        </w:tc>
      </w:tr>
      <w:tr w14:paraId="541AC49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2" w:hRule="atLeast"/>
        </w:trPr>
        <w:tc>
          <w:tcPr>
            <w:tcW w:w="1380" w:type="dxa"/>
            <w:vMerge w:val="restart"/>
            <w:vAlign w:val="center"/>
          </w:tcPr>
          <w:p w14:paraId="2B593D03">
            <w:pPr>
              <w:snapToGrid w:val="0"/>
              <w:jc w:val="center"/>
              <w:rPr>
                <w:rFonts w:hint="eastAsia" w:ascii="方正仿宋_GBK" w:hAnsi="方正仿宋_GBK" w:eastAsia="方正仿宋_GBK" w:cs="方正仿宋_GBK"/>
                <w:bCs/>
                <w:kern w:val="0"/>
                <w:sz w:val="28"/>
                <w:szCs w:val="36"/>
              </w:rPr>
            </w:pPr>
            <w:r>
              <w:rPr>
                <w:rFonts w:hint="eastAsia" w:ascii="方正仿宋_GBK" w:hAnsi="方正仿宋_GBK" w:eastAsia="方正仿宋_GBK" w:cs="方正仿宋_GBK"/>
                <w:bCs/>
                <w:kern w:val="0"/>
                <w:sz w:val="28"/>
                <w:szCs w:val="36"/>
              </w:rPr>
              <w:t>企业联系部门及联系人</w:t>
            </w:r>
          </w:p>
        </w:tc>
        <w:tc>
          <w:tcPr>
            <w:tcW w:w="1791" w:type="dxa"/>
            <w:vAlign w:val="center"/>
          </w:tcPr>
          <w:p w14:paraId="11C6D838">
            <w:pPr>
              <w:snapToGrid w:val="0"/>
              <w:jc w:val="center"/>
              <w:rPr>
                <w:rFonts w:hint="eastAsia" w:ascii="方正仿宋_GBK" w:hAnsi="方正仿宋_GBK" w:eastAsia="方正仿宋_GBK" w:cs="方正仿宋_GBK"/>
                <w:bCs/>
                <w:kern w:val="0"/>
                <w:sz w:val="28"/>
                <w:szCs w:val="36"/>
              </w:rPr>
            </w:pPr>
            <w:r>
              <w:rPr>
                <w:rFonts w:hint="eastAsia" w:ascii="方正仿宋_GBK" w:hAnsi="方正仿宋_GBK" w:eastAsia="方正仿宋_GBK" w:cs="方正仿宋_GBK"/>
                <w:bCs/>
                <w:kern w:val="0"/>
                <w:sz w:val="28"/>
                <w:szCs w:val="36"/>
              </w:rPr>
              <w:t>部门名称</w:t>
            </w:r>
          </w:p>
        </w:tc>
        <w:tc>
          <w:tcPr>
            <w:tcW w:w="5101" w:type="dxa"/>
            <w:gridSpan w:val="3"/>
            <w:vAlign w:val="center"/>
          </w:tcPr>
          <w:p w14:paraId="6F65E49A">
            <w:pPr>
              <w:snapToGrid w:val="0"/>
              <w:jc w:val="center"/>
              <w:rPr>
                <w:rFonts w:hint="eastAsia" w:ascii="方正仿宋_GBK" w:hAnsi="方正仿宋_GBK" w:eastAsia="方正仿宋_GBK" w:cs="方正仿宋_GBK"/>
                <w:bCs/>
                <w:kern w:val="0"/>
                <w:sz w:val="28"/>
                <w:szCs w:val="36"/>
                <w:lang w:val="en-US" w:eastAsia="zh-CN"/>
              </w:rPr>
            </w:pPr>
            <w:r>
              <w:rPr>
                <w:rFonts w:hint="eastAsia" w:ascii="方正仿宋_GBK" w:hAnsi="方正仿宋_GBK" w:eastAsia="方正仿宋_GBK" w:cs="方正仿宋_GBK"/>
                <w:bCs/>
                <w:kern w:val="0"/>
                <w:sz w:val="28"/>
                <w:szCs w:val="36"/>
                <w:lang w:val="en-US" w:eastAsia="zh-CN"/>
              </w:rPr>
              <w:t>芒市第二分公司</w:t>
            </w:r>
          </w:p>
        </w:tc>
      </w:tr>
      <w:tr w14:paraId="24B4B4A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2" w:hRule="atLeast"/>
        </w:trPr>
        <w:tc>
          <w:tcPr>
            <w:tcW w:w="1380" w:type="dxa"/>
            <w:vMerge w:val="continue"/>
            <w:vAlign w:val="center"/>
          </w:tcPr>
          <w:p w14:paraId="022411EE">
            <w:pPr>
              <w:snapToGrid w:val="0"/>
              <w:jc w:val="center"/>
              <w:rPr>
                <w:rFonts w:hint="eastAsia" w:ascii="方正仿宋_GBK" w:hAnsi="方正仿宋_GBK" w:eastAsia="方正仿宋_GBK" w:cs="方正仿宋_GBK"/>
                <w:bCs/>
                <w:kern w:val="0"/>
                <w:sz w:val="28"/>
                <w:szCs w:val="36"/>
              </w:rPr>
            </w:pPr>
          </w:p>
        </w:tc>
        <w:tc>
          <w:tcPr>
            <w:tcW w:w="1791" w:type="dxa"/>
            <w:vAlign w:val="center"/>
          </w:tcPr>
          <w:p w14:paraId="2D951700">
            <w:pPr>
              <w:snapToGrid w:val="0"/>
              <w:jc w:val="center"/>
              <w:rPr>
                <w:rFonts w:hint="eastAsia" w:ascii="方正仿宋_GBK" w:hAnsi="方正仿宋_GBK" w:eastAsia="方正仿宋_GBK" w:cs="方正仿宋_GBK"/>
                <w:bCs/>
                <w:kern w:val="0"/>
                <w:sz w:val="28"/>
                <w:szCs w:val="36"/>
              </w:rPr>
            </w:pPr>
            <w:r>
              <w:rPr>
                <w:rFonts w:hint="eastAsia" w:ascii="方正仿宋_GBK" w:hAnsi="方正仿宋_GBK" w:eastAsia="方正仿宋_GBK" w:cs="方正仿宋_GBK"/>
                <w:bCs/>
                <w:kern w:val="0"/>
                <w:sz w:val="28"/>
                <w:szCs w:val="36"/>
              </w:rPr>
              <w:t>联 系 人</w:t>
            </w:r>
          </w:p>
        </w:tc>
        <w:tc>
          <w:tcPr>
            <w:tcW w:w="1678" w:type="dxa"/>
            <w:vAlign w:val="center"/>
          </w:tcPr>
          <w:p w14:paraId="716215E3">
            <w:pPr>
              <w:snapToGrid w:val="0"/>
              <w:jc w:val="center"/>
              <w:rPr>
                <w:rFonts w:hint="eastAsia" w:ascii="方正仿宋_GBK" w:hAnsi="方正仿宋_GBK" w:eastAsia="方正仿宋_GBK" w:cs="方正仿宋_GBK"/>
                <w:bCs/>
                <w:kern w:val="0"/>
                <w:sz w:val="28"/>
                <w:szCs w:val="36"/>
                <w:lang w:val="en-US" w:eastAsia="zh-CN"/>
              </w:rPr>
            </w:pPr>
            <w:r>
              <w:rPr>
                <w:rFonts w:hint="eastAsia" w:ascii="方正仿宋_GBK" w:hAnsi="方正仿宋_GBK" w:eastAsia="方正仿宋_GBK" w:cs="方正仿宋_GBK"/>
                <w:bCs/>
                <w:kern w:val="0"/>
                <w:sz w:val="28"/>
                <w:szCs w:val="36"/>
                <w:lang w:val="en-US" w:eastAsia="zh-CN"/>
              </w:rPr>
              <w:t>张剑菲</w:t>
            </w:r>
          </w:p>
        </w:tc>
        <w:tc>
          <w:tcPr>
            <w:tcW w:w="1672" w:type="dxa"/>
            <w:vAlign w:val="center"/>
          </w:tcPr>
          <w:p w14:paraId="6439564C">
            <w:pPr>
              <w:snapToGrid w:val="0"/>
              <w:jc w:val="center"/>
              <w:rPr>
                <w:rFonts w:hint="eastAsia" w:ascii="方正仿宋_GBK" w:hAnsi="方正仿宋_GBK" w:eastAsia="方正仿宋_GBK" w:cs="方正仿宋_GBK"/>
                <w:bCs/>
                <w:kern w:val="0"/>
                <w:sz w:val="28"/>
                <w:szCs w:val="36"/>
              </w:rPr>
            </w:pPr>
            <w:r>
              <w:rPr>
                <w:rFonts w:hint="eastAsia" w:ascii="方正仿宋_GBK" w:hAnsi="方正仿宋_GBK" w:eastAsia="方正仿宋_GBK" w:cs="方正仿宋_GBK"/>
                <w:bCs/>
                <w:kern w:val="0"/>
                <w:sz w:val="28"/>
                <w:szCs w:val="36"/>
              </w:rPr>
              <w:t>职   务</w:t>
            </w:r>
          </w:p>
        </w:tc>
        <w:tc>
          <w:tcPr>
            <w:tcW w:w="1751" w:type="dxa"/>
            <w:vAlign w:val="center"/>
          </w:tcPr>
          <w:p w14:paraId="02BA1290">
            <w:pPr>
              <w:snapToGrid w:val="0"/>
              <w:jc w:val="center"/>
              <w:rPr>
                <w:rFonts w:hint="eastAsia" w:ascii="方正仿宋_GBK" w:hAnsi="方正仿宋_GBK" w:eastAsia="方正仿宋_GBK" w:cs="方正仿宋_GBK"/>
                <w:bCs/>
                <w:kern w:val="0"/>
                <w:sz w:val="28"/>
                <w:szCs w:val="36"/>
                <w:lang w:val="en-US" w:eastAsia="zh-CN"/>
              </w:rPr>
            </w:pPr>
            <w:r>
              <w:rPr>
                <w:rFonts w:hint="eastAsia" w:ascii="方正仿宋_GBK" w:hAnsi="方正仿宋_GBK" w:eastAsia="方正仿宋_GBK" w:cs="方正仿宋_GBK"/>
                <w:bCs/>
                <w:kern w:val="0"/>
                <w:sz w:val="28"/>
                <w:szCs w:val="36"/>
                <w:lang w:val="en-US" w:eastAsia="zh-CN"/>
              </w:rPr>
              <w:t>经理</w:t>
            </w:r>
          </w:p>
        </w:tc>
      </w:tr>
      <w:tr w14:paraId="701AACC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2" w:hRule="atLeast"/>
        </w:trPr>
        <w:tc>
          <w:tcPr>
            <w:tcW w:w="1380" w:type="dxa"/>
            <w:vMerge w:val="continue"/>
            <w:vAlign w:val="center"/>
          </w:tcPr>
          <w:p w14:paraId="4A2E0F53">
            <w:pPr>
              <w:snapToGrid w:val="0"/>
              <w:jc w:val="center"/>
              <w:rPr>
                <w:rFonts w:hint="eastAsia" w:ascii="方正仿宋_GBK" w:hAnsi="方正仿宋_GBK" w:eastAsia="方正仿宋_GBK" w:cs="方正仿宋_GBK"/>
                <w:bCs/>
                <w:kern w:val="0"/>
                <w:sz w:val="28"/>
                <w:szCs w:val="36"/>
              </w:rPr>
            </w:pPr>
          </w:p>
        </w:tc>
        <w:tc>
          <w:tcPr>
            <w:tcW w:w="1791" w:type="dxa"/>
            <w:vAlign w:val="center"/>
          </w:tcPr>
          <w:p w14:paraId="06B49B7F">
            <w:pPr>
              <w:snapToGrid w:val="0"/>
              <w:jc w:val="center"/>
              <w:rPr>
                <w:rFonts w:hint="eastAsia" w:ascii="方正仿宋_GBK" w:hAnsi="方正仿宋_GBK" w:eastAsia="方正仿宋_GBK" w:cs="方正仿宋_GBK"/>
                <w:bCs/>
                <w:kern w:val="0"/>
                <w:sz w:val="28"/>
                <w:szCs w:val="36"/>
              </w:rPr>
            </w:pPr>
            <w:r>
              <w:rPr>
                <w:rFonts w:hint="eastAsia" w:ascii="方正仿宋_GBK" w:hAnsi="方正仿宋_GBK" w:eastAsia="方正仿宋_GBK" w:cs="方正仿宋_GBK"/>
                <w:bCs/>
                <w:kern w:val="0"/>
                <w:sz w:val="28"/>
                <w:szCs w:val="36"/>
              </w:rPr>
              <w:t>联系电话</w:t>
            </w:r>
          </w:p>
        </w:tc>
        <w:tc>
          <w:tcPr>
            <w:tcW w:w="1678" w:type="dxa"/>
            <w:vAlign w:val="center"/>
          </w:tcPr>
          <w:p w14:paraId="5C3E52DF">
            <w:pPr>
              <w:snapToGrid w:val="0"/>
              <w:jc w:val="center"/>
              <w:rPr>
                <w:rFonts w:hint="eastAsia" w:ascii="方正仿宋_GBK" w:hAnsi="方正仿宋_GBK" w:eastAsia="方正仿宋_GBK" w:cs="方正仿宋_GBK"/>
                <w:bCs/>
                <w:kern w:val="0"/>
                <w:sz w:val="28"/>
                <w:szCs w:val="36"/>
                <w:lang w:val="en-US" w:eastAsia="zh-CN"/>
              </w:rPr>
            </w:pPr>
          </w:p>
        </w:tc>
        <w:tc>
          <w:tcPr>
            <w:tcW w:w="1672" w:type="dxa"/>
            <w:vAlign w:val="center"/>
          </w:tcPr>
          <w:p w14:paraId="419A1D6B">
            <w:pPr>
              <w:snapToGrid w:val="0"/>
              <w:jc w:val="center"/>
              <w:rPr>
                <w:rFonts w:hint="eastAsia" w:ascii="方正仿宋_GBK" w:hAnsi="方正仿宋_GBK" w:eastAsia="方正仿宋_GBK" w:cs="方正仿宋_GBK"/>
                <w:bCs/>
                <w:kern w:val="0"/>
                <w:sz w:val="28"/>
                <w:szCs w:val="36"/>
              </w:rPr>
            </w:pPr>
            <w:r>
              <w:rPr>
                <w:rFonts w:hint="eastAsia" w:ascii="方正仿宋_GBK" w:hAnsi="方正仿宋_GBK" w:eastAsia="方正仿宋_GBK" w:cs="方正仿宋_GBK"/>
                <w:bCs/>
                <w:kern w:val="0"/>
                <w:sz w:val="28"/>
                <w:szCs w:val="36"/>
              </w:rPr>
              <w:t>手   机</w:t>
            </w:r>
          </w:p>
        </w:tc>
        <w:tc>
          <w:tcPr>
            <w:tcW w:w="1751" w:type="dxa"/>
            <w:vAlign w:val="center"/>
          </w:tcPr>
          <w:p w14:paraId="40F2BAEA">
            <w:pPr>
              <w:snapToGrid w:val="0"/>
              <w:jc w:val="center"/>
              <w:rPr>
                <w:rFonts w:hint="eastAsia" w:ascii="方正仿宋_GBK" w:hAnsi="方正仿宋_GBK" w:eastAsia="方正仿宋_GBK" w:cs="方正仿宋_GBK"/>
                <w:bCs/>
                <w:kern w:val="0"/>
                <w:sz w:val="28"/>
                <w:szCs w:val="36"/>
                <w:lang w:val="en-US" w:eastAsia="zh-CN"/>
              </w:rPr>
            </w:pPr>
            <w:r>
              <w:rPr>
                <w:rFonts w:hint="eastAsia" w:ascii="方正仿宋_GBK" w:hAnsi="方正仿宋_GBK" w:eastAsia="方正仿宋_GBK" w:cs="方正仿宋_GBK"/>
                <w:bCs/>
                <w:kern w:val="0"/>
                <w:sz w:val="28"/>
                <w:szCs w:val="36"/>
                <w:lang w:val="en-US" w:eastAsia="zh-CN"/>
              </w:rPr>
              <w:t>19969204470</w:t>
            </w:r>
          </w:p>
        </w:tc>
      </w:tr>
      <w:tr w14:paraId="4A16BBF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2" w:hRule="atLeast"/>
        </w:trPr>
        <w:tc>
          <w:tcPr>
            <w:tcW w:w="1380" w:type="dxa"/>
            <w:vMerge w:val="continue"/>
            <w:vAlign w:val="center"/>
          </w:tcPr>
          <w:p w14:paraId="7A8A1728">
            <w:pPr>
              <w:snapToGrid w:val="0"/>
              <w:jc w:val="center"/>
              <w:rPr>
                <w:rFonts w:hint="eastAsia" w:ascii="方正仿宋_GBK" w:hAnsi="方正仿宋_GBK" w:eastAsia="方正仿宋_GBK" w:cs="方正仿宋_GBK"/>
                <w:bCs/>
                <w:kern w:val="0"/>
                <w:sz w:val="28"/>
                <w:szCs w:val="36"/>
              </w:rPr>
            </w:pPr>
          </w:p>
        </w:tc>
        <w:tc>
          <w:tcPr>
            <w:tcW w:w="1791" w:type="dxa"/>
            <w:vAlign w:val="center"/>
          </w:tcPr>
          <w:p w14:paraId="49E06BD0">
            <w:pPr>
              <w:snapToGrid w:val="0"/>
              <w:jc w:val="center"/>
              <w:rPr>
                <w:rFonts w:hint="eastAsia" w:ascii="方正仿宋_GBK" w:hAnsi="方正仿宋_GBK" w:eastAsia="方正仿宋_GBK" w:cs="方正仿宋_GBK"/>
                <w:bCs/>
                <w:kern w:val="0"/>
                <w:sz w:val="28"/>
                <w:szCs w:val="36"/>
              </w:rPr>
            </w:pPr>
            <w:r>
              <w:rPr>
                <w:rFonts w:hint="eastAsia" w:ascii="方正仿宋_GBK" w:hAnsi="方正仿宋_GBK" w:eastAsia="方正仿宋_GBK" w:cs="方正仿宋_GBK"/>
                <w:bCs/>
                <w:kern w:val="0"/>
                <w:sz w:val="28"/>
                <w:szCs w:val="36"/>
              </w:rPr>
              <w:t>传   真</w:t>
            </w:r>
          </w:p>
        </w:tc>
        <w:tc>
          <w:tcPr>
            <w:tcW w:w="1678" w:type="dxa"/>
            <w:vAlign w:val="center"/>
          </w:tcPr>
          <w:p w14:paraId="231F5C3D">
            <w:pPr>
              <w:snapToGrid w:val="0"/>
              <w:jc w:val="center"/>
              <w:rPr>
                <w:rFonts w:hint="eastAsia" w:ascii="方正仿宋_GBK" w:hAnsi="方正仿宋_GBK" w:eastAsia="方正仿宋_GBK" w:cs="方正仿宋_GBK"/>
                <w:bCs/>
                <w:kern w:val="0"/>
                <w:sz w:val="28"/>
                <w:szCs w:val="36"/>
              </w:rPr>
            </w:pPr>
          </w:p>
        </w:tc>
        <w:tc>
          <w:tcPr>
            <w:tcW w:w="1672" w:type="dxa"/>
            <w:vAlign w:val="center"/>
          </w:tcPr>
          <w:p w14:paraId="22722635">
            <w:pPr>
              <w:snapToGrid w:val="0"/>
              <w:jc w:val="center"/>
              <w:rPr>
                <w:rFonts w:hint="eastAsia" w:ascii="方正仿宋_GBK" w:hAnsi="方正仿宋_GBK" w:eastAsia="方正仿宋_GBK" w:cs="方正仿宋_GBK"/>
                <w:bCs/>
                <w:kern w:val="0"/>
                <w:sz w:val="28"/>
                <w:szCs w:val="36"/>
              </w:rPr>
            </w:pPr>
            <w:r>
              <w:rPr>
                <w:rFonts w:hint="eastAsia" w:ascii="方正仿宋_GBK" w:hAnsi="方正仿宋_GBK" w:eastAsia="方正仿宋_GBK" w:cs="方正仿宋_GBK"/>
                <w:bCs/>
                <w:kern w:val="0"/>
                <w:sz w:val="28"/>
                <w:szCs w:val="36"/>
              </w:rPr>
              <w:t>电子邮箱</w:t>
            </w:r>
          </w:p>
        </w:tc>
        <w:tc>
          <w:tcPr>
            <w:tcW w:w="1751" w:type="dxa"/>
            <w:vAlign w:val="center"/>
          </w:tcPr>
          <w:p w14:paraId="49F64DA8">
            <w:pPr>
              <w:snapToGrid w:val="0"/>
              <w:jc w:val="center"/>
              <w:rPr>
                <w:rFonts w:hint="eastAsia" w:ascii="方正仿宋_GBK" w:hAnsi="方正仿宋_GBK" w:eastAsia="方正仿宋_GBK" w:cs="方正仿宋_GBK"/>
                <w:bCs/>
                <w:kern w:val="0"/>
                <w:sz w:val="28"/>
                <w:szCs w:val="36"/>
              </w:rPr>
            </w:pPr>
          </w:p>
        </w:tc>
      </w:tr>
      <w:tr w14:paraId="23A3F8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68" w:hRule="atLeast"/>
        </w:trPr>
        <w:tc>
          <w:tcPr>
            <w:tcW w:w="1380" w:type="dxa"/>
            <w:vAlign w:val="center"/>
          </w:tcPr>
          <w:p w14:paraId="607FAD17">
            <w:pPr>
              <w:snapToGrid w:val="0"/>
              <w:jc w:val="center"/>
              <w:rPr>
                <w:rFonts w:hint="eastAsia" w:ascii="方正仿宋_GBK" w:hAnsi="方正仿宋_GBK" w:eastAsia="方正仿宋_GBK" w:cs="方正仿宋_GBK"/>
                <w:bCs/>
                <w:kern w:val="0"/>
                <w:sz w:val="28"/>
                <w:szCs w:val="36"/>
              </w:rPr>
            </w:pPr>
            <w:r>
              <w:rPr>
                <w:rFonts w:hint="eastAsia" w:ascii="方正仿宋_GBK" w:hAnsi="方正仿宋_GBK" w:eastAsia="方正仿宋_GBK" w:cs="方正仿宋_GBK"/>
                <w:bCs/>
                <w:kern w:val="0"/>
                <w:sz w:val="28"/>
                <w:szCs w:val="36"/>
              </w:rPr>
              <w:t>校企合作类型</w:t>
            </w:r>
          </w:p>
        </w:tc>
        <w:tc>
          <w:tcPr>
            <w:tcW w:w="6892" w:type="dxa"/>
            <w:gridSpan w:val="4"/>
            <w:vAlign w:val="center"/>
          </w:tcPr>
          <w:p w14:paraId="71092CCE">
            <w:pPr>
              <w:snapToGrid w:val="0"/>
              <w:jc w:val="left"/>
              <w:rPr>
                <w:rFonts w:hint="eastAsia" w:ascii="方正仿宋_GBK" w:hAnsi="方正仿宋_GBK" w:eastAsia="方正仿宋_GBK" w:cs="方正仿宋_GBK"/>
                <w:bCs/>
                <w:kern w:val="0"/>
                <w:sz w:val="28"/>
                <w:szCs w:val="36"/>
              </w:rPr>
            </w:pPr>
            <w:r>
              <w:rPr>
                <w:rFonts w:hint="eastAsia" w:ascii="方正仿宋_GBK" w:hAnsi="方正仿宋_GBK" w:eastAsia="方正仿宋_GBK" w:cs="方正仿宋_GBK"/>
                <w:bCs/>
                <w:kern w:val="0"/>
                <w:sz w:val="28"/>
                <w:szCs w:val="36"/>
                <w:lang w:eastAsia="zh-CN"/>
              </w:rPr>
              <w:t>□</w:t>
            </w:r>
            <w:r>
              <w:rPr>
                <w:rFonts w:hint="eastAsia" w:ascii="方正仿宋_GBK" w:hAnsi="方正仿宋_GBK" w:eastAsia="方正仿宋_GBK" w:cs="方正仿宋_GBK"/>
                <w:bCs/>
                <w:kern w:val="0"/>
                <w:sz w:val="28"/>
                <w:szCs w:val="36"/>
              </w:rPr>
              <w:t xml:space="preserve">校企深度合作项目企业  □产业学院  </w:t>
            </w:r>
            <w:r>
              <w:rPr>
                <w:rFonts w:hint="eastAsia" w:ascii="方正仿宋_GBK" w:hAnsi="方正仿宋_GBK" w:eastAsia="方正仿宋_GBK" w:cs="方正仿宋_GBK"/>
                <w:bCs/>
                <w:kern w:val="0"/>
                <w:sz w:val="28"/>
                <w:szCs w:val="36"/>
              </w:rPr>
              <w:sym w:font="Wingdings 2" w:char="00A3"/>
            </w:r>
            <w:r>
              <w:rPr>
                <w:rFonts w:hint="eastAsia" w:ascii="方正仿宋_GBK" w:hAnsi="方正仿宋_GBK" w:eastAsia="方正仿宋_GBK" w:cs="方正仿宋_GBK"/>
                <w:bCs/>
                <w:kern w:val="0"/>
                <w:sz w:val="28"/>
                <w:szCs w:val="36"/>
              </w:rPr>
              <w:t xml:space="preserve">企业学院  </w:t>
            </w:r>
            <w:r>
              <w:rPr>
                <w:rFonts w:hint="eastAsia" w:ascii="方正仿宋_GBK" w:hAnsi="方正仿宋_GBK" w:eastAsia="方正仿宋_GBK" w:cs="方正仿宋_GBK"/>
                <w:bCs/>
                <w:kern w:val="0"/>
                <w:sz w:val="28"/>
                <w:szCs w:val="36"/>
                <w:lang w:eastAsia="zh-CN"/>
              </w:rPr>
              <w:t>☑</w:t>
            </w:r>
            <w:r>
              <w:rPr>
                <w:rFonts w:hint="eastAsia" w:ascii="方正仿宋_GBK" w:hAnsi="方正仿宋_GBK" w:eastAsia="方正仿宋_GBK" w:cs="方正仿宋_GBK"/>
                <w:bCs/>
                <w:kern w:val="0"/>
                <w:sz w:val="28"/>
                <w:szCs w:val="36"/>
              </w:rPr>
              <w:t xml:space="preserve">其他 </w:t>
            </w:r>
            <w:r>
              <w:rPr>
                <w:rFonts w:hint="eastAsia" w:ascii="方正仿宋_GBK" w:hAnsi="方正仿宋_GBK" w:eastAsia="方正仿宋_GBK" w:cs="方正仿宋_GBK"/>
                <w:bCs/>
                <w:kern w:val="2"/>
                <w:sz w:val="28"/>
                <w:szCs w:val="36"/>
                <w:u w:val="single"/>
              </w:rPr>
              <w:t xml:space="preserve">                        </w:t>
            </w:r>
            <w:r>
              <w:rPr>
                <w:rFonts w:hint="eastAsia" w:ascii="方正仿宋_GBK" w:hAnsi="方正仿宋_GBK" w:eastAsia="方正仿宋_GBK" w:cs="方正仿宋_GBK"/>
                <w:bCs/>
                <w:kern w:val="0"/>
                <w:sz w:val="28"/>
                <w:szCs w:val="36"/>
              </w:rPr>
              <w:t xml:space="preserve">                      </w:t>
            </w:r>
          </w:p>
        </w:tc>
      </w:tr>
      <w:tr w14:paraId="68C349C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2" w:hRule="atLeast"/>
        </w:trPr>
        <w:tc>
          <w:tcPr>
            <w:tcW w:w="1380" w:type="dxa"/>
            <w:vAlign w:val="center"/>
          </w:tcPr>
          <w:p w14:paraId="44194C6E">
            <w:pPr>
              <w:snapToGrid w:val="0"/>
              <w:jc w:val="center"/>
              <w:rPr>
                <w:rFonts w:hint="eastAsia" w:ascii="方正仿宋_GBK" w:hAnsi="方正仿宋_GBK" w:eastAsia="方正仿宋_GBK" w:cs="方正仿宋_GBK"/>
                <w:bCs/>
                <w:kern w:val="0"/>
                <w:sz w:val="28"/>
                <w:szCs w:val="36"/>
              </w:rPr>
            </w:pPr>
            <w:r>
              <w:rPr>
                <w:rFonts w:hint="eastAsia" w:ascii="方正仿宋_GBK" w:hAnsi="方正仿宋_GBK" w:eastAsia="方正仿宋_GBK" w:cs="方正仿宋_GBK"/>
                <w:bCs/>
                <w:kern w:val="0"/>
                <w:sz w:val="28"/>
                <w:szCs w:val="36"/>
              </w:rPr>
              <w:t>企业导师数量</w:t>
            </w:r>
          </w:p>
        </w:tc>
        <w:tc>
          <w:tcPr>
            <w:tcW w:w="3469" w:type="dxa"/>
            <w:gridSpan w:val="2"/>
            <w:vAlign w:val="center"/>
          </w:tcPr>
          <w:p w14:paraId="3846BD84">
            <w:pPr>
              <w:snapToGrid w:val="0"/>
              <w:jc w:val="center"/>
              <w:rPr>
                <w:rFonts w:hint="default" w:ascii="方正仿宋_GBK" w:hAnsi="方正仿宋_GBK" w:eastAsia="方正仿宋_GBK" w:cs="方正仿宋_GBK"/>
                <w:bCs/>
                <w:kern w:val="0"/>
                <w:sz w:val="28"/>
                <w:szCs w:val="36"/>
                <w:lang w:val="en-US" w:eastAsia="zh-CN"/>
              </w:rPr>
            </w:pPr>
            <w:r>
              <w:rPr>
                <w:rFonts w:hint="eastAsia" w:ascii="方正仿宋_GBK" w:hAnsi="方正仿宋_GBK" w:eastAsia="方正仿宋_GBK" w:cs="方正仿宋_GBK"/>
                <w:bCs/>
                <w:kern w:val="0"/>
                <w:sz w:val="28"/>
                <w:szCs w:val="36"/>
                <w:lang w:val="en-US" w:eastAsia="zh-CN"/>
              </w:rPr>
              <w:t>120</w:t>
            </w:r>
          </w:p>
        </w:tc>
        <w:tc>
          <w:tcPr>
            <w:tcW w:w="1672" w:type="dxa"/>
            <w:vAlign w:val="center"/>
          </w:tcPr>
          <w:p w14:paraId="1082A131">
            <w:pPr>
              <w:snapToGrid w:val="0"/>
              <w:jc w:val="center"/>
              <w:rPr>
                <w:rFonts w:hint="eastAsia" w:ascii="方正仿宋_GBK" w:hAnsi="方正仿宋_GBK" w:eastAsia="方正仿宋_GBK" w:cs="方正仿宋_GBK"/>
                <w:bCs/>
                <w:kern w:val="0"/>
                <w:sz w:val="28"/>
                <w:szCs w:val="36"/>
              </w:rPr>
            </w:pPr>
            <w:r>
              <w:rPr>
                <w:rFonts w:hint="eastAsia" w:ascii="方正仿宋_GBK" w:hAnsi="方正仿宋_GBK" w:eastAsia="方正仿宋_GBK" w:cs="方正仿宋_GBK"/>
                <w:bCs/>
                <w:kern w:val="0"/>
                <w:sz w:val="28"/>
                <w:szCs w:val="36"/>
              </w:rPr>
              <w:t>接纳企业实践教师数量</w:t>
            </w:r>
          </w:p>
        </w:tc>
        <w:tc>
          <w:tcPr>
            <w:tcW w:w="1751" w:type="dxa"/>
            <w:vAlign w:val="center"/>
          </w:tcPr>
          <w:p w14:paraId="0D1ABA4B">
            <w:pPr>
              <w:snapToGrid w:val="0"/>
              <w:jc w:val="center"/>
              <w:rPr>
                <w:rFonts w:hint="default" w:ascii="方正仿宋_GBK" w:hAnsi="方正仿宋_GBK" w:eastAsia="方正仿宋_GBK" w:cs="方正仿宋_GBK"/>
                <w:bCs/>
                <w:kern w:val="0"/>
                <w:sz w:val="28"/>
                <w:szCs w:val="36"/>
                <w:lang w:val="en-US" w:eastAsia="zh-CN"/>
              </w:rPr>
            </w:pPr>
            <w:r>
              <w:rPr>
                <w:rFonts w:hint="eastAsia" w:ascii="方正仿宋_GBK" w:hAnsi="方正仿宋_GBK" w:eastAsia="方正仿宋_GBK" w:cs="方正仿宋_GBK"/>
                <w:bCs/>
                <w:kern w:val="0"/>
                <w:sz w:val="28"/>
                <w:szCs w:val="36"/>
                <w:lang w:val="en-US" w:eastAsia="zh-CN"/>
              </w:rPr>
              <w:t>30</w:t>
            </w:r>
          </w:p>
        </w:tc>
      </w:tr>
      <w:tr w14:paraId="1025531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210" w:hRule="atLeast"/>
        </w:trPr>
        <w:tc>
          <w:tcPr>
            <w:tcW w:w="1380" w:type="dxa"/>
            <w:vAlign w:val="center"/>
          </w:tcPr>
          <w:p w14:paraId="535E1F76">
            <w:pPr>
              <w:snapToGrid w:val="0"/>
              <w:jc w:val="center"/>
              <w:rPr>
                <w:rFonts w:ascii="宋体" w:hAnsi="宋体" w:eastAsia="宋体" w:cs="宋体"/>
                <w:bCs/>
                <w:kern w:val="0"/>
                <w:sz w:val="24"/>
              </w:rPr>
            </w:pPr>
            <w:r>
              <w:rPr>
                <w:rFonts w:hint="eastAsia" w:ascii="方正仿宋_GBK" w:hAnsi="方正仿宋_GBK" w:eastAsia="方正仿宋_GBK" w:cs="方正仿宋_GBK"/>
                <w:bCs/>
                <w:kern w:val="0"/>
                <w:sz w:val="32"/>
                <w:szCs w:val="32"/>
              </w:rPr>
              <w:t>企业基本情况</w:t>
            </w:r>
          </w:p>
        </w:tc>
        <w:tc>
          <w:tcPr>
            <w:tcW w:w="6892" w:type="dxa"/>
            <w:gridSpan w:val="4"/>
          </w:tcPr>
          <w:p w14:paraId="641F7240">
            <w:pPr>
              <w:snapToGrid w:val="0"/>
              <w:ind w:firstLine="640" w:firstLineChars="200"/>
              <w:rPr>
                <w:rFonts w:hint="eastAsia" w:ascii="方正仿宋_GBK" w:hAnsi="方正仿宋_GBK" w:eastAsia="方正仿宋_GBK" w:cs="方正仿宋_GBK"/>
                <w:bCs/>
                <w:kern w:val="0"/>
                <w:sz w:val="32"/>
                <w:szCs w:val="32"/>
                <w:lang w:val="en-US" w:eastAsia="zh-CN"/>
              </w:rPr>
            </w:pPr>
            <w:r>
              <w:rPr>
                <w:rFonts w:hint="eastAsia" w:ascii="方正仿宋_GBK" w:hAnsi="方正仿宋_GBK" w:eastAsia="方正仿宋_GBK" w:cs="方正仿宋_GBK"/>
                <w:bCs/>
                <w:kern w:val="0"/>
                <w:sz w:val="32"/>
                <w:szCs w:val="32"/>
                <w:lang w:val="en-US" w:eastAsia="zh-CN"/>
              </w:rPr>
              <w:t>昆明市五华区高正好老师教育培训学校有限公司芒市第二分公司，是高正好老师教育培训学校在德宏州芒市设立的重要分支机构。公司依托总校成熟的教育体系，主要以中小学文化课培训、艺术素质提升、学习能力训练等为核心业务，面向芒市及周边地区提供系统化、专业化、规范化的教育服务。</w:t>
            </w:r>
          </w:p>
          <w:p w14:paraId="080FDC56">
            <w:pPr>
              <w:snapToGrid w:val="0"/>
              <w:ind w:firstLine="640" w:firstLineChars="200"/>
              <w:rPr>
                <w:rFonts w:hint="eastAsia" w:ascii="方正仿宋_GBK" w:hAnsi="方正仿宋_GBK" w:eastAsia="方正仿宋_GBK" w:cs="方正仿宋_GBK"/>
                <w:bCs/>
                <w:kern w:val="0"/>
                <w:sz w:val="32"/>
                <w:szCs w:val="32"/>
                <w:lang w:val="en-US" w:eastAsia="zh-CN"/>
              </w:rPr>
            </w:pPr>
            <w:r>
              <w:rPr>
                <w:rFonts w:hint="eastAsia" w:ascii="方正仿宋_GBK" w:hAnsi="方正仿宋_GBK" w:eastAsia="方正仿宋_GBK" w:cs="方正仿宋_GBK"/>
                <w:bCs/>
                <w:kern w:val="0"/>
                <w:sz w:val="32"/>
                <w:szCs w:val="32"/>
                <w:lang w:val="en-US" w:eastAsia="zh-CN"/>
              </w:rPr>
              <w:t>公司坚持“让每一个孩子都能看见自己的成长”的办学理念，强调个性化辅导、科学化教学、标准化管理。学校拥有较为完善的教学场地、现代化教学设备，建立了稳定的师资团队，教师多具有丰富的一线教学经验与教育情怀，能够结合学生特点开展分层教学与差异化指导。</w:t>
            </w:r>
          </w:p>
          <w:p w14:paraId="7CA97408">
            <w:pPr>
              <w:snapToGrid w:val="0"/>
              <w:rPr>
                <w:rFonts w:hint="eastAsia" w:ascii="方正仿宋_GBK" w:hAnsi="方正仿宋_GBK" w:eastAsia="方正仿宋_GBK" w:cs="方正仿宋_GBK"/>
                <w:bCs/>
                <w:kern w:val="0"/>
                <w:sz w:val="32"/>
                <w:szCs w:val="32"/>
                <w:lang w:val="en-US" w:eastAsia="zh-CN"/>
              </w:rPr>
            </w:pPr>
          </w:p>
          <w:p w14:paraId="09FCB07B">
            <w:pPr>
              <w:snapToGrid w:val="0"/>
              <w:rPr>
                <w:rFonts w:hint="default" w:ascii="宋体" w:hAnsi="宋体" w:eastAsia="宋体" w:cs="宋体"/>
                <w:bCs/>
                <w:kern w:val="0"/>
                <w:sz w:val="24"/>
                <w:lang w:val="en-US" w:eastAsia="zh-CN"/>
              </w:rPr>
            </w:pPr>
            <w:r>
              <w:rPr>
                <w:rFonts w:hint="eastAsia" w:ascii="方正仿宋_GBK" w:hAnsi="方正仿宋_GBK" w:eastAsia="方正仿宋_GBK" w:cs="方正仿宋_GBK"/>
                <w:bCs/>
                <w:kern w:val="0"/>
                <w:sz w:val="32"/>
                <w:szCs w:val="32"/>
                <w:lang w:val="en-US" w:eastAsia="zh-CN"/>
              </w:rPr>
              <w:t>同时，公司积极开展与公立学校、家庭教育机构的合作，推动课后服务、寒暑假提升课程等项目落地，为当地教育补充优质资源，为家长和学生提供多样化学习选择。凭借良好的口碑与教学质量，芒市第二分公司已逐步成为当地具有影响力的培训机构之一。</w:t>
            </w:r>
          </w:p>
        </w:tc>
      </w:tr>
      <w:tr w14:paraId="780D3A4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210" w:hRule="atLeast"/>
        </w:trPr>
        <w:tc>
          <w:tcPr>
            <w:tcW w:w="1380" w:type="dxa"/>
            <w:vAlign w:val="center"/>
          </w:tcPr>
          <w:p w14:paraId="6952DCCE">
            <w:pPr>
              <w:snapToGrid w:val="0"/>
              <w:jc w:val="center"/>
              <w:rPr>
                <w:rFonts w:hint="eastAsia" w:ascii="方正仿宋_GBK" w:hAnsi="方正仿宋_GBK" w:eastAsia="方正仿宋_GBK" w:cs="方正仿宋_GBK"/>
                <w:bCs/>
                <w:kern w:val="0"/>
                <w:sz w:val="32"/>
                <w:szCs w:val="32"/>
                <w:lang w:val="en-US" w:eastAsia="zh-CN"/>
              </w:rPr>
            </w:pPr>
            <w:r>
              <w:rPr>
                <w:rFonts w:hint="eastAsia" w:ascii="方正仿宋_GBK" w:hAnsi="方正仿宋_GBK" w:eastAsia="方正仿宋_GBK" w:cs="方正仿宋_GBK"/>
                <w:bCs/>
                <w:kern w:val="0"/>
                <w:sz w:val="32"/>
                <w:szCs w:val="32"/>
                <w:lang w:val="en-US" w:eastAsia="zh-CN"/>
              </w:rPr>
              <w:t>考察</w:t>
            </w:r>
          </w:p>
          <w:p w14:paraId="13C5A11A">
            <w:pPr>
              <w:snapToGrid w:val="0"/>
              <w:jc w:val="center"/>
              <w:rPr>
                <w:rFonts w:hint="eastAsia" w:ascii="宋体" w:hAnsi="宋体" w:eastAsia="宋体" w:cs="宋体"/>
                <w:bCs/>
                <w:kern w:val="0"/>
                <w:sz w:val="24"/>
                <w:lang w:val="en-US" w:eastAsia="zh-CN"/>
              </w:rPr>
            </w:pPr>
            <w:r>
              <w:rPr>
                <w:rFonts w:hint="eastAsia" w:ascii="方正仿宋_GBK" w:hAnsi="方正仿宋_GBK" w:eastAsia="方正仿宋_GBK" w:cs="方正仿宋_GBK"/>
                <w:bCs/>
                <w:kern w:val="0"/>
                <w:sz w:val="32"/>
                <w:szCs w:val="32"/>
                <w:lang w:val="en-US" w:eastAsia="zh-CN"/>
              </w:rPr>
              <w:t>报告</w:t>
            </w:r>
          </w:p>
        </w:tc>
        <w:tc>
          <w:tcPr>
            <w:tcW w:w="6892" w:type="dxa"/>
            <w:gridSpan w:val="4"/>
          </w:tcPr>
          <w:p w14:paraId="4678D18A">
            <w:pPr>
              <w:snapToGrid w:val="0"/>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一、考察背景与目的</w:t>
            </w:r>
          </w:p>
          <w:p w14:paraId="0AFDB61D">
            <w:pPr>
              <w:snapToGrid w:val="0"/>
              <w:ind w:firstLine="640" w:firstLineChars="200"/>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为进一步了解社会教育机构运行模式，深化学生对教育培训行业的认知，更好地探索校企合作路径，我院组织师生对昆明市五华区高正好老师教育培训学校有限公司芒市第二分公司进行实地考察。此次考察旨在：</w:t>
            </w:r>
          </w:p>
          <w:p w14:paraId="0156D54D">
            <w:pPr>
              <w:snapToGrid w:val="0"/>
              <w:ind w:firstLine="640" w:firstLineChars="200"/>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1.了解企业运营状况、发展模式、岗位需求；</w:t>
            </w:r>
          </w:p>
          <w:p w14:paraId="043BDAC0">
            <w:pPr>
              <w:snapToGrid w:val="0"/>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探索师资建设、课程体系、教学管理等方面的经验；</w:t>
            </w:r>
          </w:p>
          <w:p w14:paraId="5A511E47">
            <w:pPr>
              <w:snapToGrid w:val="0"/>
              <w:ind w:firstLine="640" w:firstLineChars="200"/>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2.为今后学生实习、就业与产教融合寻找合作契机；</w:t>
            </w:r>
          </w:p>
          <w:p w14:paraId="792403D9">
            <w:pPr>
              <w:snapToGrid w:val="0"/>
              <w:ind w:firstLine="640" w:firstLineChars="200"/>
              <w:rPr>
                <w:rFonts w:hint="eastAsia" w:ascii="方正仿宋_GBK" w:hAnsi="方正仿宋_GBK" w:eastAsia="方正仿宋_GBK" w:cs="方正仿宋_GBK"/>
                <w:b w:val="0"/>
                <w:bCs w:val="0"/>
                <w:sz w:val="32"/>
                <w:szCs w:val="32"/>
                <w:lang w:val="en-US" w:eastAsia="zh-CN"/>
              </w:rPr>
            </w:pPr>
            <w:bookmarkStart w:id="0" w:name="_GoBack"/>
            <w:bookmarkEnd w:id="0"/>
            <w:r>
              <w:rPr>
                <w:rFonts w:hint="eastAsia" w:ascii="方正仿宋_GBK" w:hAnsi="方正仿宋_GBK" w:eastAsia="方正仿宋_GBK" w:cs="方正仿宋_GBK"/>
                <w:b w:val="0"/>
                <w:bCs w:val="0"/>
                <w:sz w:val="32"/>
                <w:szCs w:val="32"/>
                <w:lang w:val="en-US" w:eastAsia="zh-CN"/>
              </w:rPr>
              <w:t>3.借鉴培训机构在教学服务、家校沟通中的有效做法。</w:t>
            </w:r>
          </w:p>
          <w:p w14:paraId="04254FCE">
            <w:pPr>
              <w:snapToGrid w:val="0"/>
              <w:rPr>
                <w:rFonts w:hint="default" w:ascii="方正仿宋_GBK" w:hAnsi="方正仿宋_GBK" w:eastAsia="方正仿宋_GBK" w:cs="方正仿宋_GBK"/>
                <w:b/>
                <w:bCs/>
                <w:sz w:val="32"/>
                <w:szCs w:val="32"/>
                <w:lang w:val="en-US" w:eastAsia="zh-CN"/>
              </w:rPr>
            </w:pPr>
            <w:r>
              <w:rPr>
                <w:rFonts w:hint="default" w:ascii="方正仿宋_GBK" w:hAnsi="方正仿宋_GBK" w:eastAsia="方正仿宋_GBK" w:cs="方正仿宋_GBK"/>
                <w:b/>
                <w:bCs/>
                <w:sz w:val="32"/>
                <w:szCs w:val="32"/>
                <w:lang w:val="en-US" w:eastAsia="zh-CN"/>
              </w:rPr>
              <w:t>二、公司基本概况</w:t>
            </w:r>
          </w:p>
          <w:p w14:paraId="6E3878F4">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default" w:ascii="方正仿宋_GBK" w:hAnsi="方正仿宋_GBK" w:eastAsia="方正仿宋_GBK" w:cs="方正仿宋_GBK"/>
                <w:b w:val="0"/>
                <w:bCs w:val="0"/>
                <w:sz w:val="32"/>
                <w:szCs w:val="32"/>
                <w:lang w:val="en-US" w:eastAsia="zh-CN"/>
              </w:rPr>
              <w:t>芒市第二分公司隶属于昆明市五华区高正好老师教育培训学校有限公司，是其在德宏州的重要布局之一。机构主营：</w:t>
            </w:r>
          </w:p>
          <w:p w14:paraId="79691EC1">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1.</w:t>
            </w:r>
            <w:r>
              <w:rPr>
                <w:rFonts w:hint="default" w:ascii="方正仿宋_GBK" w:hAnsi="方正仿宋_GBK" w:eastAsia="方正仿宋_GBK" w:cs="方正仿宋_GBK"/>
                <w:b w:val="0"/>
                <w:bCs w:val="0"/>
                <w:sz w:val="32"/>
                <w:szCs w:val="32"/>
                <w:lang w:val="en-US" w:eastAsia="zh-CN"/>
              </w:rPr>
              <w:t>中小学语文、数学、英语学科辅导</w:t>
            </w:r>
          </w:p>
          <w:p w14:paraId="6BB1D8F4">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2.</w:t>
            </w:r>
            <w:r>
              <w:rPr>
                <w:rFonts w:hint="default" w:ascii="方正仿宋_GBK" w:hAnsi="方正仿宋_GBK" w:eastAsia="方正仿宋_GBK" w:cs="方正仿宋_GBK"/>
                <w:b w:val="0"/>
                <w:bCs w:val="0"/>
                <w:sz w:val="32"/>
                <w:szCs w:val="32"/>
                <w:lang w:val="en-US" w:eastAsia="zh-CN"/>
              </w:rPr>
              <w:t>艺术素质培养、书法、口才、乐器等特色课程</w:t>
            </w:r>
          </w:p>
          <w:p w14:paraId="2284A3CA">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3.</w:t>
            </w:r>
            <w:r>
              <w:rPr>
                <w:rFonts w:hint="default" w:ascii="方正仿宋_GBK" w:hAnsi="方正仿宋_GBK" w:eastAsia="方正仿宋_GBK" w:cs="方正仿宋_GBK"/>
                <w:b w:val="0"/>
                <w:bCs w:val="0"/>
                <w:sz w:val="32"/>
                <w:szCs w:val="32"/>
                <w:lang w:val="en-US" w:eastAsia="zh-CN"/>
              </w:rPr>
              <w:t>学习能力提升课程</w:t>
            </w:r>
            <w:r>
              <w:rPr>
                <w:rFonts w:hint="eastAsia" w:ascii="方正仿宋_GBK" w:hAnsi="方正仿宋_GBK" w:eastAsia="方正仿宋_GBK" w:cs="方正仿宋_GBK"/>
                <w:b w:val="0"/>
                <w:bCs w:val="0"/>
                <w:sz w:val="32"/>
                <w:szCs w:val="32"/>
                <w:lang w:val="en-US" w:eastAsia="zh-CN"/>
              </w:rPr>
              <w:t>,包括专升本以及教师资格证考试等。</w:t>
            </w:r>
          </w:p>
          <w:p w14:paraId="34BF620C">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4.</w:t>
            </w:r>
            <w:r>
              <w:rPr>
                <w:rFonts w:hint="default" w:ascii="方正仿宋_GBK" w:hAnsi="方正仿宋_GBK" w:eastAsia="方正仿宋_GBK" w:cs="方正仿宋_GBK"/>
                <w:b w:val="0"/>
                <w:bCs w:val="0"/>
                <w:sz w:val="32"/>
                <w:szCs w:val="32"/>
                <w:lang w:val="en-US" w:eastAsia="zh-CN"/>
              </w:rPr>
              <w:t>寒暑假培训与课后延时服务</w:t>
            </w:r>
          </w:p>
          <w:p w14:paraId="7F0BA18D">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5.</w:t>
            </w:r>
            <w:r>
              <w:rPr>
                <w:rFonts w:hint="default" w:ascii="方正仿宋_GBK" w:hAnsi="方正仿宋_GBK" w:eastAsia="方正仿宋_GBK" w:cs="方正仿宋_GBK"/>
                <w:b w:val="0"/>
                <w:bCs w:val="0"/>
                <w:sz w:val="32"/>
                <w:szCs w:val="32"/>
                <w:lang w:val="en-US" w:eastAsia="zh-CN"/>
              </w:rPr>
              <w:t>特色主题研学与家庭教育指导</w:t>
            </w:r>
          </w:p>
          <w:p w14:paraId="2BC88B4C">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default" w:ascii="方正仿宋_GBK" w:hAnsi="方正仿宋_GBK" w:eastAsia="方正仿宋_GBK" w:cs="方正仿宋_GBK"/>
                <w:b w:val="0"/>
                <w:bCs w:val="0"/>
                <w:sz w:val="32"/>
                <w:szCs w:val="32"/>
                <w:lang w:val="en-US" w:eastAsia="zh-CN"/>
              </w:rPr>
              <w:t>学校管理体系规范，目标明确，具备独立教学场地、配套教学设备、多媒体教室、学情分析系统，整体运行较为稳定。分公司发展定位清晰，致力于为芒市基础教育提供优质补充资源。</w:t>
            </w:r>
          </w:p>
          <w:p w14:paraId="4F450BC9">
            <w:pPr>
              <w:snapToGrid w:val="0"/>
              <w:rPr>
                <w:rFonts w:hint="default" w:ascii="方正仿宋_GBK" w:hAnsi="方正仿宋_GBK" w:eastAsia="方正仿宋_GBK" w:cs="方正仿宋_GBK"/>
                <w:b/>
                <w:bCs/>
                <w:sz w:val="32"/>
                <w:szCs w:val="32"/>
                <w:lang w:val="en-US" w:eastAsia="zh-CN"/>
              </w:rPr>
            </w:pPr>
            <w:r>
              <w:rPr>
                <w:rFonts w:hint="default" w:ascii="方正仿宋_GBK" w:hAnsi="方正仿宋_GBK" w:eastAsia="方正仿宋_GBK" w:cs="方正仿宋_GBK"/>
                <w:b/>
                <w:bCs/>
                <w:sz w:val="32"/>
                <w:szCs w:val="32"/>
                <w:lang w:val="en-US" w:eastAsia="zh-CN"/>
              </w:rPr>
              <w:t>三、教学模式与师资力量</w:t>
            </w:r>
          </w:p>
          <w:p w14:paraId="54151AB8">
            <w:pPr>
              <w:snapToGrid w:val="0"/>
              <w:rPr>
                <w:rFonts w:hint="default" w:ascii="方正仿宋_GBK" w:hAnsi="方正仿宋_GBK" w:eastAsia="方正仿宋_GBK" w:cs="方正仿宋_GBK"/>
                <w:b w:val="0"/>
                <w:bCs w:val="0"/>
                <w:sz w:val="32"/>
                <w:szCs w:val="32"/>
                <w:lang w:val="en-US" w:eastAsia="zh-CN"/>
              </w:rPr>
            </w:pPr>
            <w:r>
              <w:rPr>
                <w:rFonts w:hint="default" w:ascii="方正仿宋_GBK" w:hAnsi="方正仿宋_GBK" w:eastAsia="方正仿宋_GBK" w:cs="方正仿宋_GBK"/>
                <w:b/>
                <w:bCs/>
                <w:sz w:val="32"/>
                <w:szCs w:val="32"/>
                <w:lang w:val="en-US" w:eastAsia="zh-CN"/>
              </w:rPr>
              <w:t>（一）教学模式</w:t>
            </w:r>
          </w:p>
          <w:p w14:paraId="3C96D50A">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default" w:ascii="方正仿宋_GBK" w:hAnsi="方正仿宋_GBK" w:eastAsia="方正仿宋_GBK" w:cs="方正仿宋_GBK"/>
                <w:b w:val="0"/>
                <w:bCs w:val="0"/>
                <w:sz w:val="32"/>
                <w:szCs w:val="32"/>
                <w:lang w:val="en-US" w:eastAsia="zh-CN"/>
              </w:rPr>
              <w:t>机构采用“统一教材、统一教研、统一管理”的三统一模式，同时结合芒市学生的学习特点，形成以下特色：</w:t>
            </w:r>
          </w:p>
          <w:p w14:paraId="34B85291">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1.</w:t>
            </w:r>
            <w:r>
              <w:rPr>
                <w:rFonts w:hint="default" w:ascii="方正仿宋_GBK" w:hAnsi="方正仿宋_GBK" w:eastAsia="方正仿宋_GBK" w:cs="方正仿宋_GBK"/>
                <w:b w:val="0"/>
                <w:bCs w:val="0"/>
                <w:sz w:val="32"/>
                <w:szCs w:val="32"/>
                <w:lang w:val="en-US" w:eastAsia="zh-CN"/>
              </w:rPr>
              <w:t>小班教学：每班10–20人，保证教师关注到每个学生。</w:t>
            </w:r>
          </w:p>
          <w:p w14:paraId="60FF9C8D">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2.</w:t>
            </w:r>
            <w:r>
              <w:rPr>
                <w:rFonts w:hint="default" w:ascii="方正仿宋_GBK" w:hAnsi="方正仿宋_GBK" w:eastAsia="方正仿宋_GBK" w:cs="方正仿宋_GBK"/>
                <w:b w:val="0"/>
                <w:bCs w:val="0"/>
                <w:sz w:val="32"/>
                <w:szCs w:val="32"/>
                <w:lang w:val="en-US" w:eastAsia="zh-CN"/>
              </w:rPr>
              <w:t>分层辅导：依据学生学情设立不同难度层级，精准提升。</w:t>
            </w:r>
          </w:p>
          <w:p w14:paraId="5D76E9B6">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3.</w:t>
            </w:r>
            <w:r>
              <w:rPr>
                <w:rFonts w:hint="default" w:ascii="方正仿宋_GBK" w:hAnsi="方正仿宋_GBK" w:eastAsia="方正仿宋_GBK" w:cs="方正仿宋_GBK"/>
                <w:b w:val="0"/>
                <w:bCs w:val="0"/>
                <w:sz w:val="32"/>
                <w:szCs w:val="32"/>
                <w:lang w:val="en-US" w:eastAsia="zh-CN"/>
              </w:rPr>
              <w:t>家校沟通机制完善：每节课后及时发送课堂反馈，家长可实时了解学习情况。</w:t>
            </w:r>
          </w:p>
          <w:p w14:paraId="3F2409AF">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4.</w:t>
            </w:r>
            <w:r>
              <w:rPr>
                <w:rFonts w:hint="default" w:ascii="方正仿宋_GBK" w:hAnsi="方正仿宋_GBK" w:eastAsia="方正仿宋_GBK" w:cs="方正仿宋_GBK"/>
                <w:b w:val="0"/>
                <w:bCs w:val="0"/>
                <w:sz w:val="32"/>
                <w:szCs w:val="32"/>
                <w:lang w:val="en-US" w:eastAsia="zh-CN"/>
              </w:rPr>
              <w:t>阶段性测评：通过单元检测、月测、期中期末模拟，掌握学生学习效果。</w:t>
            </w:r>
          </w:p>
          <w:p w14:paraId="200F0326">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5.</w:t>
            </w:r>
            <w:r>
              <w:rPr>
                <w:rFonts w:hint="default" w:ascii="方正仿宋_GBK" w:hAnsi="方正仿宋_GBK" w:eastAsia="方正仿宋_GBK" w:cs="方正仿宋_GBK"/>
                <w:b w:val="0"/>
                <w:bCs w:val="0"/>
                <w:sz w:val="32"/>
                <w:szCs w:val="32"/>
                <w:lang w:val="en-US" w:eastAsia="zh-CN"/>
              </w:rPr>
              <w:t>沉浸式素质活动：如口才展示会、书法成果展、主题朗诵等，提升综合素养。</w:t>
            </w:r>
          </w:p>
          <w:p w14:paraId="2CDCFE7F">
            <w:pPr>
              <w:snapToGrid w:val="0"/>
              <w:rPr>
                <w:rFonts w:hint="default" w:ascii="方正仿宋_GBK" w:hAnsi="方正仿宋_GBK" w:eastAsia="方正仿宋_GBK" w:cs="方正仿宋_GBK"/>
                <w:b w:val="0"/>
                <w:bCs w:val="0"/>
                <w:sz w:val="32"/>
                <w:szCs w:val="32"/>
                <w:lang w:val="en-US" w:eastAsia="zh-CN"/>
              </w:rPr>
            </w:pPr>
            <w:r>
              <w:rPr>
                <w:rFonts w:hint="default" w:ascii="方正仿宋_GBK" w:hAnsi="方正仿宋_GBK" w:eastAsia="方正仿宋_GBK" w:cs="方正仿宋_GBK"/>
                <w:b/>
                <w:bCs/>
                <w:sz w:val="32"/>
                <w:szCs w:val="32"/>
                <w:lang w:val="en-US" w:eastAsia="zh-CN"/>
              </w:rPr>
              <w:t>（二）师资力量</w:t>
            </w:r>
          </w:p>
          <w:p w14:paraId="3BF31146">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1.</w:t>
            </w:r>
            <w:r>
              <w:rPr>
                <w:rFonts w:hint="default" w:ascii="方正仿宋_GBK" w:hAnsi="方正仿宋_GBK" w:eastAsia="方正仿宋_GBK" w:cs="方正仿宋_GBK"/>
                <w:b w:val="0"/>
                <w:bCs w:val="0"/>
                <w:sz w:val="32"/>
                <w:szCs w:val="32"/>
                <w:lang w:val="en-US" w:eastAsia="zh-CN"/>
              </w:rPr>
              <w:t>师资队伍稳定，主要由本科及以上学历教师组成；</w:t>
            </w:r>
          </w:p>
          <w:p w14:paraId="38345AF5">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2.</w:t>
            </w:r>
            <w:r>
              <w:rPr>
                <w:rFonts w:hint="default" w:ascii="方正仿宋_GBK" w:hAnsi="方正仿宋_GBK" w:eastAsia="方正仿宋_GBK" w:cs="方正仿宋_GBK"/>
                <w:b w:val="0"/>
                <w:bCs w:val="0"/>
                <w:sz w:val="32"/>
                <w:szCs w:val="32"/>
                <w:lang w:val="en-US" w:eastAsia="zh-CN"/>
              </w:rPr>
              <w:t>多位教师具有5年以上教学经验，熟悉中小学教材与考纲；</w:t>
            </w:r>
          </w:p>
          <w:p w14:paraId="3AF46F04">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3.</w:t>
            </w:r>
            <w:r>
              <w:rPr>
                <w:rFonts w:hint="default" w:ascii="方正仿宋_GBK" w:hAnsi="方正仿宋_GBK" w:eastAsia="方正仿宋_GBK" w:cs="方正仿宋_GBK"/>
                <w:b w:val="0"/>
                <w:bCs w:val="0"/>
                <w:sz w:val="32"/>
                <w:szCs w:val="32"/>
                <w:lang w:val="en-US" w:eastAsia="zh-CN"/>
              </w:rPr>
              <w:t>教师定期参加总校组织的培训，包括教研能力提升、心理辅导培训、课程迭代研修等；</w:t>
            </w:r>
          </w:p>
          <w:p w14:paraId="7F4D3169">
            <w:pPr>
              <w:snapToGrid w:val="0"/>
              <w:ind w:firstLine="640" w:firstLineChars="200"/>
              <w:rPr>
                <w:rFonts w:hint="default" w:ascii="方正仿宋_GBK" w:hAnsi="方正仿宋_GBK" w:eastAsia="方正仿宋_GBK" w:cs="方正仿宋_GBK"/>
                <w:b w:val="0"/>
                <w:bCs w:val="0"/>
                <w:sz w:val="32"/>
                <w:szCs w:val="32"/>
                <w:lang w:val="en-US" w:eastAsia="zh-CN"/>
              </w:rPr>
            </w:pPr>
          </w:p>
          <w:p w14:paraId="2E7B79EA">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4.</w:t>
            </w:r>
            <w:r>
              <w:rPr>
                <w:rFonts w:hint="default" w:ascii="方正仿宋_GBK" w:hAnsi="方正仿宋_GBK" w:eastAsia="方正仿宋_GBK" w:cs="方正仿宋_GBK"/>
                <w:b w:val="0"/>
                <w:bCs w:val="0"/>
                <w:sz w:val="32"/>
                <w:szCs w:val="32"/>
                <w:lang w:val="en-US" w:eastAsia="zh-CN"/>
              </w:rPr>
              <w:t>部分教师具备专项特长（书法、美术、朗读、舞蹈等），支撑机构的艺术课程特色。</w:t>
            </w:r>
          </w:p>
          <w:p w14:paraId="0DC2A6CF">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5.</w:t>
            </w:r>
            <w:r>
              <w:rPr>
                <w:rFonts w:hint="default" w:ascii="方正仿宋_GBK" w:hAnsi="方正仿宋_GBK" w:eastAsia="方正仿宋_GBK" w:cs="方正仿宋_GBK"/>
                <w:b w:val="0"/>
                <w:bCs w:val="0"/>
                <w:sz w:val="32"/>
                <w:szCs w:val="32"/>
                <w:lang w:val="en-US" w:eastAsia="zh-CN"/>
              </w:rPr>
              <w:t>师资队伍整体呈现专业化、年轻化与责任感强等特点。</w:t>
            </w:r>
          </w:p>
          <w:p w14:paraId="552A87C4">
            <w:pPr>
              <w:snapToGrid w:val="0"/>
              <w:rPr>
                <w:rFonts w:hint="default" w:ascii="方正仿宋_GBK" w:hAnsi="方正仿宋_GBK" w:eastAsia="方正仿宋_GBK" w:cs="方正仿宋_GBK"/>
                <w:b w:val="0"/>
                <w:bCs w:val="0"/>
                <w:sz w:val="32"/>
                <w:szCs w:val="32"/>
                <w:lang w:val="en-US" w:eastAsia="zh-CN"/>
              </w:rPr>
            </w:pPr>
            <w:r>
              <w:rPr>
                <w:rFonts w:hint="default" w:ascii="方正仿宋_GBK" w:hAnsi="方正仿宋_GBK" w:eastAsia="方正仿宋_GBK" w:cs="方正仿宋_GBK"/>
                <w:b/>
                <w:bCs/>
                <w:sz w:val="32"/>
                <w:szCs w:val="32"/>
                <w:lang w:val="en-US" w:eastAsia="zh-CN"/>
              </w:rPr>
              <w:t>四、发展现状与成果</w:t>
            </w:r>
          </w:p>
          <w:p w14:paraId="7F3D0C34">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1.</w:t>
            </w:r>
            <w:r>
              <w:rPr>
                <w:rFonts w:hint="default" w:ascii="方正仿宋_GBK" w:hAnsi="方正仿宋_GBK" w:eastAsia="方正仿宋_GBK" w:cs="方正仿宋_GBK"/>
                <w:b w:val="0"/>
                <w:bCs w:val="0"/>
                <w:sz w:val="32"/>
                <w:szCs w:val="32"/>
                <w:lang w:val="en-US" w:eastAsia="zh-CN"/>
              </w:rPr>
              <w:t>学生规模逐年扩展：依托口碑，生源覆盖芒市城区及部分乡镇。</w:t>
            </w:r>
          </w:p>
          <w:p w14:paraId="4B40B62A">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2.</w:t>
            </w:r>
            <w:r>
              <w:rPr>
                <w:rFonts w:hint="default" w:ascii="方正仿宋_GBK" w:hAnsi="方正仿宋_GBK" w:eastAsia="方正仿宋_GBK" w:cs="方正仿宋_GBK"/>
                <w:b w:val="0"/>
                <w:bCs w:val="0"/>
                <w:sz w:val="32"/>
                <w:szCs w:val="32"/>
                <w:lang w:val="en-US" w:eastAsia="zh-CN"/>
              </w:rPr>
              <w:t>课程体系不断丰富：除文化课外，开设阅读、素养类课程，满足家长多层次需求。</w:t>
            </w:r>
          </w:p>
          <w:p w14:paraId="57595062">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3.</w:t>
            </w:r>
            <w:r>
              <w:rPr>
                <w:rFonts w:hint="default" w:ascii="方正仿宋_GBK" w:hAnsi="方正仿宋_GBK" w:eastAsia="方正仿宋_GBK" w:cs="方正仿宋_GBK"/>
                <w:b w:val="0"/>
                <w:bCs w:val="0"/>
                <w:sz w:val="32"/>
                <w:szCs w:val="32"/>
                <w:lang w:val="en-US" w:eastAsia="zh-CN"/>
              </w:rPr>
              <w:t>家长满意度较高：家校互动及时有效，提升家庭教育信任感。</w:t>
            </w:r>
          </w:p>
          <w:p w14:paraId="595169C1">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4.</w:t>
            </w:r>
            <w:r>
              <w:rPr>
                <w:rFonts w:hint="default" w:ascii="方正仿宋_GBK" w:hAnsi="方正仿宋_GBK" w:eastAsia="方正仿宋_GBK" w:cs="方正仿宋_GBK"/>
                <w:b w:val="0"/>
                <w:bCs w:val="0"/>
                <w:sz w:val="32"/>
                <w:szCs w:val="32"/>
                <w:lang w:val="en-US" w:eastAsia="zh-CN"/>
              </w:rPr>
              <w:t>参与社会公益：组织“爱心助学”“公益课”活动，支持当地教育发展。</w:t>
            </w:r>
          </w:p>
          <w:p w14:paraId="7A6B63A6">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5.</w:t>
            </w:r>
            <w:r>
              <w:rPr>
                <w:rFonts w:hint="default" w:ascii="方正仿宋_GBK" w:hAnsi="方正仿宋_GBK" w:eastAsia="方正仿宋_GBK" w:cs="方正仿宋_GBK"/>
                <w:b w:val="0"/>
                <w:bCs w:val="0"/>
                <w:sz w:val="32"/>
                <w:szCs w:val="32"/>
                <w:lang w:val="en-US" w:eastAsia="zh-CN"/>
              </w:rPr>
              <w:t>教学质量稳定：多名学生在校内考试中成绩显著提升，优秀率稳步提高。</w:t>
            </w:r>
          </w:p>
          <w:p w14:paraId="70EDA818">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6.</w:t>
            </w:r>
            <w:r>
              <w:rPr>
                <w:rFonts w:hint="default" w:ascii="方正仿宋_GBK" w:hAnsi="方正仿宋_GBK" w:eastAsia="方正仿宋_GBK" w:cs="方正仿宋_GBK"/>
                <w:b w:val="0"/>
                <w:bCs w:val="0"/>
                <w:sz w:val="32"/>
                <w:szCs w:val="32"/>
                <w:lang w:val="en-US" w:eastAsia="zh-CN"/>
              </w:rPr>
              <w:t>机构已形成较为成熟的运营模式，在芒市教育培训行业中具备竞争力和良好社会声誉。</w:t>
            </w:r>
          </w:p>
          <w:p w14:paraId="0BD81731">
            <w:pPr>
              <w:snapToGrid w:val="0"/>
              <w:rPr>
                <w:rFonts w:hint="default" w:ascii="方正仿宋_GBK" w:hAnsi="方正仿宋_GBK" w:eastAsia="方正仿宋_GBK" w:cs="方正仿宋_GBK"/>
                <w:b/>
                <w:bCs/>
                <w:sz w:val="32"/>
                <w:szCs w:val="32"/>
                <w:lang w:val="en-US" w:eastAsia="zh-CN"/>
              </w:rPr>
            </w:pPr>
            <w:r>
              <w:rPr>
                <w:rFonts w:hint="default" w:ascii="方正仿宋_GBK" w:hAnsi="方正仿宋_GBK" w:eastAsia="方正仿宋_GBK" w:cs="方正仿宋_GBK"/>
                <w:b/>
                <w:bCs/>
                <w:sz w:val="32"/>
                <w:szCs w:val="32"/>
                <w:lang w:val="en-US" w:eastAsia="zh-CN"/>
              </w:rPr>
              <w:t>五、考察总结与建议</w:t>
            </w:r>
          </w:p>
          <w:p w14:paraId="38813A15">
            <w:pPr>
              <w:snapToGrid w:val="0"/>
              <w:rPr>
                <w:rFonts w:hint="default" w:ascii="方正仿宋_GBK" w:hAnsi="方正仿宋_GBK" w:eastAsia="方正仿宋_GBK" w:cs="方正仿宋_GBK"/>
                <w:b w:val="0"/>
                <w:bCs w:val="0"/>
                <w:sz w:val="32"/>
                <w:szCs w:val="32"/>
                <w:lang w:val="en-US" w:eastAsia="zh-CN"/>
              </w:rPr>
            </w:pPr>
            <w:r>
              <w:rPr>
                <w:rFonts w:hint="default" w:ascii="方正仿宋_GBK" w:hAnsi="方正仿宋_GBK" w:eastAsia="方正仿宋_GBK" w:cs="方正仿宋_GBK"/>
                <w:b/>
                <w:bCs/>
                <w:sz w:val="32"/>
                <w:szCs w:val="32"/>
                <w:lang w:val="en-US" w:eastAsia="zh-CN"/>
              </w:rPr>
              <w:t>（一）考察总结</w:t>
            </w:r>
          </w:p>
          <w:p w14:paraId="72A450FA">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default" w:ascii="方正仿宋_GBK" w:hAnsi="方正仿宋_GBK" w:eastAsia="方正仿宋_GBK" w:cs="方正仿宋_GBK"/>
                <w:b w:val="0"/>
                <w:bCs w:val="0"/>
                <w:sz w:val="32"/>
                <w:szCs w:val="32"/>
                <w:lang w:val="en-US" w:eastAsia="zh-CN"/>
              </w:rPr>
              <w:t>通过本次实地走访，我们对培训机构的办学体系、课程结构、教师队伍与运营管理有了更全面的认识。该机构能够：</w:t>
            </w:r>
          </w:p>
          <w:p w14:paraId="7F80D803">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1.</w:t>
            </w:r>
            <w:r>
              <w:rPr>
                <w:rFonts w:hint="default" w:ascii="方正仿宋_GBK" w:hAnsi="方正仿宋_GBK" w:eastAsia="方正仿宋_GBK" w:cs="方正仿宋_GBK"/>
                <w:b w:val="0"/>
                <w:bCs w:val="0"/>
                <w:sz w:val="32"/>
                <w:szCs w:val="32"/>
                <w:lang w:val="en-US" w:eastAsia="zh-CN"/>
              </w:rPr>
              <w:t>有效满足当地基础教育补充需求；</w:t>
            </w:r>
          </w:p>
          <w:p w14:paraId="757554E8">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2.</w:t>
            </w:r>
            <w:r>
              <w:rPr>
                <w:rFonts w:hint="default" w:ascii="方正仿宋_GBK" w:hAnsi="方正仿宋_GBK" w:eastAsia="方正仿宋_GBK" w:cs="方正仿宋_GBK"/>
                <w:b w:val="0"/>
                <w:bCs w:val="0"/>
                <w:sz w:val="32"/>
                <w:szCs w:val="32"/>
                <w:lang w:val="en-US" w:eastAsia="zh-CN"/>
              </w:rPr>
              <w:t>通过标准化教学流程保障课程质量；</w:t>
            </w:r>
          </w:p>
          <w:p w14:paraId="611680EF">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3.</w:t>
            </w:r>
            <w:r>
              <w:rPr>
                <w:rFonts w:hint="default" w:ascii="方正仿宋_GBK" w:hAnsi="方正仿宋_GBK" w:eastAsia="方正仿宋_GBK" w:cs="方正仿宋_GBK"/>
                <w:b w:val="0"/>
                <w:bCs w:val="0"/>
                <w:sz w:val="32"/>
                <w:szCs w:val="32"/>
                <w:lang w:val="en-US" w:eastAsia="zh-CN"/>
              </w:rPr>
              <w:t>通过差异化课程提供多元学习体验；</w:t>
            </w:r>
          </w:p>
          <w:p w14:paraId="7DE8FB82">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4.</w:t>
            </w:r>
            <w:r>
              <w:rPr>
                <w:rFonts w:hint="default" w:ascii="方正仿宋_GBK" w:hAnsi="方正仿宋_GBK" w:eastAsia="方正仿宋_GBK" w:cs="方正仿宋_GBK"/>
                <w:b w:val="0"/>
                <w:bCs w:val="0"/>
                <w:sz w:val="32"/>
                <w:szCs w:val="32"/>
                <w:lang w:val="en-US" w:eastAsia="zh-CN"/>
              </w:rPr>
              <w:t>为未来学前教育及教育类学生提供实践与就业平台。</w:t>
            </w:r>
          </w:p>
          <w:p w14:paraId="2D4BD959">
            <w:pPr>
              <w:snapToGrid w:val="0"/>
              <w:rPr>
                <w:rFonts w:hint="default" w:ascii="方正仿宋_GBK" w:hAnsi="方正仿宋_GBK" w:eastAsia="方正仿宋_GBK" w:cs="方正仿宋_GBK"/>
                <w:b w:val="0"/>
                <w:bCs w:val="0"/>
                <w:sz w:val="32"/>
                <w:szCs w:val="32"/>
                <w:lang w:val="en-US" w:eastAsia="zh-CN"/>
              </w:rPr>
            </w:pPr>
            <w:r>
              <w:rPr>
                <w:rFonts w:hint="default" w:ascii="方正仿宋_GBK" w:hAnsi="方正仿宋_GBK" w:eastAsia="方正仿宋_GBK" w:cs="方正仿宋_GBK"/>
                <w:b/>
                <w:bCs/>
                <w:sz w:val="32"/>
                <w:szCs w:val="32"/>
                <w:lang w:val="en-US" w:eastAsia="zh-CN"/>
              </w:rPr>
              <w:t>（二）建议</w:t>
            </w:r>
          </w:p>
          <w:p w14:paraId="223F2592">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1.</w:t>
            </w:r>
            <w:r>
              <w:rPr>
                <w:rFonts w:hint="default" w:ascii="方正仿宋_GBK" w:hAnsi="方正仿宋_GBK" w:eastAsia="方正仿宋_GBK" w:cs="方正仿宋_GBK"/>
                <w:b w:val="0"/>
                <w:bCs w:val="0"/>
                <w:sz w:val="32"/>
                <w:szCs w:val="32"/>
                <w:lang w:val="en-US" w:eastAsia="zh-CN"/>
              </w:rPr>
              <w:t>加强校企合作</w:t>
            </w:r>
          </w:p>
          <w:p w14:paraId="325DD591">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2.</w:t>
            </w:r>
            <w:r>
              <w:rPr>
                <w:rFonts w:hint="default" w:ascii="方正仿宋_GBK" w:hAnsi="方正仿宋_GBK" w:eastAsia="方正仿宋_GBK" w:cs="方正仿宋_GBK"/>
                <w:b w:val="0"/>
                <w:bCs w:val="0"/>
                <w:sz w:val="32"/>
                <w:szCs w:val="32"/>
                <w:lang w:val="en-US" w:eastAsia="zh-CN"/>
              </w:rPr>
              <w:t>建议与该机构建立稳定合作机制，开展实习实践、教育见习、课程研发等工作。</w:t>
            </w:r>
          </w:p>
          <w:p w14:paraId="47D2DE11">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3.</w:t>
            </w:r>
            <w:r>
              <w:rPr>
                <w:rFonts w:hint="default" w:ascii="方正仿宋_GBK" w:hAnsi="方正仿宋_GBK" w:eastAsia="方正仿宋_GBK" w:cs="方正仿宋_GBK"/>
                <w:b w:val="0"/>
                <w:bCs w:val="0"/>
                <w:sz w:val="32"/>
                <w:szCs w:val="32"/>
                <w:lang w:val="en-US" w:eastAsia="zh-CN"/>
              </w:rPr>
              <w:t>深化美育与素质教育类合作</w:t>
            </w:r>
          </w:p>
          <w:p w14:paraId="1628D385">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4.</w:t>
            </w:r>
            <w:r>
              <w:rPr>
                <w:rFonts w:hint="default" w:ascii="方正仿宋_GBK" w:hAnsi="方正仿宋_GBK" w:eastAsia="方正仿宋_GBK" w:cs="方正仿宋_GBK"/>
                <w:b w:val="0"/>
                <w:bCs w:val="0"/>
                <w:sz w:val="32"/>
                <w:szCs w:val="32"/>
                <w:lang w:val="en-US" w:eastAsia="zh-CN"/>
              </w:rPr>
              <w:t>可在艺术教育、口才表达、儿童阅读等领域探索共建课程。</w:t>
            </w:r>
          </w:p>
          <w:p w14:paraId="5FDE0AA8">
            <w:pPr>
              <w:snapToGrid w:val="0"/>
              <w:rPr>
                <w:rFonts w:hint="default"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（三）</w:t>
            </w:r>
            <w:r>
              <w:rPr>
                <w:rFonts w:hint="default" w:ascii="方正仿宋_GBK" w:hAnsi="方正仿宋_GBK" w:eastAsia="方正仿宋_GBK" w:cs="方正仿宋_GBK"/>
                <w:b/>
                <w:bCs/>
                <w:sz w:val="32"/>
                <w:szCs w:val="32"/>
                <w:lang w:val="en-US" w:eastAsia="zh-CN"/>
              </w:rPr>
              <w:t>探索产教融合项目</w:t>
            </w:r>
          </w:p>
          <w:p w14:paraId="591B2AA1">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default" w:ascii="方正仿宋_GBK" w:hAnsi="方正仿宋_GBK" w:eastAsia="方正仿宋_GBK" w:cs="方正仿宋_GBK"/>
                <w:b w:val="0"/>
                <w:bCs w:val="0"/>
                <w:sz w:val="32"/>
                <w:szCs w:val="32"/>
                <w:lang w:val="en-US" w:eastAsia="zh-CN"/>
              </w:rPr>
              <w:t>共建“学生实训基地”，开展教研交流、教师能力提升活动，实现双向赋能。</w:t>
            </w:r>
          </w:p>
          <w:p w14:paraId="4522F8DD">
            <w:pPr>
              <w:snapToGrid w:val="0"/>
              <w:rPr>
                <w:rFonts w:hint="default"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（四）</w:t>
            </w:r>
            <w:r>
              <w:rPr>
                <w:rFonts w:hint="default" w:ascii="方正仿宋_GBK" w:hAnsi="方正仿宋_GBK" w:eastAsia="方正仿宋_GBK" w:cs="方正仿宋_GBK"/>
                <w:b/>
                <w:bCs/>
                <w:sz w:val="32"/>
                <w:szCs w:val="32"/>
                <w:lang w:val="en-US" w:eastAsia="zh-CN"/>
              </w:rPr>
              <w:t>关注儿童心理支持</w:t>
            </w:r>
          </w:p>
          <w:p w14:paraId="5D9B2067">
            <w:pPr>
              <w:snapToGrid w:val="0"/>
              <w:ind w:firstLine="640" w:firstLineChars="200"/>
              <w:rPr>
                <w:rFonts w:hint="default" w:ascii="方正仿宋_GBK" w:hAnsi="方正仿宋_GBK" w:eastAsia="方正仿宋_GBK" w:cs="方正仿宋_GBK"/>
                <w:b w:val="0"/>
                <w:bCs w:val="0"/>
                <w:sz w:val="32"/>
                <w:szCs w:val="32"/>
                <w:lang w:val="en-US" w:eastAsia="zh-CN"/>
              </w:rPr>
            </w:pPr>
            <w:r>
              <w:rPr>
                <w:rFonts w:hint="default" w:ascii="方正仿宋_GBK" w:hAnsi="方正仿宋_GBK" w:eastAsia="方正仿宋_GBK" w:cs="方正仿宋_GBK"/>
                <w:b w:val="0"/>
                <w:bCs w:val="0"/>
                <w:sz w:val="32"/>
                <w:szCs w:val="32"/>
                <w:lang w:val="en-US" w:eastAsia="zh-CN"/>
              </w:rPr>
              <w:t>建议引入更多儿童心理健康教育内容，尤其是对留守儿童与双职工家庭子女的支持。</w:t>
            </w:r>
          </w:p>
        </w:tc>
      </w:tr>
    </w:tbl>
    <w:p w14:paraId="1C586DD6">
      <w:pPr>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1" w:fontKey="{93627456-DFA0-41F6-B9FA-364E5132909A}"/>
  </w:font>
  <w:font w:name="方正小标宋_GBK">
    <w:panose1 w:val="02000000000000000000"/>
    <w:charset w:val="86"/>
    <w:family w:val="auto"/>
    <w:pitch w:val="default"/>
    <w:sig w:usb0="A00002BF" w:usb1="38CF7CFA" w:usb2="00082016" w:usb3="00000000" w:csb0="00040001" w:csb1="00000000"/>
    <w:embedRegular r:id="rId2" w:fontKey="{ACFA8F0F-B058-4379-92FC-7AB068417AEE}"/>
  </w:font>
  <w:font w:name="方正仿宋_GBK">
    <w:panose1 w:val="02000000000000000000"/>
    <w:charset w:val="86"/>
    <w:family w:val="auto"/>
    <w:pitch w:val="default"/>
    <w:sig w:usb0="A00002BF" w:usb1="38CF7CFA" w:usb2="00082016" w:usb3="00000000" w:csb0="00040001" w:csb1="00000000"/>
    <w:embedRegular r:id="rId3" w:fontKey="{9B0F1D08-DE32-446F-9AF9-3BD8D1B7DDF6}"/>
  </w:font>
  <w:font w:name="Wingdings 2">
    <w:altName w:val="Wingdings"/>
    <w:panose1 w:val="05020102010507070707"/>
    <w:charset w:val="02"/>
    <w:family w:val="roman"/>
    <w:pitch w:val="default"/>
    <w:sig w:usb0="00000000" w:usb1="00000000" w:usb2="00000000" w:usb3="00000000" w:csb0="80000000" w:csb1="00000000"/>
    <w:embedRegular r:id="rId4" w:fontKey="{A0CF3C8D-856F-4DE7-9704-313BDB789188}"/>
  </w:font>
  <w:font w:name="Kingsoft UE">
    <w:panose1 w:val="02000100010000000000"/>
    <w:charset w:val="00"/>
    <w:family w:val="auto"/>
    <w:pitch w:val="default"/>
    <w:sig w:usb0="00000001" w:usb1="00004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73608D"/>
    <w:rsid w:val="773B5011"/>
    <w:rsid w:val="7E7360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宋体" w:cs="Arial"/>
      <w:kern w:val="2"/>
      <w:sz w:val="32"/>
      <w:szCs w:val="32"/>
      <w:lang w:val="en-US" w:eastAsia="zh-CN" w:bidi="ar-SA"/>
    </w:rPr>
  </w:style>
  <w:style w:type="paragraph" w:styleId="2">
    <w:name w:val="heading 2"/>
    <w:next w:val="1"/>
    <w:semiHidden/>
    <w:unhideWhenUsed/>
    <w:qFormat/>
    <w:uiPriority w:val="0"/>
    <w:pPr>
      <w:widowControl w:val="0"/>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next w:val="1"/>
    <w:semiHidden/>
    <w:unhideWhenUsed/>
    <w:qFormat/>
    <w:uiPriority w:val="0"/>
    <w:pPr>
      <w:widowControl w:val="0"/>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qFormat/>
    <w:uiPriority w:val="0"/>
    <w:pPr>
      <w:widowControl w:val="0"/>
      <w:spacing w:before="0" w:beforeAutospacing="1" w:after="0" w:afterAutospacing="1"/>
      <w:ind w:left="0" w:right="0"/>
      <w:jc w:val="left"/>
    </w:pPr>
    <w:rPr>
      <w:rFonts w:ascii="Arial" w:hAnsi="Arial" w:eastAsia="宋体" w:cs="Arial"/>
      <w:kern w:val="0"/>
      <w:sz w:val="24"/>
      <w:szCs w:val="32"/>
      <w:lang w:val="en-US" w:eastAsia="zh-CN" w:bidi="ar"/>
    </w:rPr>
  </w:style>
  <w:style w:type="table" w:styleId="6">
    <w:name w:val="Table Grid"/>
    <w:qFormat/>
    <w:uiPriority w:val="59"/>
    <w:rPr>
      <w:rFonts w:ascii="Times New Roman" w:hAnsi="Times New Roman" w:eastAsia="宋体" w:cs="Times New Roman"/>
      <w:kern w:val="0"/>
      <w:sz w:val="20"/>
      <w:szCs w:val="20"/>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8">
    <w:name w:val="Strong"/>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1930</Words>
  <Characters>2002</Characters>
  <Lines>0</Lines>
  <Paragraphs>0</Paragraphs>
  <TotalTime>15</TotalTime>
  <ScaleCrop>false</ScaleCrop>
  <LinksUpToDate>false</LinksUpToDate>
  <CharactersWithSpaces>2103</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2025-11-14T03:38:00Z</dcterms:created>
  <dc:creator>罗吉良</dc:creator>
  <cp:lastModifiedBy>罗吉良</cp:lastModifiedBy>
  <dcterms:modified xsi:type="dcterms:W3CDTF">2025-11-14T04:12:35Z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A59E3C6E728F4D4FB6A6C0B75E933195_11</vt:lpwstr>
  </property>
  <property fmtid="{D5CDD505-2E9C-101B-9397-08002B2CF9AE}" pid="4" name="KSOTemplateDocerSaveRecord">
    <vt:lpwstr>eyJoZGlkIjoiNDJmNjlmNjZjMDhiYWE4ZjUzOGNjZjRjNWY3MzcyYjEiLCJ1c2VySWQiOiIxNjAyNzUzNzM1In0=</vt:lpwstr>
  </property>
</Properties>
</file>