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4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2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第一学期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第二学期</w:t>
            </w:r>
          </w:p>
        </w:tc>
        <w:tc>
          <w:tcPr>
            <w:tcW w:w="354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第三学期（实习）</w:t>
            </w:r>
          </w:p>
        </w:tc>
        <w:tc>
          <w:tcPr>
            <w:tcW w:w="3267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第四学期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思想道德与法治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3 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color w:val="auto"/>
                <w:sz w:val="20"/>
                <w:szCs w:val="21"/>
              </w:rPr>
            </w:pPr>
            <w:r>
              <w:rPr>
                <w:rFonts w:ascii="Times New Roman" w:hAnsi="Times New Roman"/>
                <w:color w:val="auto"/>
                <w:kern w:val="0"/>
                <w:szCs w:val="21"/>
              </w:rPr>
              <w:t>毛泽东思想和中国特色社会主义理论体系概论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auto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2（3周）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大学生心理健康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="宋体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 w:eastAsia="宋体"/>
                <w:b/>
                <w:bCs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color w:val="auto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2（3周）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color w:val="auto"/>
                <w:sz w:val="20"/>
                <w:szCs w:val="21"/>
              </w:rPr>
            </w:pPr>
            <w:r>
              <w:rPr>
                <w:rFonts w:ascii="Times New Roman" w:hAnsi="Times New Roman"/>
                <w:color w:val="auto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auto"/>
                <w:kern w:val="0"/>
                <w:sz w:val="20"/>
                <w:szCs w:val="20"/>
                <w:lang w:val="en-US" w:eastAsia="zh-CN" w:bidi="ar"/>
              </w:rPr>
              <w:t>2（3周）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rFonts w:hint="eastAsia" w:eastAsiaTheme="minorEastAsia"/>
                <w:bCs/>
                <w:color w:val="00B0F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00B0F0"/>
                <w:sz w:val="20"/>
                <w:szCs w:val="21"/>
                <w:lang w:val="en-US" w:eastAsia="zh-CN"/>
              </w:rPr>
              <w:t>幼儿园环境创设与利用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00B0F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00B0F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习近平新时代中国特色社会主义思想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rFonts w:hint="default"/>
                <w:color w:val="auto"/>
                <w:sz w:val="20"/>
                <w:szCs w:val="21"/>
                <w:lang w:val="en-US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Cs w:val="21"/>
                <w:lang w:val="en-US" w:eastAsia="zh-CN"/>
              </w:rPr>
              <w:t>中华民族共同体概论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 w:val="20"/>
                <w:szCs w:val="21"/>
                <w:lang w:val="en-US" w:eastAsia="zh-CN"/>
              </w:rPr>
              <w:t>1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幼儿歌曲弹唱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FF000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FF0000"/>
                <w:sz w:val="2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计算机基础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rFonts w:hint="default" w:eastAsiaTheme="minorEastAsia"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color w:val="auto"/>
                <w:szCs w:val="21"/>
              </w:rPr>
              <w:t>大学语文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民族民间舞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top"/>
              <w:rPr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大学体育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bCs/>
                <w:color w:val="auto"/>
                <w:sz w:val="20"/>
                <w:szCs w:val="21"/>
              </w:rPr>
            </w:pPr>
            <w:r>
              <w:rPr>
                <w:rFonts w:ascii="Times New Roman" w:hAnsi="Times New Roman"/>
                <w:color w:val="auto"/>
                <w:kern w:val="0"/>
                <w:szCs w:val="21"/>
              </w:rPr>
              <w:t>大学英语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 w:val="2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声乐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大学英语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spacing w:line="480" w:lineRule="auto"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 w:val="20"/>
                <w:szCs w:val="21"/>
                <w:lang w:val="en-US" w:eastAsia="zh-CN"/>
              </w:rPr>
              <w:t>大学体育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葫芦丝制作与演奏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szCs w:val="21"/>
              </w:rPr>
              <w:t>普通话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rFonts w:hint="default" w:eastAsiaTheme="minorEastAsia"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color w:val="auto"/>
                <w:kern w:val="0"/>
                <w:szCs w:val="21"/>
              </w:rPr>
              <w:t>美术</w:t>
            </w:r>
            <w:r>
              <w:rPr>
                <w:rFonts w:hint="eastAsia" w:ascii="Times New Roman" w:hAnsi="Times New Roman"/>
                <w:color w:val="auto"/>
                <w:kern w:val="0"/>
                <w:szCs w:val="21"/>
              </w:rPr>
              <w:t>与手工基础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auto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学前儿童社会教育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美术与手工基础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2409" w:type="dxa"/>
            <w:vAlign w:val="top"/>
          </w:tcPr>
          <w:p>
            <w:pPr>
              <w:widowControl/>
              <w:textAlignment w:val="baseline"/>
              <w:rPr>
                <w:rFonts w:hint="eastAsia" w:eastAsiaTheme="minorEastAsia"/>
                <w:bCs/>
                <w:color w:val="auto"/>
                <w:sz w:val="20"/>
                <w:szCs w:val="21"/>
                <w:lang w:val="en-US" w:eastAsia="zh-CN"/>
              </w:rPr>
            </w:pPr>
            <w:r>
              <w:rPr>
                <w:rFonts w:ascii="Times New Roman" w:hAnsi="Times New Roman"/>
                <w:color w:val="auto"/>
                <w:kern w:val="0"/>
                <w:szCs w:val="21"/>
              </w:rPr>
              <w:t>钢琴</w:t>
            </w:r>
            <w:r>
              <w:rPr>
                <w:rFonts w:hint="eastAsia" w:ascii="Times New Roman" w:hAnsi="Times New Roman"/>
                <w:color w:val="auto"/>
                <w:kern w:val="0"/>
                <w:szCs w:val="21"/>
              </w:rPr>
              <w:t>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auto"/>
                <w:kern w:val="0"/>
                <w:sz w:val="20"/>
                <w:szCs w:val="21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92D050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color w:val="92D050"/>
                <w:szCs w:val="21"/>
              </w:rPr>
              <w:t>学前教育</w:t>
            </w:r>
            <w:r>
              <w:rPr>
                <w:rFonts w:hint="eastAsia"/>
                <w:bCs/>
                <w:color w:val="92D050"/>
                <w:szCs w:val="21"/>
                <w:lang w:eastAsia="zh-CN"/>
              </w:rPr>
              <w:t>概论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92D05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92D050"/>
                <w:szCs w:val="21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乐理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top"/>
          </w:tcPr>
          <w:p>
            <w:pPr>
              <w:widowControl/>
              <w:textAlignment w:val="baseline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auto"/>
                <w:kern w:val="0"/>
                <w:szCs w:val="21"/>
              </w:rPr>
              <w:t>舞蹈基础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</w:rPr>
              <w:t>2</w:t>
            </w: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0"/>
                <w:szCs w:val="21"/>
                <w:lang w:val="en-US" w:eastAsia="zh-CN"/>
              </w:rPr>
              <w:t>大学生创业与就业指导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讲座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钢琴基础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b/>
                <w:color w:val="auto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vAlign w:val="top"/>
          </w:tcPr>
          <w:p>
            <w:pPr>
              <w:widowControl/>
              <w:textAlignment w:val="baseline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  <w:lang w:val="en-US" w:eastAsia="zh-CN"/>
              </w:rPr>
              <w:t>乐理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2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学前儿童健康教育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舞蹈基础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kern w:val="0"/>
                <w:sz w:val="20"/>
                <w:szCs w:val="20"/>
                <w:lang w:bidi="ar"/>
              </w:rPr>
              <w:t xml:space="preserve">2 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92D05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92D050"/>
                <w:szCs w:val="21"/>
                <w:lang w:eastAsia="zh-CN"/>
              </w:rPr>
              <w:t>数字化教育技术应用（</w:t>
            </w:r>
            <w:r>
              <w:rPr>
                <w:rFonts w:hint="eastAsia"/>
                <w:bCs/>
                <w:color w:val="92D050"/>
                <w:szCs w:val="21"/>
                <w:lang w:val="en-US" w:eastAsia="zh-CN"/>
              </w:rPr>
              <w:t>基础课）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92D05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/>
                <w:color w:val="92D050"/>
                <w:kern w:val="0"/>
                <w:szCs w:val="21"/>
              </w:rPr>
              <w:t>2</w:t>
            </w: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color w:val="00B0F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00B0F0"/>
                <w:sz w:val="20"/>
                <w:szCs w:val="21"/>
                <w:lang w:val="en-US" w:eastAsia="zh-CN"/>
              </w:rPr>
              <w:t>幼儿园课程概论（核心课）</w:t>
            </w:r>
            <w:bookmarkStart w:id="0" w:name="_GoBack"/>
            <w:bookmarkEnd w:id="0"/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bCs/>
                <w:color w:val="00B0F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color w:val="00B0F0"/>
                <w:sz w:val="20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textAlignment w:val="top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bidi="ar"/>
              </w:rPr>
              <w:t>学前教育史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bidi="ar"/>
              </w:rPr>
              <w:t xml:space="preserve">4 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eastAsiaTheme="minorEastAsia"/>
                <w:bCs/>
                <w:color w:val="70AD47" w:themeColor="accent6"/>
                <w:sz w:val="20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bCs/>
                <w:color w:val="70AD47" w:themeColor="accent6"/>
                <w:sz w:val="20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学前儿童卫生与保健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70AD47" w:themeColor="accent6"/>
                <w:kern w:val="0"/>
                <w:sz w:val="20"/>
                <w:szCs w:val="21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/>
                <w:b/>
                <w:bCs/>
                <w:color w:val="70AD47" w:themeColor="accent6"/>
                <w:szCs w:val="21"/>
                <w14:textFill>
                  <w14:solidFill>
                    <w14:schemeClr w14:val="accent6"/>
                  </w14:solidFill>
                </w14:textFill>
              </w:rPr>
              <w:t>4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 w:val="20"/>
                <w:szCs w:val="21"/>
                <w:lang w:val="en-US" w:eastAsia="zh-CN"/>
              </w:rPr>
              <w:t>大学</w:t>
            </w:r>
            <w:r>
              <w:rPr>
                <w:bCs/>
                <w:sz w:val="20"/>
                <w:szCs w:val="21"/>
              </w:rPr>
              <w:t>体育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 w:val="2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14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Times New Roman" w:hAnsi="Times New Roman" w:eastAsia="宋体" w:cstheme="minorBidi"/>
                <w:color w:val="92D05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92D050"/>
                <w:kern w:val="0"/>
                <w:szCs w:val="21"/>
                <w:lang w:bidi="ar"/>
              </w:rPr>
              <w:t>学前儿童心理</w:t>
            </w:r>
            <w:r>
              <w:rPr>
                <w:rFonts w:hint="eastAsia" w:ascii="宋体" w:hAnsi="宋体" w:eastAsia="宋体" w:cs="宋体"/>
                <w:color w:val="92D050"/>
                <w:kern w:val="0"/>
                <w:szCs w:val="21"/>
                <w:lang w:eastAsia="zh-CN" w:bidi="ar"/>
              </w:rPr>
              <w:t>发展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/>
                <w:color w:val="92D05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92D05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2409" w:type="dxa"/>
            <w:vAlign w:val="top"/>
          </w:tcPr>
          <w:p>
            <w:pPr>
              <w:widowControl/>
              <w:textAlignment w:val="baseline"/>
              <w:rPr>
                <w:rFonts w:hint="eastAsia" w:eastAsiaTheme="minorEastAsia"/>
                <w:bCs/>
                <w:color w:val="00B0F0"/>
                <w:szCs w:val="21"/>
                <w:lang w:eastAsia="zh-CN"/>
              </w:rPr>
            </w:pPr>
            <w:r>
              <w:rPr>
                <w:rFonts w:hint="eastAsia"/>
                <w:bCs/>
                <w:color w:val="00B0F0"/>
                <w:szCs w:val="21"/>
                <w:lang w:eastAsia="zh-CN"/>
              </w:rPr>
              <w:t>幼儿园教育活动设计与实施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B0F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B0F0"/>
                <w:kern w:val="0"/>
                <w:szCs w:val="21"/>
                <w:lang w:val="en-US" w:eastAsia="zh-CN"/>
              </w:rPr>
              <w:t>4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Theme="minorHAnsi" w:hAnsiTheme="minorHAnsi" w:eastAsiaTheme="minorEastAsia" w:cstheme="minorBidi"/>
                <w:bCs/>
                <w:color w:val="92D050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92D050"/>
                <w:sz w:val="20"/>
                <w:szCs w:val="21"/>
                <w:lang w:val="en-US" w:eastAsia="zh-CN"/>
              </w:rPr>
              <w:t>幼儿园课件制作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92D050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92D050"/>
                <w:sz w:val="20"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15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textAlignment w:val="baseline"/>
              <w:rPr>
                <w:rFonts w:hint="default" w:asciiTheme="minorHAnsi" w:hAnsiTheme="minorHAnsi" w:eastAsiaTheme="minorEastAsia" w:cstheme="minorBidi"/>
                <w:color w:val="auto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  <w:lang w:val="en-US" w:eastAsia="zh-CN"/>
              </w:rPr>
              <w:t>中共党史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auto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color w:val="auto"/>
                <w:kern w:val="0"/>
                <w:szCs w:val="21"/>
                <w:lang w:val="en-US" w:eastAsia="zh-CN"/>
              </w:rPr>
              <w:t>1</w:t>
            </w:r>
          </w:p>
        </w:tc>
        <w:tc>
          <w:tcPr>
            <w:tcW w:w="2409" w:type="dxa"/>
            <w:vAlign w:val="top"/>
          </w:tcPr>
          <w:p>
            <w:pPr>
              <w:widowControl/>
              <w:textAlignment w:val="baseline"/>
              <w:rPr>
                <w:rFonts w:hint="eastAsia" w:eastAsiaTheme="minorEastAsia"/>
                <w:bCs/>
                <w:color w:val="00B0F0"/>
                <w:szCs w:val="21"/>
                <w:lang w:val="en-US" w:eastAsia="zh-CN"/>
              </w:rPr>
            </w:pPr>
            <w:r>
              <w:rPr>
                <w:rFonts w:hint="eastAsia"/>
                <w:bCs/>
                <w:color w:val="00B0F0"/>
                <w:szCs w:val="21"/>
                <w:lang w:eastAsia="zh-CN"/>
              </w:rPr>
              <w:t>幼儿</w:t>
            </w:r>
            <w:r>
              <w:rPr>
                <w:rFonts w:hint="eastAsia"/>
                <w:bCs/>
                <w:color w:val="00B0F0"/>
                <w:szCs w:val="21"/>
              </w:rPr>
              <w:t>游戏与指导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B0F0"/>
                <w:kern w:val="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B0F0"/>
                <w:kern w:val="0"/>
                <w:szCs w:val="21"/>
              </w:rPr>
              <w:t>4</w:t>
            </w: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top"/>
          </w:tcPr>
          <w:p>
            <w:pPr>
              <w:widowControl/>
              <w:textAlignment w:val="baseline"/>
              <w:rPr>
                <w:rFonts w:hint="default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szCs w:val="21"/>
              </w:rPr>
              <w:t>学前儿童语言教育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default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16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  <w:t>大学生职业规划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  <w:t>1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rFonts w:hint="eastAsia"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92D05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bCs/>
                <w:color w:val="92D050"/>
                <w:kern w:val="2"/>
                <w:sz w:val="21"/>
                <w:szCs w:val="21"/>
                <w:highlight w:val="none"/>
                <w:lang w:val="en-US" w:eastAsia="zh-CN" w:bidi="ar-SA"/>
              </w:rPr>
              <w:t>教师口语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92D05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cstheme="minorBidi"/>
                <w:b/>
                <w:bCs/>
                <w:color w:val="92D050"/>
                <w:kern w:val="2"/>
                <w:sz w:val="21"/>
                <w:szCs w:val="21"/>
                <w:highlight w:val="none"/>
                <w:lang w:val="en-US" w:eastAsia="zh-CN" w:bidi="ar-SA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lang w:val="en-US" w:eastAsia="zh-CN"/>
              </w:rPr>
            </w:pP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rFonts w:hint="default" w:ascii="宋体" w:hAnsi="宋体" w:eastAsia="宋体" w:cs="宋体"/>
                <w:color w:val="000000"/>
                <w:kern w:val="0"/>
                <w:szCs w:val="21"/>
                <w:lang w:val="en-US" w:eastAsia="zh-CN" w:bidi="ar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="宋体" w:hAnsi="宋体" w:eastAsia="宋体" w:cs="宋体"/>
                <w:color w:val="000000"/>
                <w:kern w:val="0"/>
                <w:sz w:val="20"/>
                <w:szCs w:val="20"/>
                <w:lang w:val="en-US" w:eastAsia="zh-CN" w:bidi="ar"/>
              </w:rPr>
            </w:pPr>
          </w:p>
        </w:tc>
        <w:tc>
          <w:tcPr>
            <w:tcW w:w="2409" w:type="dxa"/>
            <w:vAlign w:val="center"/>
          </w:tcPr>
          <w:p>
            <w:pPr>
              <w:widowControl/>
              <w:jc w:val="center"/>
              <w:textAlignment w:val="center"/>
              <w:rPr>
                <w:rFonts w:asciiTheme="minorHAnsi" w:hAnsiTheme="minorHAnsi" w:eastAsiaTheme="minorEastAsia" w:cstheme="minorBidi"/>
                <w:bCs/>
                <w:kern w:val="2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rFonts w:hint="eastAsia" w:asciiTheme="minorHAnsi" w:hAnsiTheme="minorHAnsi" w:eastAsiaTheme="minorEastAsia" w:cstheme="minorBidi"/>
                <w:b/>
                <w:color w:val="000000"/>
                <w:kern w:val="0"/>
                <w:sz w:val="20"/>
                <w:szCs w:val="21"/>
                <w:lang w:val="en-US" w:eastAsia="zh-CN" w:bidi="ar-SA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92D050"/>
                <w:kern w:val="2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Cs/>
                <w:color w:val="92D050"/>
                <w:szCs w:val="21"/>
              </w:rPr>
              <w:t>幼儿教师职业道德</w:t>
            </w: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color w:val="92D050"/>
                <w:kern w:val="0"/>
                <w:sz w:val="20"/>
                <w:szCs w:val="21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92D050"/>
                <w:szCs w:val="21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34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  <w:lang w:val="en-US" w:eastAsia="zh-CN"/>
              </w:rPr>
              <w:t>33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 w:val="20"/>
                <w:szCs w:val="21"/>
                <w:lang w:val="en-US" w:eastAsia="zh-CN"/>
              </w:rPr>
              <w:t>32</w:t>
            </w:r>
          </w:p>
        </w:tc>
      </w:tr>
    </w:tbl>
    <w:p>
      <w:pPr>
        <w:ind w:firstLine="2209" w:firstLineChars="500"/>
        <w:textAlignment w:val="baseline"/>
        <w:rPr>
          <w:sz w:val="20"/>
        </w:rPr>
      </w:pPr>
      <w:r>
        <w:rPr>
          <w:rFonts w:hint="eastAsia"/>
          <w:b/>
          <w:bCs/>
          <w:sz w:val="44"/>
          <w:szCs w:val="44"/>
        </w:rPr>
        <w:t>学前教育班开设课程（202</w:t>
      </w:r>
      <w:r>
        <w:rPr>
          <w:rFonts w:hint="eastAsia"/>
          <w:b/>
          <w:bCs/>
          <w:sz w:val="44"/>
          <w:szCs w:val="44"/>
          <w:lang w:val="en-US" w:eastAsia="zh-CN"/>
        </w:rPr>
        <w:t>4</w:t>
      </w:r>
      <w:r>
        <w:rPr>
          <w:rFonts w:hint="eastAsia"/>
          <w:b/>
          <w:bCs/>
          <w:sz w:val="44"/>
          <w:szCs w:val="44"/>
        </w:rPr>
        <w:t>级三年制大专班）</w:t>
      </w:r>
    </w:p>
    <w:tbl>
      <w:tblPr>
        <w:tblStyle w:val="2"/>
        <w:tblW w:w="1414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3"/>
        <w:gridCol w:w="2330"/>
        <w:gridCol w:w="993"/>
        <w:gridCol w:w="2409"/>
        <w:gridCol w:w="993"/>
        <w:gridCol w:w="2149"/>
        <w:gridCol w:w="1394"/>
        <w:gridCol w:w="2116"/>
        <w:gridCol w:w="11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323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第五学期</w:t>
            </w:r>
          </w:p>
        </w:tc>
        <w:tc>
          <w:tcPr>
            <w:tcW w:w="3402" w:type="dxa"/>
            <w:gridSpan w:val="2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第六学期（实习）</w:t>
            </w:r>
          </w:p>
        </w:tc>
        <w:tc>
          <w:tcPr>
            <w:tcW w:w="3543" w:type="dxa"/>
            <w:gridSpan w:val="2"/>
          </w:tcPr>
          <w:p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3267" w:type="dxa"/>
            <w:gridSpan w:val="2"/>
          </w:tcPr>
          <w:p>
            <w:pPr>
              <w:textAlignment w:val="baseline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  <w:tcBorders>
              <w:bottom w:val="single" w:color="auto" w:sz="4" w:space="0"/>
            </w:tcBorders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40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99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394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课程名称</w:t>
            </w:r>
          </w:p>
        </w:tc>
        <w:tc>
          <w:tcPr>
            <w:tcW w:w="1151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周课时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</w:t>
            </w:r>
          </w:p>
        </w:tc>
        <w:tc>
          <w:tcPr>
            <w:tcW w:w="2330" w:type="dxa"/>
            <w:tcBorders>
              <w:bottom w:val="single" w:color="auto" w:sz="4" w:space="0"/>
            </w:tcBorders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形势与政策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0"/>
                <w:szCs w:val="20"/>
                <w:lang w:val="en-US" w:eastAsia="zh-CN" w:bidi="ar"/>
              </w:rPr>
              <w:t>2（3周）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  <w:r>
              <w:rPr>
                <w:rFonts w:hint="eastAsia" w:ascii="Times New Roman" w:hAnsi="Times New Roman"/>
                <w:color w:val="000000"/>
                <w:kern w:val="0"/>
                <w:szCs w:val="21"/>
              </w:rPr>
              <w:t>幼儿</w:t>
            </w: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美术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3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color w:val="00B0F0"/>
                <w:sz w:val="20"/>
                <w:szCs w:val="21"/>
              </w:rPr>
            </w:pPr>
            <w:r>
              <w:rPr>
                <w:rFonts w:hint="eastAsia"/>
                <w:bCs/>
                <w:color w:val="00B0F0"/>
                <w:sz w:val="20"/>
                <w:szCs w:val="21"/>
                <w:lang w:val="en-US" w:eastAsia="zh-CN"/>
              </w:rPr>
              <w:t>幼儿园环境创设与利用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B0F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00B0F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钢琴即兴伴奏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color w:val="FF0000"/>
                <w:kern w:val="0"/>
                <w:sz w:val="2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5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  <w:r>
              <w:rPr>
                <w:rFonts w:ascii="Times New Roman" w:hAnsi="Times New Roman"/>
                <w:color w:val="000000"/>
                <w:kern w:val="0"/>
                <w:szCs w:val="21"/>
              </w:rPr>
              <w:t>幼儿舞蹈创编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color w:val="000000"/>
                <w:kern w:val="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6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幼儿歌曲演唱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7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color w:val="00B0F0"/>
                <w:sz w:val="20"/>
                <w:szCs w:val="21"/>
              </w:rPr>
            </w:pPr>
            <w:r>
              <w:rPr>
                <w:rFonts w:hint="eastAsia"/>
                <w:bCs/>
                <w:color w:val="00B0F0"/>
                <w:szCs w:val="21"/>
              </w:rPr>
              <w:t>幼儿园班级管理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B0F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00B0F0"/>
                <w:szCs w:val="21"/>
              </w:rPr>
              <w:t>2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8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  <w:r>
              <w:rPr>
                <w:rFonts w:hint="eastAsia"/>
                <w:bCs/>
                <w:szCs w:val="21"/>
              </w:rPr>
              <w:t>学前儿童艺术教育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4</w:t>
            </w:r>
          </w:p>
        </w:tc>
        <w:tc>
          <w:tcPr>
            <w:tcW w:w="240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9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</w:tcPr>
          <w:p>
            <w:pPr>
              <w:widowControl/>
              <w:jc w:val="left"/>
              <w:textAlignment w:val="center"/>
              <w:rPr>
                <w:rFonts w:hint="default" w:eastAsiaTheme="minorEastAsia"/>
                <w:bCs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Cs/>
                <w:sz w:val="20"/>
                <w:szCs w:val="21"/>
                <w:lang w:val="en-US" w:eastAsia="zh-CN"/>
              </w:rPr>
              <w:t>学前儿童科学教育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2</w:t>
            </w:r>
          </w:p>
        </w:tc>
        <w:tc>
          <w:tcPr>
            <w:tcW w:w="240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10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00B0F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bCs/>
                <w:color w:val="00B0F0"/>
                <w:szCs w:val="21"/>
                <w:highlight w:val="none"/>
                <w:lang w:val="en-US" w:eastAsia="zh-CN"/>
              </w:rPr>
              <w:t>学前儿童行为观察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00B0F0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00B0F0"/>
                <w:szCs w:val="21"/>
                <w:highlight w:val="none"/>
                <w:lang w:val="en-US" w:eastAsia="zh-CN"/>
              </w:rPr>
              <w:t>4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shd w:val="clear" w:color="auto" w:fill="auto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auto"/>
                <w:szCs w:val="21"/>
              </w:rPr>
              <w:t>11</w:t>
            </w:r>
          </w:p>
        </w:tc>
        <w:tc>
          <w:tcPr>
            <w:tcW w:w="2330" w:type="dxa"/>
            <w:tcBorders>
              <w:bottom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auto"/>
                <w:sz w:val="20"/>
                <w:szCs w:val="21"/>
              </w:rPr>
            </w:pPr>
            <w:r>
              <w:rPr>
                <w:rFonts w:hint="eastAsia"/>
                <w:bCs/>
                <w:color w:val="auto"/>
                <w:szCs w:val="21"/>
              </w:rPr>
              <w:t>幼儿教师礼仪</w:t>
            </w: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tcBorders>
              <w:bottom w:val="single" w:color="auto" w:sz="4" w:space="0"/>
            </w:tcBorders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12</w:t>
            </w:r>
          </w:p>
        </w:tc>
        <w:tc>
          <w:tcPr>
            <w:tcW w:w="2330" w:type="dxa"/>
            <w:shd w:val="clear" w:color="auto" w:fill="auto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color w:val="92D050"/>
                <w:sz w:val="20"/>
                <w:szCs w:val="21"/>
              </w:rPr>
            </w:pPr>
            <w:r>
              <w:rPr>
                <w:rFonts w:hint="eastAsia"/>
                <w:bCs/>
                <w:color w:val="92D050"/>
                <w:szCs w:val="21"/>
              </w:rPr>
              <w:t>学前教育政策法规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92D05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color w:val="92D050"/>
                <w:szCs w:val="21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13</w:t>
            </w: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="Times New Roman" w:hAnsi="Times New Roman" w:eastAsiaTheme="minorEastAsia"/>
                <w:color w:val="FF0000"/>
                <w:kern w:val="0"/>
                <w:sz w:val="20"/>
                <w:szCs w:val="21"/>
                <w:lang w:eastAsia="zh-CN"/>
              </w:rPr>
            </w:pPr>
            <w:r>
              <w:rPr>
                <w:rFonts w:hint="eastAsia"/>
                <w:bCs/>
                <w:szCs w:val="21"/>
                <w:lang w:eastAsia="zh-CN"/>
              </w:rPr>
              <w:t>蒙台梭利实训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FF0000"/>
                <w:kern w:val="0"/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bCs/>
                <w:color w:val="auto"/>
                <w:szCs w:val="21"/>
                <w:highlight w:val="none"/>
                <w:lang w:val="en-US" w:eastAsia="zh-CN"/>
              </w:rPr>
              <w:t>大学体育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/>
                <w:b/>
                <w:bCs/>
                <w:color w:val="auto"/>
                <w:szCs w:val="21"/>
                <w:highlight w:val="none"/>
                <w:lang w:val="en-US" w:eastAsia="zh-CN"/>
              </w:rPr>
              <w:t>2</w:t>
            </w: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613" w:type="dxa"/>
          </w:tcPr>
          <w:p>
            <w:pPr>
              <w:jc w:val="center"/>
              <w:textAlignment w:val="baseline"/>
              <w:rPr>
                <w:rFonts w:hint="eastAsia"/>
                <w:b/>
                <w:bCs/>
                <w:szCs w:val="21"/>
                <w:highlight w:val="red"/>
              </w:rPr>
            </w:pPr>
          </w:p>
        </w:tc>
        <w:tc>
          <w:tcPr>
            <w:tcW w:w="2330" w:type="dxa"/>
            <w:shd w:val="clear" w:color="auto" w:fill="auto"/>
            <w:vAlign w:val="top"/>
          </w:tcPr>
          <w:p>
            <w:pPr>
              <w:widowControl/>
              <w:jc w:val="left"/>
              <w:textAlignment w:val="center"/>
              <w:rPr>
                <w:rFonts w:hint="eastAsia" w:asciiTheme="minorHAnsi" w:hAnsiTheme="minorHAnsi" w:eastAsiaTheme="minorEastAsia" w:cstheme="minorBidi"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b/>
                <w:bCs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2409" w:type="dxa"/>
          </w:tcPr>
          <w:p>
            <w:pPr>
              <w:widowControl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  <w:vAlign w:val="center"/>
          </w:tcPr>
          <w:p>
            <w:pPr>
              <w:widowControl/>
              <w:jc w:val="left"/>
              <w:textAlignment w:val="center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5" w:hRule="atLeast"/>
        </w:trPr>
        <w:tc>
          <w:tcPr>
            <w:tcW w:w="2943" w:type="dxa"/>
            <w:gridSpan w:val="2"/>
          </w:tcPr>
          <w:p>
            <w:pPr>
              <w:widowControl/>
              <w:jc w:val="left"/>
              <w:textAlignment w:val="center"/>
              <w:rPr>
                <w:sz w:val="20"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合计</w:t>
            </w:r>
          </w:p>
        </w:tc>
        <w:tc>
          <w:tcPr>
            <w:tcW w:w="993" w:type="dxa"/>
            <w:vAlign w:val="center"/>
          </w:tcPr>
          <w:p>
            <w:pPr>
              <w:widowControl/>
              <w:jc w:val="center"/>
              <w:textAlignment w:val="center"/>
              <w:rPr>
                <w:rFonts w:hint="default" w:eastAsiaTheme="minorEastAsia"/>
                <w:b/>
                <w:color w:val="000000"/>
                <w:kern w:val="0"/>
                <w:sz w:val="20"/>
                <w:szCs w:val="21"/>
                <w:lang w:val="en-US" w:eastAsia="zh-CN"/>
              </w:rPr>
            </w:pPr>
            <w:r>
              <w:rPr>
                <w:rFonts w:hint="eastAsia"/>
                <w:b/>
                <w:color w:val="000000"/>
                <w:kern w:val="0"/>
                <w:sz w:val="20"/>
                <w:szCs w:val="21"/>
                <w:lang w:val="en-US" w:eastAsia="zh-CN"/>
              </w:rPr>
              <w:t>30</w:t>
            </w:r>
          </w:p>
        </w:tc>
        <w:tc>
          <w:tcPr>
            <w:tcW w:w="2409" w:type="dxa"/>
            <w:vAlign w:val="center"/>
          </w:tcPr>
          <w:p>
            <w:pPr>
              <w:widowControl/>
              <w:jc w:val="left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993" w:type="dxa"/>
            <w:vAlign w:val="center"/>
          </w:tcPr>
          <w:p>
            <w:pPr>
              <w:widowControl/>
              <w:textAlignment w:val="center"/>
              <w:rPr>
                <w:b/>
                <w:color w:val="000000"/>
                <w:kern w:val="0"/>
                <w:sz w:val="20"/>
                <w:szCs w:val="21"/>
              </w:rPr>
            </w:pPr>
          </w:p>
        </w:tc>
        <w:tc>
          <w:tcPr>
            <w:tcW w:w="2149" w:type="dxa"/>
          </w:tcPr>
          <w:p>
            <w:pPr>
              <w:jc w:val="center"/>
              <w:textAlignment w:val="baseline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1394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  <w:tc>
          <w:tcPr>
            <w:tcW w:w="2116" w:type="dxa"/>
          </w:tcPr>
          <w:p>
            <w:pPr>
              <w:jc w:val="center"/>
              <w:textAlignment w:val="baseline"/>
              <w:rPr>
                <w:bCs/>
                <w:sz w:val="20"/>
                <w:szCs w:val="21"/>
              </w:rPr>
            </w:pPr>
          </w:p>
        </w:tc>
        <w:tc>
          <w:tcPr>
            <w:tcW w:w="1151" w:type="dxa"/>
            <w:vAlign w:val="center"/>
          </w:tcPr>
          <w:p>
            <w:pPr>
              <w:widowControl/>
              <w:textAlignment w:val="center"/>
              <w:rPr>
                <w:b/>
                <w:bCs/>
                <w:sz w:val="20"/>
                <w:szCs w:val="21"/>
              </w:rPr>
            </w:pPr>
          </w:p>
        </w:tc>
      </w:tr>
    </w:tbl>
    <w:p>
      <w:pPr>
        <w:textAlignment w:val="baseline"/>
        <w:rPr>
          <w:sz w:val="20"/>
        </w:rPr>
      </w:pPr>
    </w:p>
    <w:p/>
    <w:sectPr>
      <w:pgSz w:w="16838" w:h="11906" w:orient="landscape"/>
      <w:pgMar w:top="1157" w:right="1140" w:bottom="1157" w:left="1310" w:header="851" w:footer="992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RlNWI1MjQ2ODljNmE3YThhOTJjZTVkYjFmN2MzOTAifQ=="/>
  </w:docVars>
  <w:rsids>
    <w:rsidRoot w:val="00000000"/>
    <w:rsid w:val="07AD3E53"/>
    <w:rsid w:val="0900683D"/>
    <w:rsid w:val="0CDE571C"/>
    <w:rsid w:val="14A31924"/>
    <w:rsid w:val="1C5B00C6"/>
    <w:rsid w:val="34F60DBE"/>
    <w:rsid w:val="35915F2F"/>
    <w:rsid w:val="371417CD"/>
    <w:rsid w:val="3E6D0B98"/>
    <w:rsid w:val="48A25B1A"/>
    <w:rsid w:val="49313E52"/>
    <w:rsid w:val="4CD2144D"/>
    <w:rsid w:val="4D6955B1"/>
    <w:rsid w:val="4DF238F7"/>
    <w:rsid w:val="54695530"/>
    <w:rsid w:val="58621473"/>
    <w:rsid w:val="614F6EC6"/>
    <w:rsid w:val="718C54B3"/>
    <w:rsid w:val="7FE35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652</Words>
  <Characters>673</Characters>
  <Lines>0</Lines>
  <Paragraphs>0</Paragraphs>
  <TotalTime>77</TotalTime>
  <ScaleCrop>false</ScaleCrop>
  <LinksUpToDate>false</LinksUpToDate>
  <CharactersWithSpaces>679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2023-06-02T09:27:00Z</dcterms:created>
  <dc:creator>DELL</dc:creator>
  <cp:lastModifiedBy>黄婷</cp:lastModifiedBy>
  <cp:lastPrinted>2024-07-02T00:36:00Z</cp:lastPrinted>
  <dcterms:modified xsi:type="dcterms:W3CDTF">2024-07-03T06:46:19Z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D8D8C7ECF95E4CD89324F4DEF9BB4772_12</vt:lpwstr>
  </property>
</Properties>
</file>