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</w:t>
      </w:r>
      <w:r>
        <w:rPr>
          <w:b/>
          <w:bCs/>
          <w:sz w:val="44"/>
          <w:szCs w:val="44"/>
        </w:rPr>
        <w:t>202</w:t>
      </w:r>
      <w:r>
        <w:rPr>
          <w:rFonts w:hint="eastAsia"/>
          <w:b/>
          <w:bCs/>
          <w:sz w:val="44"/>
          <w:szCs w:val="44"/>
          <w:lang w:val="en-US" w:eastAsia="zh-CN"/>
        </w:rPr>
        <w:t>4</w:t>
      </w:r>
      <w:r>
        <w:rPr>
          <w:rFonts w:hint="eastAsia"/>
          <w:b/>
          <w:bCs/>
          <w:sz w:val="44"/>
          <w:szCs w:val="44"/>
        </w:rPr>
        <w:t>级五年制大专班）</w:t>
      </w:r>
    </w:p>
    <w:tbl>
      <w:tblPr>
        <w:tblStyle w:val="4"/>
        <w:tblW w:w="14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57"/>
        <w:gridCol w:w="1032"/>
        <w:gridCol w:w="2208"/>
        <w:gridCol w:w="90"/>
        <w:gridCol w:w="1008"/>
        <w:gridCol w:w="2727"/>
        <w:gridCol w:w="105"/>
        <w:gridCol w:w="1013"/>
        <w:gridCol w:w="2392"/>
        <w:gridCol w:w="150"/>
        <w:gridCol w:w="1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57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9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8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中国特色社会主义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color w:val="FF0000"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心理健康与职业生涯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FF0000"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哲学与人生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FF000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val="en-US" w:eastAsia="zh-CN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textAlignment w:val="baseline"/>
              <w:rPr>
                <w:rFonts w:hint="eastAsia" w:eastAsiaTheme="minorEastAsia"/>
                <w:bCs/>
                <w:color w:val="FF0000"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职业道德与法治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  <w:r>
              <w:rPr>
                <w:rFonts w:hint="eastAsia"/>
                <w:bCs/>
                <w:szCs w:val="21"/>
                <w:lang w:eastAsia="zh-CN"/>
              </w:rPr>
              <w:t>与健康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  <w:r>
              <w:rPr>
                <w:rFonts w:hint="eastAsia"/>
                <w:bCs/>
                <w:szCs w:val="21"/>
                <w:lang w:eastAsia="zh-CN"/>
              </w:rPr>
              <w:t>与健康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  <w:r>
              <w:rPr>
                <w:rFonts w:hint="eastAsia"/>
                <w:bCs/>
                <w:szCs w:val="21"/>
                <w:lang w:eastAsia="zh-CN"/>
              </w:rPr>
              <w:t>与健康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  <w:r>
              <w:rPr>
                <w:rFonts w:hint="eastAsia"/>
                <w:bCs/>
                <w:szCs w:val="21"/>
                <w:lang w:eastAsia="zh-CN"/>
              </w:rPr>
              <w:t>与健康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英语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英语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英语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语文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top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大学计算机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钢琴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乐理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舞蹈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舞蹈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舞蹈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葫芦丝演奏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普通话实训与测试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学前教育学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auto"/>
                <w:szCs w:val="21"/>
              </w:rPr>
              <w:t>4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  <w:lang w:eastAsia="zh-CN"/>
              </w:rPr>
              <w:t>学前</w:t>
            </w:r>
            <w:r>
              <w:rPr>
                <w:rFonts w:hint="eastAsia"/>
                <w:bCs/>
                <w:color w:val="auto"/>
                <w:szCs w:val="21"/>
              </w:rPr>
              <w:t>教育史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</w:rPr>
              <w:t>葫芦丝演奏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幼儿教师礼仪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auto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FF0000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学前</w:t>
            </w: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儿童</w:t>
            </w:r>
            <w:r>
              <w:rPr>
                <w:rFonts w:hint="eastAsia"/>
                <w:bCs/>
                <w:color w:val="FF0000"/>
                <w:szCs w:val="21"/>
              </w:rPr>
              <w:t>心理学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 w:asciiTheme="minorHAnsi" w:hAnsiTheme="minorHAnsi" w:cstheme="minorBidi"/>
                <w:b/>
                <w:color w:val="FF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b/>
                <w:color w:val="FF0000"/>
                <w:kern w:val="0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11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 w:val="20"/>
                <w:szCs w:val="21"/>
              </w:rPr>
              <w:t>中国历史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FF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FF0000"/>
                <w:kern w:val="0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229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世界历史</w:t>
            </w:r>
          </w:p>
        </w:tc>
        <w:tc>
          <w:tcPr>
            <w:tcW w:w="1008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sz w:val="20"/>
                <w:szCs w:val="21"/>
              </w:rPr>
              <w:t>中华优秀传统文化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auto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FF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Cs w:val="21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Cs w:val="21"/>
              </w:rPr>
            </w:pP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29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kern w:val="0"/>
                <w:sz w:val="20"/>
                <w:szCs w:val="21"/>
              </w:rPr>
            </w:pPr>
          </w:p>
          <w:p>
            <w:pPr>
              <w:textAlignment w:val="baseline"/>
              <w:rPr>
                <w:color w:val="auto"/>
                <w:sz w:val="20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auto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lang w:val="en-US" w:eastAsia="zh-CN"/>
              </w:rPr>
              <w:t>29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bCs/>
                <w:color w:val="auto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1"/>
                <w:lang w:val="en-US" w:eastAsia="zh-CN"/>
              </w:rPr>
              <w:t>30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textAlignment w:val="baseline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widowControl/>
              <w:jc w:val="left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第七学期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第八学期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5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08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9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大学生就业创业指导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 w:val="2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讲座</w:t>
            </w:r>
          </w:p>
        </w:tc>
        <w:tc>
          <w:tcPr>
            <w:tcW w:w="2392" w:type="dxa"/>
            <w:vAlign w:val="center"/>
          </w:tcPr>
          <w:p>
            <w:pPr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 w:val="20"/>
                <w:szCs w:val="21"/>
              </w:rPr>
              <w:t>中华民族共同体概论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学前儿童健康教育与活动指导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eastAsiaTheme="minorEastAsia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幼儿园教育活动设计与实施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 w:val="2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bCs/>
                <w:sz w:val="20"/>
                <w:szCs w:val="21"/>
              </w:rPr>
              <w:t>形式与政策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讲座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学前儿童科学教育</w:t>
            </w:r>
            <w:r>
              <w:rPr>
                <w:rFonts w:hint="eastAsia"/>
                <w:bCs/>
                <w:szCs w:val="21"/>
              </w:rPr>
              <w:t>与活动指导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幼儿园课件制作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jc w:val="both"/>
              <w:textAlignment w:val="baseline"/>
              <w:rPr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学前儿童卫生与保健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jc w:val="center"/>
              <w:textAlignment w:val="baseline"/>
              <w:rPr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学前儿童社会教育</w:t>
            </w:r>
            <w:r>
              <w:rPr>
                <w:rFonts w:hint="eastAsia"/>
                <w:bCs/>
                <w:szCs w:val="21"/>
              </w:rPr>
              <w:t>与活动指导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FF000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</w:t>
            </w:r>
            <w:r>
              <w:rPr>
                <w:rFonts w:hint="eastAsia"/>
                <w:bCs/>
                <w:color w:val="auto"/>
                <w:szCs w:val="21"/>
                <w:lang w:eastAsia="zh-CN"/>
              </w:rPr>
              <w:t>语言</w:t>
            </w:r>
            <w:r>
              <w:rPr>
                <w:rFonts w:hint="eastAsia"/>
                <w:bCs/>
                <w:color w:val="auto"/>
                <w:szCs w:val="21"/>
              </w:rPr>
              <w:t>教育</w:t>
            </w:r>
            <w:r>
              <w:rPr>
                <w:rFonts w:hint="eastAsia"/>
                <w:bCs/>
                <w:szCs w:val="21"/>
              </w:rPr>
              <w:t>与活动指导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="宋体"/>
                <w:b/>
                <w:color w:val="FF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eastAsiaTheme="minorEastAsia"/>
                <w:bCs/>
                <w:color w:val="auto"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color w:val="auto"/>
                <w:sz w:val="20"/>
                <w:szCs w:val="21"/>
                <w:lang w:eastAsia="zh-CN"/>
              </w:rPr>
              <w:t>蒙台梭利教学法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Cs/>
                <w:color w:val="auto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auto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both"/>
              <w:textAlignment w:val="center"/>
              <w:rPr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  <w:sz w:val="20"/>
                <w:szCs w:val="21"/>
              </w:rPr>
              <w:t>奥尔夫音乐教学法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color w:val="auto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</w:t>
            </w:r>
            <w:r>
              <w:rPr>
                <w:rFonts w:hint="eastAsia"/>
                <w:bCs/>
                <w:szCs w:val="21"/>
                <w:lang w:eastAsia="zh-CN"/>
              </w:rPr>
              <w:t>美</w:t>
            </w:r>
            <w:r>
              <w:rPr>
                <w:rFonts w:hint="eastAsia"/>
                <w:bCs/>
                <w:szCs w:val="21"/>
              </w:rPr>
              <w:t>术教育与活动指导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学前儿童数学教育</w:t>
            </w:r>
            <w:r>
              <w:rPr>
                <w:rFonts w:hint="eastAsia"/>
                <w:bCs/>
                <w:szCs w:val="21"/>
              </w:rPr>
              <w:t>与活动指导</w:t>
            </w: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both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幼儿游戏与指导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both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  <w:t>大学生职业生涯规划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  <w:r>
              <w:rPr>
                <w:rFonts w:hint="eastAsia"/>
                <w:bCs/>
                <w:szCs w:val="21"/>
                <w:lang w:eastAsia="zh-CN"/>
              </w:rPr>
              <w:t>与健康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幼儿园班级管理</w:t>
            </w:r>
          </w:p>
          <w:p>
            <w:pPr>
              <w:jc w:val="center"/>
              <w:textAlignment w:val="baseline"/>
              <w:rPr>
                <w:color w:val="auto"/>
                <w:sz w:val="20"/>
              </w:rPr>
            </w:pP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both"/>
              <w:textAlignment w:val="center"/>
              <w:rPr>
                <w:rFonts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  <w:t>习近平新时代中国特色社会主义思想概论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3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  <w:t>学前儿童行为观察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</w:t>
            </w:r>
            <w:r>
              <w:rPr>
                <w:rFonts w:hint="eastAsia"/>
                <w:bCs/>
                <w:szCs w:val="21"/>
                <w:lang w:eastAsia="zh-CN"/>
              </w:rPr>
              <w:t>音乐</w:t>
            </w:r>
            <w:r>
              <w:rPr>
                <w:rFonts w:hint="eastAsia"/>
                <w:bCs/>
                <w:szCs w:val="21"/>
              </w:rPr>
              <w:t>教育与活动指导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/>
                <w:bCs/>
                <w:color w:val="auto"/>
                <w:sz w:val="20"/>
                <w:szCs w:val="21"/>
                <w:lang w:eastAsia="zh-CN"/>
              </w:rPr>
            </w:pPr>
            <w:r>
              <w:rPr>
                <w:rFonts w:hint="eastAsia"/>
                <w:color w:val="auto"/>
              </w:rPr>
              <w:t>体育</w:t>
            </w:r>
            <w:r>
              <w:rPr>
                <w:rFonts w:hint="eastAsia"/>
                <w:color w:val="auto"/>
                <w:lang w:eastAsia="zh-CN"/>
              </w:rPr>
              <w:t>与健康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 w:eastAsia="宋体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both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bCs/>
                <w:color w:val="auto"/>
                <w:sz w:val="20"/>
                <w:szCs w:val="21"/>
              </w:rPr>
              <w:t>形式与政策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讲座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both"/>
              <w:textAlignment w:val="center"/>
              <w:rPr>
                <w:b/>
                <w:color w:val="auto"/>
                <w:sz w:val="20"/>
                <w:szCs w:val="21"/>
              </w:rPr>
            </w:pPr>
            <w:r>
              <w:rPr>
                <w:bCs/>
                <w:color w:val="auto"/>
                <w:sz w:val="20"/>
                <w:szCs w:val="21"/>
              </w:rPr>
              <w:t>形式与政策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color w:val="auto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  <w:vAlign w:val="center"/>
          </w:tcPr>
          <w:p>
            <w:pPr>
              <w:jc w:val="center"/>
              <w:textAlignment w:val="baseline"/>
              <w:rPr>
                <w:rFonts w:hint="default" w:eastAsia="宋体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0"/>
                <w:szCs w:val="21"/>
                <w:lang w:val="en-US" w:eastAsia="zh-CN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 w:val="20"/>
                <w:szCs w:val="21"/>
              </w:rPr>
              <w:t>毛泽东思想和中国特色社会主义理论体系概论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bCs/>
                <w:color w:val="auto"/>
                <w:sz w:val="20"/>
                <w:szCs w:val="21"/>
              </w:rPr>
              <w:t>形式与政策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讲座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  <w:t>体育与健康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  <w:lang w:val="en-US" w:eastAsia="zh-CN"/>
              </w:rPr>
              <w:t>幼儿园教育环境创设与利用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13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教师职业道德与教育政策法规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auto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kern w:val="0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  <w:t>幼儿园课程概论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default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auto"/>
                <w:szCs w:val="21"/>
                <w:lang w:val="en-US" w:eastAsia="zh-CN"/>
              </w:rPr>
              <w:t>体育与健康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  <w:lang w:eastAsia="zh-CN"/>
              </w:rPr>
              <w:t>幼儿</w:t>
            </w:r>
            <w:r>
              <w:rPr>
                <w:rFonts w:hint="eastAsia"/>
                <w:bCs/>
                <w:color w:val="auto"/>
                <w:szCs w:val="21"/>
              </w:rPr>
              <w:t>文学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default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/>
                <w:bCs/>
                <w:color w:val="auto"/>
                <w:szCs w:val="21"/>
                <w:lang w:val="en-US" w:eastAsia="zh-CN"/>
              </w:rPr>
            </w:pP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/>
                <w:b/>
                <w:color w:val="auto"/>
                <w:kern w:val="0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970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28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="宋体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Cs w:val="21"/>
                <w:lang w:val="en-US" w:eastAsia="zh-CN"/>
              </w:rPr>
              <w:t>29</w:t>
            </w:r>
          </w:p>
        </w:tc>
        <w:tc>
          <w:tcPr>
            <w:tcW w:w="2727" w:type="dxa"/>
            <w:vAlign w:val="center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18" w:type="dxa"/>
            <w:gridSpan w:val="2"/>
            <w:vAlign w:val="center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31</w:t>
            </w:r>
          </w:p>
        </w:tc>
        <w:tc>
          <w:tcPr>
            <w:tcW w:w="2392" w:type="dxa"/>
            <w:vAlign w:val="center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51" w:type="dxa"/>
            <w:gridSpan w:val="2"/>
            <w:vAlign w:val="center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29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  <w:b/>
                <w:color w:val="000000"/>
                <w:kern w:val="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b/>
                <w:bCs/>
                <w:szCs w:val="21"/>
              </w:rPr>
            </w:pP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</w:pP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</w:pPr>
          </w:p>
        </w:tc>
      </w:tr>
    </w:tbl>
    <w:p>
      <w:pPr>
        <w:textAlignment w:val="baseline"/>
        <w:rPr>
          <w:sz w:val="20"/>
        </w:rPr>
      </w:pPr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BhZDVkOWE5YjA5YzExYTFkMDQ5MmEwM2UwNGUyOTgifQ=="/>
  </w:docVars>
  <w:rsids>
    <w:rsidRoot w:val="3431776D"/>
    <w:rsid w:val="000A7B30"/>
    <w:rsid w:val="000D78E7"/>
    <w:rsid w:val="000F1DA8"/>
    <w:rsid w:val="000F240D"/>
    <w:rsid w:val="00171F2B"/>
    <w:rsid w:val="001742B5"/>
    <w:rsid w:val="001973F4"/>
    <w:rsid w:val="002255B6"/>
    <w:rsid w:val="00236FB8"/>
    <w:rsid w:val="00241420"/>
    <w:rsid w:val="0024310F"/>
    <w:rsid w:val="002C6A49"/>
    <w:rsid w:val="002E3B5F"/>
    <w:rsid w:val="0038756F"/>
    <w:rsid w:val="00430696"/>
    <w:rsid w:val="00445E21"/>
    <w:rsid w:val="004961B5"/>
    <w:rsid w:val="004E1146"/>
    <w:rsid w:val="005123C9"/>
    <w:rsid w:val="00550500"/>
    <w:rsid w:val="005677BB"/>
    <w:rsid w:val="00603880"/>
    <w:rsid w:val="00633E0C"/>
    <w:rsid w:val="00646150"/>
    <w:rsid w:val="00711AAD"/>
    <w:rsid w:val="00715EBC"/>
    <w:rsid w:val="00744D66"/>
    <w:rsid w:val="00765199"/>
    <w:rsid w:val="00794102"/>
    <w:rsid w:val="008333D6"/>
    <w:rsid w:val="00855511"/>
    <w:rsid w:val="008877B4"/>
    <w:rsid w:val="008B4A00"/>
    <w:rsid w:val="008F13A9"/>
    <w:rsid w:val="008F44EC"/>
    <w:rsid w:val="00900208"/>
    <w:rsid w:val="009364D4"/>
    <w:rsid w:val="009739FF"/>
    <w:rsid w:val="009C52F2"/>
    <w:rsid w:val="00A82446"/>
    <w:rsid w:val="00B03166"/>
    <w:rsid w:val="00B06A95"/>
    <w:rsid w:val="00C72FBF"/>
    <w:rsid w:val="00D7591F"/>
    <w:rsid w:val="00D96A27"/>
    <w:rsid w:val="00E47549"/>
    <w:rsid w:val="00E73C31"/>
    <w:rsid w:val="00E9446C"/>
    <w:rsid w:val="036431F4"/>
    <w:rsid w:val="07D364E9"/>
    <w:rsid w:val="18031AF3"/>
    <w:rsid w:val="1A7C460E"/>
    <w:rsid w:val="1C465793"/>
    <w:rsid w:val="1D927C6C"/>
    <w:rsid w:val="2B50761A"/>
    <w:rsid w:val="3431776D"/>
    <w:rsid w:val="3A652D5C"/>
    <w:rsid w:val="3AC10733"/>
    <w:rsid w:val="422427C2"/>
    <w:rsid w:val="42DC0B15"/>
    <w:rsid w:val="44F37A0F"/>
    <w:rsid w:val="48821CE6"/>
    <w:rsid w:val="49D913E6"/>
    <w:rsid w:val="4AAF00D3"/>
    <w:rsid w:val="4DFE3A5A"/>
    <w:rsid w:val="4E8267E3"/>
    <w:rsid w:val="53EC15D2"/>
    <w:rsid w:val="540168F4"/>
    <w:rsid w:val="56E53152"/>
    <w:rsid w:val="596C3D0E"/>
    <w:rsid w:val="5C63539B"/>
    <w:rsid w:val="63360306"/>
    <w:rsid w:val="63632D44"/>
    <w:rsid w:val="648B7709"/>
    <w:rsid w:val="669F0581"/>
    <w:rsid w:val="677C3702"/>
    <w:rsid w:val="69D16468"/>
    <w:rsid w:val="6A1406C4"/>
    <w:rsid w:val="6BA240C1"/>
    <w:rsid w:val="6D883301"/>
    <w:rsid w:val="702B7AE6"/>
    <w:rsid w:val="71ED5E5D"/>
    <w:rsid w:val="76FD2043"/>
    <w:rsid w:val="77F75C8F"/>
    <w:rsid w:val="7F8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3</Pages>
  <Words>670</Words>
  <Characters>687</Characters>
  <Lines>7</Lines>
  <Paragraphs>2</Paragraphs>
  <TotalTime>6</TotalTime>
  <ScaleCrop>false</ScaleCrop>
  <LinksUpToDate>false</LinksUpToDate>
  <CharactersWithSpaces>687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2017-11-23T12:58:00Z</dcterms:created>
  <dc:creator>pc</dc:creator>
  <cp:lastModifiedBy>景玉梦云</cp:lastModifiedBy>
  <dcterms:modified xsi:type="dcterms:W3CDTF">2024-07-04T00:55:11Z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FA004801A9DB4EA0AC3B558B2382E8FC_13</vt:lpwstr>
  </property>
</Properties>
</file>