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D8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A1：</w:t>
      </w:r>
      <w:r>
        <w:rPr>
          <w:rFonts w:hint="eastAsia"/>
          <w:color w:val="0000FF"/>
          <w:sz w:val="24"/>
          <w:szCs w:val="32"/>
          <w:lang w:val="en-US" w:eastAsia="zh-CN"/>
        </w:rPr>
        <w:t>A1-1课程信息（有模版）2022级第5学期（2024秋季学期课程计划），2023级4学期（2025春季）</w:t>
      </w:r>
      <w:r>
        <w:rPr>
          <w:rFonts w:hint="eastAsia"/>
          <w:color w:val="FF0000"/>
          <w:sz w:val="24"/>
          <w:szCs w:val="32"/>
          <w:lang w:val="en-US" w:eastAsia="zh-CN"/>
        </w:rPr>
        <w:t>（鱼）</w:t>
      </w:r>
      <w:r>
        <w:rPr>
          <w:rFonts w:hint="eastAsia"/>
          <w:color w:val="0000FF"/>
          <w:sz w:val="24"/>
          <w:szCs w:val="32"/>
          <w:lang w:val="en-US" w:eastAsia="zh-CN"/>
        </w:rPr>
        <w:t>，2024级1、2学期（2024秋季＋2025年春）</w:t>
      </w:r>
      <w:r>
        <w:rPr>
          <w:rFonts w:hint="eastAsia"/>
          <w:color w:val="FF0000"/>
          <w:sz w:val="24"/>
          <w:szCs w:val="32"/>
          <w:lang w:val="en-US" w:eastAsia="zh-CN"/>
        </w:rPr>
        <w:t>（圆）</w:t>
      </w:r>
    </w:p>
    <w:p w14:paraId="484E0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  <w:t>五年制2023级第4学期（2025年春）</w:t>
      </w:r>
      <w:r>
        <w:rPr>
          <w:rFonts w:hint="eastAsia"/>
          <w:color w:val="FF0000"/>
          <w:sz w:val="24"/>
          <w:szCs w:val="32"/>
          <w:lang w:val="en-US" w:eastAsia="zh-CN"/>
        </w:rPr>
        <w:t>（鱼）2025级第一学期</w:t>
      </w:r>
    </w:p>
    <w:p w14:paraId="20A06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</w:p>
    <w:p w14:paraId="45118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4874CB" w:themeColor="accent1"/>
          <w:sz w:val="24"/>
          <w:szCs w:val="32"/>
          <w:highlight w:val="yellow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sz w:val="24"/>
          <w:szCs w:val="32"/>
          <w:lang w:val="en-US" w:eastAsia="zh-CN"/>
        </w:rPr>
        <w:t>A1-2 专业核心课程试卷和成绩补齐：</w:t>
      </w:r>
      <w:r>
        <w:rPr>
          <w:rFonts w:hint="eastAsia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  <w:t>2024秋季期末幼儿园班级管理（22级1-8），学前儿童游戏理论与指导21五年制，25春学前儿童游戏理论与指导21五年制，教学能力指导21五年制，</w:t>
      </w:r>
      <w:r>
        <w:rPr>
          <w:rFonts w:hint="eastAsia"/>
          <w:color w:val="4874CB" w:themeColor="accent1"/>
          <w:sz w:val="24"/>
          <w:szCs w:val="32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 xml:space="preserve">学前儿童游戏理论与指导24级1-4 </w:t>
      </w:r>
      <w:r>
        <w:rPr>
          <w:rFonts w:hint="eastAsia"/>
          <w:color w:val="FF0000"/>
          <w:sz w:val="24"/>
          <w:szCs w:val="32"/>
          <w:highlight w:val="yellow"/>
          <w:lang w:val="en-US" w:eastAsia="zh-CN"/>
        </w:rPr>
        <w:t>段 √</w:t>
      </w:r>
    </w:p>
    <w:p w14:paraId="48799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</w:p>
    <w:p w14:paraId="037D8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2023级、2024春季+秋季成绩分析表；</w:t>
      </w:r>
      <w:r>
        <w:rPr>
          <w:rFonts w:hint="eastAsia"/>
          <w:color w:val="FF0000"/>
          <w:sz w:val="24"/>
          <w:szCs w:val="32"/>
          <w:lang w:val="en-US" w:eastAsia="zh-CN"/>
        </w:rPr>
        <w:t>段 √</w:t>
      </w:r>
    </w:p>
    <w:p w14:paraId="79641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毕业考核材料(包括考核方式说明和评价标准)[必传]；段√</w:t>
      </w:r>
    </w:p>
    <w:p w14:paraId="5656C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25春季教学计划；</w:t>
      </w:r>
      <w:r>
        <w:rPr>
          <w:rFonts w:hint="eastAsia"/>
          <w:color w:val="FF0000"/>
          <w:sz w:val="24"/>
          <w:szCs w:val="32"/>
          <w:lang w:val="en-US" w:eastAsia="zh-CN"/>
        </w:rPr>
        <w:t>段</w:t>
      </w:r>
    </w:p>
    <w:p w14:paraId="75DB9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邀请行业专家、企业代表等利益相关方共同参与人才培养方案的制定和研讨；</w:t>
      </w:r>
      <w:r>
        <w:rPr>
          <w:rFonts w:hint="eastAsia"/>
          <w:color w:val="FF0000"/>
          <w:sz w:val="24"/>
          <w:szCs w:val="32"/>
          <w:lang w:val="en-US" w:eastAsia="zh-CN"/>
        </w:rPr>
        <w:t>段√</w:t>
      </w:r>
    </w:p>
    <w:p w14:paraId="4EAD0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课程设置与培养目标之间的逻辑关系不够清晰（要写一份逻辑关系文档）；</w:t>
      </w:r>
      <w:r>
        <w:rPr>
          <w:rFonts w:hint="eastAsia"/>
          <w:color w:val="FF0000"/>
          <w:sz w:val="24"/>
          <w:szCs w:val="32"/>
          <w:lang w:val="en-US" w:eastAsia="zh-CN"/>
        </w:rPr>
        <w:t>段√</w:t>
      </w:r>
    </w:p>
    <w:p w14:paraId="2F590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通过多样化的教学方法，提高师生互动率，增强课堂的互动性和参与性（写几份各个学科的教学方法并插图）；</w:t>
      </w:r>
      <w:r>
        <w:rPr>
          <w:rFonts w:hint="eastAsia"/>
          <w:color w:val="FF0000"/>
          <w:sz w:val="24"/>
          <w:szCs w:val="32"/>
          <w:lang w:val="en-US" w:eastAsia="zh-CN"/>
        </w:rPr>
        <w:t>段√</w:t>
      </w:r>
    </w:p>
    <w:p w14:paraId="77DA9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改进课程评价方式，注重过程性评价和综合性评价（写几个课程评价的并插图）</w:t>
      </w:r>
      <w:r>
        <w:rPr>
          <w:rFonts w:hint="eastAsia"/>
          <w:color w:val="FF0000"/>
          <w:sz w:val="24"/>
          <w:szCs w:val="32"/>
          <w:lang w:val="en-US" w:eastAsia="zh-CN"/>
        </w:rPr>
        <w:t>段√</w:t>
      </w:r>
    </w:p>
    <w:p w14:paraId="22D14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</w:p>
    <w:p w14:paraId="1497B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A2：</w:t>
      </w:r>
      <w:r>
        <w:rPr>
          <w:rFonts w:hint="eastAsia"/>
          <w:sz w:val="24"/>
          <w:szCs w:val="32"/>
          <w:lang w:val="en-US" w:eastAsia="zh-CN"/>
        </w:rPr>
        <w:t>A2-1产教融合共同体（有模版）去年的产教融合项目未开展；</w:t>
      </w:r>
      <w:r>
        <w:rPr>
          <w:rFonts w:hint="eastAsia"/>
          <w:color w:val="FF0000"/>
          <w:sz w:val="24"/>
          <w:szCs w:val="32"/>
          <w:lang w:val="en-US" w:eastAsia="zh-CN"/>
        </w:rPr>
        <w:t>秋√</w:t>
      </w:r>
    </w:p>
    <w:p w14:paraId="3DAB6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A2-2市域产教联合体；</w:t>
      </w:r>
      <w:r>
        <w:rPr>
          <w:rFonts w:hint="eastAsia"/>
          <w:color w:val="FF0000"/>
          <w:sz w:val="24"/>
          <w:szCs w:val="32"/>
          <w:lang w:val="en-US" w:eastAsia="zh-CN"/>
        </w:rPr>
        <w:t>秋</w:t>
      </w:r>
    </w:p>
    <w:p w14:paraId="15013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A2-3校企合作要不要增加；</w:t>
      </w:r>
      <w:r>
        <w:rPr>
          <w:rFonts w:hint="eastAsia"/>
          <w:color w:val="FF0000"/>
          <w:sz w:val="24"/>
          <w:szCs w:val="32"/>
          <w:lang w:val="en-US" w:eastAsia="zh-CN"/>
        </w:rPr>
        <w:t>秋</w:t>
      </w:r>
    </w:p>
    <w:p w14:paraId="02981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A2-4科研项目；</w:t>
      </w:r>
      <w:r>
        <w:rPr>
          <w:rFonts w:hint="eastAsia"/>
          <w:color w:val="FF0000"/>
          <w:sz w:val="24"/>
          <w:szCs w:val="32"/>
          <w:lang w:val="en-US" w:eastAsia="zh-CN"/>
        </w:rPr>
        <w:t>秋</w:t>
      </w:r>
    </w:p>
    <w:p w14:paraId="59CD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A2-5社会服务增加；（要增加）</w:t>
      </w:r>
      <w:r>
        <w:rPr>
          <w:rFonts w:hint="eastAsia"/>
          <w:color w:val="FF0000"/>
          <w:sz w:val="24"/>
          <w:szCs w:val="32"/>
          <w:lang w:val="en-US" w:eastAsia="zh-CN"/>
        </w:rPr>
        <w:t>拓展社会服务项目类型，结合学校专业特色，开展与幼儿教育相关的技术技能培训、咨询服务</w:t>
      </w:r>
      <w:r>
        <w:rPr>
          <w:rFonts w:hint="eastAsia"/>
          <w:sz w:val="24"/>
          <w:szCs w:val="32"/>
          <w:lang w:val="en-US" w:eastAsia="zh-CN"/>
        </w:rPr>
        <w:t>（写几份并插图）</w:t>
      </w:r>
      <w:r>
        <w:rPr>
          <w:rFonts w:hint="eastAsia"/>
          <w:color w:val="FF0000"/>
          <w:sz w:val="24"/>
          <w:szCs w:val="32"/>
          <w:lang w:val="en-US" w:eastAsia="zh-CN"/>
        </w:rPr>
        <w:t>静√</w:t>
      </w:r>
    </w:p>
    <w:p w14:paraId="5B5D2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 xml:space="preserve">A2-6国际交流更新  </w:t>
      </w:r>
      <w:r>
        <w:rPr>
          <w:rFonts w:hint="eastAsia"/>
          <w:color w:val="FF0000"/>
          <w:sz w:val="24"/>
          <w:szCs w:val="32"/>
          <w:lang w:val="en-US" w:eastAsia="zh-CN"/>
        </w:rPr>
        <w:t>秋</w:t>
      </w:r>
    </w:p>
    <w:p w14:paraId="24403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近三年接收国(境)外留学生（ ）人</w:t>
      </w:r>
    </w:p>
    <w:p w14:paraId="6CC30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近三年本专业交流至国(境)外学生（）人</w:t>
      </w:r>
    </w:p>
    <w:p w14:paraId="62BC9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中外合作办学点数量（）个</w:t>
      </w:r>
    </w:p>
    <w:p w14:paraId="7547E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中外合作办学点名称无</w:t>
      </w:r>
    </w:p>
    <w:p w14:paraId="6CBE2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开发并被国(境)外采用本专业标准否</w:t>
      </w:r>
    </w:p>
    <w:p w14:paraId="185A7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开发并被国(境)外采用课程标准数量（）个</w:t>
      </w:r>
    </w:p>
    <w:p w14:paraId="5BAD8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近三年本专业教师赴国(境)外开展指导培训（）人次</w:t>
      </w:r>
    </w:p>
    <w:p w14:paraId="47DF8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证明材料</w:t>
      </w:r>
    </w:p>
    <w:p w14:paraId="323EA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上传证明材料</w:t>
      </w:r>
    </w:p>
    <w:p w14:paraId="3E2E5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2024年德宏职业学院与泰国格乐大学交换生项目入选名单公示.pdf</w:t>
      </w:r>
    </w:p>
    <w:p w14:paraId="1FCFE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保存国际交流信息）；</w:t>
      </w:r>
    </w:p>
    <w:p w14:paraId="1C763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</w:p>
    <w:p w14:paraId="59742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建立产教融合信息共享平台，及时发布行业动态、企业用人需求、学校科研成果等信息。（公众号APP之类的）段√</w:t>
      </w:r>
    </w:p>
    <w:p w14:paraId="335E5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拓宽学生实习和就业渠道 艳</w:t>
      </w:r>
    </w:p>
    <w:p w14:paraId="4A86C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</w:p>
    <w:p w14:paraId="40757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32"/>
          <w:lang w:val="en-US" w:eastAsia="zh-CN"/>
        </w:rPr>
      </w:pPr>
    </w:p>
    <w:p w14:paraId="75529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32"/>
          <w:szCs w:val="40"/>
          <w:lang w:val="en-US" w:eastAsia="zh-CN"/>
        </w:rPr>
        <w:t>A3：</w:t>
      </w:r>
      <w:r>
        <w:rPr>
          <w:rFonts w:hint="eastAsia"/>
          <w:color w:val="auto"/>
          <w:sz w:val="24"/>
          <w:szCs w:val="32"/>
          <w:lang w:val="en-US" w:eastAsia="zh-CN"/>
        </w:rPr>
        <w:t>教学科研仪器设备值（ ）万元；当年新增教学科研仪器设备值（ ）万元</w:t>
      </w:r>
    </w:p>
    <w:p w14:paraId="62350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校内实训基地数量(专业自有)（ ）个</w:t>
      </w:r>
    </w:p>
    <w:p w14:paraId="4A4EF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校外实训基地数量（ ）个</w:t>
      </w:r>
    </w:p>
    <w:p w14:paraId="7D6A5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其中:省级以上实训基地数（  ）个</w:t>
      </w:r>
    </w:p>
    <w:p w14:paraId="06537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其中:虚拟仿真实训基地数（  ）个</w:t>
      </w:r>
    </w:p>
    <w:p w14:paraId="44817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校内实训基地工位数[必填]（ ）个</w:t>
      </w:r>
    </w:p>
    <w:p w14:paraId="3AF57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A3-1校内实训条件是否需要增加；</w:t>
      </w:r>
      <w:r>
        <w:rPr>
          <w:rFonts w:hint="eastAsia"/>
          <w:color w:val="FF0000"/>
          <w:sz w:val="24"/>
          <w:szCs w:val="32"/>
          <w:lang w:val="en-US" w:eastAsia="zh-CN"/>
        </w:rPr>
        <w:t>艳</w:t>
      </w:r>
    </w:p>
    <w:p w14:paraId="0FDDC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A3-2校外实践基地是否需要增加；</w:t>
      </w:r>
      <w:r>
        <w:rPr>
          <w:rFonts w:hint="eastAsia"/>
          <w:color w:val="FF0000"/>
          <w:sz w:val="24"/>
          <w:szCs w:val="32"/>
          <w:lang w:val="en-US" w:eastAsia="zh-CN"/>
        </w:rPr>
        <w:t>艳-车</w:t>
      </w:r>
    </w:p>
    <w:p w14:paraId="551F8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</w:p>
    <w:p w14:paraId="2917A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2025年学生实习工作安排方案；</w:t>
      </w:r>
      <w:r>
        <w:rPr>
          <w:rFonts w:hint="eastAsia"/>
          <w:color w:val="FF0000"/>
          <w:sz w:val="24"/>
          <w:szCs w:val="32"/>
          <w:lang w:val="en-US" w:eastAsia="zh-CN"/>
        </w:rPr>
        <w:t>段-找包√</w:t>
      </w:r>
    </w:p>
    <w:p w14:paraId="59878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2025年学前教育三年制大专跟岗实习工作实习方案；</w:t>
      </w:r>
      <w:r>
        <w:rPr>
          <w:rFonts w:hint="eastAsia"/>
          <w:color w:val="FF0000"/>
          <w:sz w:val="24"/>
          <w:szCs w:val="32"/>
          <w:lang w:val="en-US" w:eastAsia="zh-CN"/>
        </w:rPr>
        <w:t>静√</w:t>
      </w:r>
    </w:p>
    <w:p w14:paraId="1AEC4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2024级实习管理表；</w:t>
      </w:r>
      <w:r>
        <w:rPr>
          <w:rFonts w:hint="eastAsia"/>
          <w:color w:val="FF0000"/>
          <w:sz w:val="24"/>
          <w:szCs w:val="32"/>
          <w:lang w:val="en-US" w:eastAsia="zh-CN"/>
        </w:rPr>
        <w:t>艳-车</w:t>
      </w:r>
    </w:p>
    <w:p w14:paraId="11116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实习实训制度缺乏明确的经费使用办法   编写婷（1000字-2000字）</w:t>
      </w:r>
    </w:p>
    <w:p w14:paraId="354AE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实习实训的监督和评估机制不完善 编写段（1000字-2000字）</w:t>
      </w:r>
    </w:p>
    <w:p w14:paraId="5959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实践教学体系缺乏系统性和连贯性，内容和方法单一，缺乏创新性和实用性。</w:t>
      </w:r>
    </w:p>
    <w:p w14:paraId="0FAAE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实习实训安排缺乏</w:t>
      </w:r>
      <w:r>
        <w:rPr>
          <w:rFonts w:hint="eastAsia"/>
          <w:color w:val="00B050"/>
          <w:sz w:val="24"/>
          <w:szCs w:val="32"/>
          <w:lang w:val="en-US" w:eastAsia="zh-CN"/>
        </w:rPr>
        <w:t>灵活性  编写段（1000字-2000字）</w:t>
      </w:r>
    </w:p>
    <w:p w14:paraId="4352D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实习实训过程中缺乏对学生的指导和支持  传简报婷</w:t>
      </w:r>
    </w:p>
    <w:p w14:paraId="1D203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00B05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 xml:space="preserve">校企共建实践教学场所不足  </w:t>
      </w:r>
      <w:r>
        <w:rPr>
          <w:rFonts w:hint="eastAsia"/>
          <w:color w:val="00B050"/>
          <w:sz w:val="24"/>
          <w:szCs w:val="32"/>
          <w:lang w:val="en-US" w:eastAsia="zh-CN"/>
        </w:rPr>
        <w:t>牌子＋协议 秋</w:t>
      </w:r>
    </w:p>
    <w:p w14:paraId="11959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定期对指导教师进行培训，提高其指导水平和专业素养。邀请实习单位优秀教师参与指导，为学生提供更专业的指导和支持。艳（找照片，证书）</w:t>
      </w:r>
    </w:p>
    <w:p w14:paraId="79514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工学云系统的实际运用不到位 艳</w:t>
      </w:r>
    </w:p>
    <w:p w14:paraId="46313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</w:p>
    <w:p w14:paraId="6DC99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32"/>
          <w:szCs w:val="40"/>
          <w:lang w:val="en-US" w:eastAsia="zh-CN"/>
        </w:rPr>
      </w:pPr>
      <w:r>
        <w:rPr>
          <w:rFonts w:hint="eastAsia"/>
          <w:color w:val="auto"/>
          <w:sz w:val="32"/>
          <w:szCs w:val="40"/>
          <w:lang w:val="en-US" w:eastAsia="zh-CN"/>
        </w:rPr>
        <w:t>A4：</w:t>
      </w:r>
      <w:r>
        <w:rPr>
          <w:rFonts w:hint="eastAsia"/>
          <w:color w:val="FF0000"/>
          <w:sz w:val="32"/>
          <w:szCs w:val="40"/>
          <w:lang w:val="en-US" w:eastAsia="zh-CN"/>
        </w:rPr>
        <w:t>（两个学生帮助黎）</w:t>
      </w:r>
    </w:p>
    <w:p w14:paraId="5790D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专任教师数量[必填]人；兼职教师数量[必填]人；其中:校外教师数量[必填]人；其中:行业导师数量[必填]人；行业导师占专兼职教师总数比例[必填]%；兼职教师占专兼职教师总数比例[必填]%；行业导师承担专业课教学任务课时占专业课总课时比例[必填]%；外籍教师数量[必填]人；银龄教师数量[必填]人；“双师”型教师数量[必填]人；“双师”型教师占专业课教师总数比例[必填]%；具有研究生学位教师占专任教师比例[必填]%；具有高级专业技术职务教师占专任教师比例[必填]%；满足每年至少累计1个月参与企业实践或实训基地实训，或者每五年企业实践时间累计不少于6个月的专业课教师占专业课教师总数比例[必填]%</w:t>
      </w:r>
    </w:p>
    <w:p w14:paraId="3C094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生师比统计口径及计算方法：</w:t>
      </w:r>
    </w:p>
    <w:p w14:paraId="0C2B0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(1) 折合学生数=普通专科（高职）在校生数+留学生专科在校生数+预科生数+成人脱产在校生+成人业余在校生数*0.3+成人函授在校生数*0.1+附设中职班在校生*0.75</w:t>
      </w:r>
    </w:p>
    <w:p w14:paraId="164FB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(2) 折合教师数=专任教师数+校外教师数*0.5+行业导师*0.5+外籍教师</w:t>
      </w:r>
    </w:p>
    <w:p w14:paraId="04F72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来源于《职业学校办学条件重点监测指标》</w:t>
      </w:r>
    </w:p>
    <w:p w14:paraId="5E50E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A4-1教师队伍是否需要增加；</w:t>
      </w:r>
    </w:p>
    <w:p w14:paraId="6696B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default"/>
          <w:color w:val="auto"/>
          <w:sz w:val="24"/>
          <w:szCs w:val="32"/>
          <w:lang w:val="en-US" w:eastAsia="zh-CN"/>
        </w:rPr>
        <w:t>省级及以上教学团队建设统计情况及证明材料</w:t>
      </w:r>
    </w:p>
    <w:p w14:paraId="3BE34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default"/>
          <w:color w:val="auto"/>
          <w:sz w:val="24"/>
          <w:szCs w:val="32"/>
          <w:lang w:val="en-US" w:eastAsia="zh-CN"/>
        </w:rPr>
        <w:t>教师管理、发展、评价等方面制度文件</w:t>
      </w:r>
      <w:r>
        <w:rPr>
          <w:rFonts w:hint="eastAsia"/>
          <w:color w:val="auto"/>
          <w:sz w:val="24"/>
          <w:szCs w:val="32"/>
          <w:lang w:val="en-US" w:eastAsia="zh-CN"/>
        </w:rPr>
        <w:t>（2024、2025更新）</w:t>
      </w:r>
    </w:p>
    <w:p w14:paraId="68F46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专业带头人背景和能力材料未上传 春艳姐</w:t>
      </w:r>
    </w:p>
    <w:p w14:paraId="54D3E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加强校内教师培养，完善教师培训和实践研修制度，鼓励和支持教师参加国内外学术交流、研修班、工作坊等活动。秋</w:t>
      </w:r>
    </w:p>
    <w:p w14:paraId="57E2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专任教师定期完成全员轮训体现不明显  静（24.9-25.9群里去培训发给静）</w:t>
      </w:r>
    </w:p>
    <w:p w14:paraId="445A9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  <w:r>
        <w:rPr>
          <w:rFonts w:hint="eastAsia"/>
          <w:color w:val="0070C0"/>
          <w:sz w:val="24"/>
          <w:szCs w:val="32"/>
          <w:lang w:val="en-US" w:eastAsia="zh-CN"/>
        </w:rPr>
        <w:t xml:space="preserve">教师分类评价制度不够完善 </w:t>
      </w:r>
      <w:r>
        <w:rPr>
          <w:rFonts w:hint="eastAsia"/>
          <w:color w:val="FF0000"/>
          <w:sz w:val="24"/>
          <w:szCs w:val="32"/>
          <w:lang w:val="en-US" w:eastAsia="zh-CN"/>
        </w:rPr>
        <w:t xml:space="preserve"> </w:t>
      </w:r>
    </w:p>
    <w:p w14:paraId="6BEFF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聘请高技能人才、能工巧匠、非遗传承人、教学名师、技能大师等高层次人才参与教育教学 （黎姐找许阿满）思宇</w:t>
      </w:r>
    </w:p>
    <w:p w14:paraId="141C4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32"/>
          <w:szCs w:val="40"/>
          <w:lang w:val="en-US" w:eastAsia="zh-CN"/>
        </w:rPr>
      </w:pPr>
      <w:r>
        <w:rPr>
          <w:rFonts w:hint="eastAsia"/>
          <w:color w:val="auto"/>
          <w:sz w:val="32"/>
          <w:szCs w:val="40"/>
          <w:lang w:val="en-US" w:eastAsia="zh-CN"/>
        </w:rPr>
        <w:t>A5：</w:t>
      </w:r>
      <w:r>
        <w:rPr>
          <w:rFonts w:hint="eastAsia"/>
          <w:color w:val="FF0000"/>
          <w:sz w:val="32"/>
          <w:szCs w:val="40"/>
          <w:lang w:val="en-US" w:eastAsia="zh-CN"/>
        </w:rPr>
        <w:t>（潘＋瑶瑶）</w:t>
      </w:r>
    </w:p>
    <w:p w14:paraId="35660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近三年学生获得1+X证书总数(个)：22级、23级、24级学生获得1+X证书数量总和</w:t>
      </w:r>
    </w:p>
    <w:p w14:paraId="4E6A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本专业职业资格证书数量(个)：22级、23级、24级学生获得各类职业资格证书数量总和</w:t>
      </w:r>
    </w:p>
    <w:p w14:paraId="68ECC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学生技能大赛获奖情况：获奖年份+获奖级别+数量(例如：2024年国家级一等奖1项)(22级、23级、24级学生获奖情况合计)</w:t>
      </w:r>
    </w:p>
    <w:p w14:paraId="5923C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学生创新创业比赛获奖情况：获奖年份+获奖级别+数量(例如：2024年国家级金奖1项)(22级、23级、24级学生获奖情况合计)</w:t>
      </w:r>
    </w:p>
    <w:p w14:paraId="4DD11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近三年其他获奖/发表/情况：成果年份+成果类型+数量(例如：2024年核心期刊论文1篇)(22级、23级、24级学生成果情况合计)</w:t>
      </w:r>
    </w:p>
    <w:p w14:paraId="0ECF2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学生体质健康标准测试平均合格率(%)：(22级、23级、24级通过人数总和)与(22级、23级、24级总在校生人数)相除</w:t>
      </w:r>
    </w:p>
    <w:p w14:paraId="2996B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专业学生英语A级平均通过率(%)：(22级、23级、24级通过人数总和)与(22级、23级、24级总在校生人数)相除</w:t>
      </w:r>
    </w:p>
    <w:p w14:paraId="1A542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专业学生英语B级平均通过率(%)：(22级、23级、24级通过人数总和)与(22级、23级、24级总在校生人数)相除</w:t>
      </w:r>
    </w:p>
    <w:p w14:paraId="07063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计算机一、二级考试平均通过率(%)：(22级、23级、24级通过人数总和)与(22级、23级、24级总在校生人数)相除</w:t>
      </w:r>
    </w:p>
    <w:p w14:paraId="37B2A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支撑材料：24年毕业生就业质量年度报告；</w:t>
      </w:r>
    </w:p>
    <w:p w14:paraId="3BFD5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社会满意度说明：[必传]。</w:t>
      </w:r>
    </w:p>
    <w:p w14:paraId="0C51B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对标AB类专业要求：提供利益相关方满意度情况调查分析报告，建立常态化的在校生、毕业生、教师、家长、用人单位等满意度调查机制，指导和改进教育教学，形成工作闭环。</w:t>
      </w:r>
    </w:p>
    <w:p w14:paraId="05905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对标CD类专业要求：提供本专业社会满意情况的简要说明。</w:t>
      </w:r>
    </w:p>
    <w:p w14:paraId="37501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对学生职业规划指导不足</w:t>
      </w:r>
    </w:p>
    <w:p w14:paraId="6DE2C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学校在毕业生就业指导和服务方面的力度不足，缺乏系统性和针对性。</w:t>
      </w:r>
    </w:p>
    <w:p w14:paraId="2461F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毕业生从事本专业相关工作支撑材料不够</w:t>
      </w:r>
    </w:p>
    <w:p w14:paraId="6E3D3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就业跟踪和反馈机制不够完善</w:t>
      </w:r>
    </w:p>
    <w:p w14:paraId="6072E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建立为毕业生提供就业指导、帮扶服务的机制，包括就业信息推送、简历制作指导、面试技巧培训</w:t>
      </w:r>
    </w:p>
    <w:p w14:paraId="5D425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加强体育教育和外语教学，提高学生的体质健康水平和外语水平。</w:t>
      </w:r>
    </w:p>
    <w:bookmarkEnd w:id="0"/>
    <w:p w14:paraId="4FC2B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FF0000"/>
          <w:sz w:val="24"/>
          <w:szCs w:val="32"/>
          <w:lang w:val="en-US" w:eastAsia="zh-CN"/>
        </w:rPr>
      </w:pPr>
    </w:p>
    <w:p w14:paraId="27A28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FF0000"/>
          <w:sz w:val="24"/>
          <w:szCs w:val="32"/>
          <w:lang w:val="en-US" w:eastAsia="zh-CN"/>
        </w:rPr>
      </w:pPr>
    </w:p>
    <w:p w14:paraId="2ADBE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32"/>
          <w:lang w:val="en-US" w:eastAsia="zh-CN"/>
        </w:rPr>
      </w:pPr>
    </w:p>
    <w:p w14:paraId="01929A38">
      <w:pPr>
        <w:rPr>
          <w:rFonts w:hint="default"/>
          <w:color w:val="0000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55816"/>
    <w:rsid w:val="0ED1364B"/>
    <w:rsid w:val="1507296B"/>
    <w:rsid w:val="18157BD0"/>
    <w:rsid w:val="21D55816"/>
    <w:rsid w:val="220F2E6D"/>
    <w:rsid w:val="26511915"/>
    <w:rsid w:val="2F232D0B"/>
    <w:rsid w:val="2FE41B7D"/>
    <w:rsid w:val="398D4824"/>
    <w:rsid w:val="5EB62D5F"/>
    <w:rsid w:val="60C61791"/>
    <w:rsid w:val="7D000365"/>
    <w:rsid w:val="7D1D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2537</Words>
  <Characters>2786</Characters>
  <Lines>0</Lines>
  <Paragraphs>0</Paragraphs>
  <TotalTime>1552</TotalTime>
  <ScaleCrop>false</ScaleCrop>
  <LinksUpToDate>false</LinksUpToDate>
  <CharactersWithSpaces>2823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2025-08-26T03:20:00Z</dcterms:created>
  <dc:creator>罗吉良</dc:creator>
  <cp:lastModifiedBy>罗吉良</cp:lastModifiedBy>
  <dcterms:modified xsi:type="dcterms:W3CDTF">2025-09-03T10:15:34Z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39067CA26A534222912C3A4F470F4ED7_11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