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CD433">
      <w:pPr>
        <w:ind w:firstLine="1807" w:firstLineChars="600"/>
        <w:rPr>
          <w:rFonts w:hint="eastAsia" w:ascii="宋体" w:hAnsi="宋体" w:cs="宋体"/>
          <w:b/>
          <w:bCs/>
          <w:sz w:val="30"/>
          <w:szCs w:val="30"/>
          <w:lang w:val="en-US" w:eastAsia="zh-CN"/>
        </w:rPr>
      </w:pPr>
      <w:r>
        <w:rPr>
          <w:rFonts w:hint="eastAsia" w:ascii="宋体" w:hAnsi="宋体" w:eastAsia="宋体" w:cs="宋体"/>
          <w:b/>
          <w:bCs/>
          <w:sz w:val="30"/>
          <w:szCs w:val="30"/>
        </w:rPr>
        <w:t>人文学院学前教育专业自评分析报告</w:t>
      </w:r>
      <w:r>
        <w:rPr>
          <w:rFonts w:hint="eastAsia" w:ascii="宋体" w:hAnsi="宋体" w:cs="宋体"/>
          <w:b/>
          <w:bCs/>
          <w:sz w:val="30"/>
          <w:szCs w:val="30"/>
          <w:lang w:val="en-US" w:eastAsia="zh-CN"/>
        </w:rPr>
        <w:t xml:space="preserve">   </w:t>
      </w:r>
    </w:p>
    <w:p w14:paraId="714D8925">
      <w:pPr>
        <w:ind w:firstLine="640" w:firstLineChars="200"/>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通过对专业综合评价文件的解读和梳理，根据学前教育专业已有材料自评等级为C+。</w:t>
      </w:r>
    </w:p>
    <w:p w14:paraId="65D4D4DF">
      <w:pPr>
        <w:rPr>
          <w:rFonts w:hint="default" w:ascii="Times New Roman" w:hAnsi="Times New Roman" w:eastAsia="黑体" w:cs="Times New Roman"/>
          <w:b w:val="0"/>
          <w:bCs w:val="0"/>
          <w:sz w:val="32"/>
          <w:szCs w:val="32"/>
          <w:lang w:val="en-US" w:eastAsia="zh-CN"/>
        </w:rPr>
      </w:pPr>
      <w:r>
        <w:rPr>
          <w:rFonts w:hint="default" w:ascii="Times New Roman" w:hAnsi="Times New Roman" w:eastAsia="黑体" w:cs="Times New Roman"/>
          <w:b w:val="0"/>
          <w:bCs w:val="0"/>
          <w:sz w:val="32"/>
          <w:szCs w:val="32"/>
          <w:lang w:val="en-US" w:eastAsia="zh-CN"/>
        </w:rPr>
        <w:t>一、专业基本情况</w:t>
      </w:r>
    </w:p>
    <w:p w14:paraId="06069546">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ind w:firstLine="640"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德宏职业学院学前教育专业2009年创办，开设三年制、五年制专科，年均招生200余人，现有学生726人。生源以省内及周边少数民族地区为主，当前办学规模虽较往年缩减，但培养节奏稳定，服务边疆的核心定位不变。</w:t>
      </w:r>
    </w:p>
    <w:p w14:paraId="07F76557">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ind w:firstLine="640"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师资专兼结合。学前教育专任教师中硕士7人、博士1人，高级职称6人，“双师型”占比62.5%。27名兼职教师含本地幼儿园、托育专家及非遗传承人，50%专业课教师年赴企业实践，保障教学实用。</w:t>
      </w:r>
    </w:p>
    <w:p w14:paraId="68B70A2A">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ind w:firstLine="640"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办学条件完善。自有幼儿园模拟等实训室，共享校园生命科学馆等资源。联动本地园所、托育机构及州文联深化实践，校企共建省内外实践实习与艺术人才培养基地，承担区域保育师考评及学前教育服务，实现教学、实践、服务与产教融合衔接。</w:t>
      </w:r>
    </w:p>
    <w:p w14:paraId="7F9DC98A">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ind w:firstLine="640"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近三年成果。教师主持省地厅级课题9项、发表论文10余篇，获省级竞赛奖7项，2门课程校级精品课。学生获全国大学生艺术展演一等奖1项，师生参与德宏州各类大型活动、乡村幼教帮扶等，实践反哺教学，赋能边疆发展。</w:t>
      </w:r>
    </w:p>
    <w:p w14:paraId="56E85DA7">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ind w:firstLine="640"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专业定位准确。一是深化民族团结教育，建成省级在线精品课程，常态化组织民族活动，助力学校获评全国民族团结先进集体，铸牢学生共同体意识。二是推进非遗文化融入，结合傣族剪纸、油纸伞等非遗资源开发教学内容，师生创作获国家级荣誉。三是推动托幼融合，联动护理、婴托专业，强化“1+X”幼儿照护、育婴师技能培训与考证，以证促教。四是打造“1赛5专场”实训品牌，紧扣幼儿园实际工作对应实践教学，提升学生实操能力，为云南边疆培养适配学前教育人才。</w:t>
      </w:r>
    </w:p>
    <w:p w14:paraId="5CF5D0C6">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textAlignment w:val="auto"/>
        <w:rPr>
          <w:rFonts w:hint="default" w:ascii="Times New Roman" w:hAnsi="Times New Roman" w:eastAsia="黑体" w:cs="Times New Roman"/>
          <w:b w:val="0"/>
          <w:bCs w:val="0"/>
          <w:sz w:val="32"/>
          <w:szCs w:val="32"/>
          <w:lang w:val="en-US" w:eastAsia="zh-CN"/>
        </w:rPr>
      </w:pPr>
      <w:r>
        <w:rPr>
          <w:rFonts w:hint="default" w:ascii="Times New Roman" w:hAnsi="Times New Roman" w:eastAsia="黑体" w:cs="Times New Roman"/>
          <w:b w:val="0"/>
          <w:bCs w:val="0"/>
          <w:sz w:val="32"/>
          <w:szCs w:val="32"/>
          <w:lang w:val="en-US" w:eastAsia="zh-CN"/>
        </w:rPr>
        <w:t>二、自评等级及对标选择说明</w:t>
      </w:r>
    </w:p>
    <w:p w14:paraId="3C9BD22C">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textAlignment w:val="auto"/>
        <w:rPr>
          <w:rFonts w:hint="eastAsia" w:ascii="方正楷体_GB2312" w:hAnsi="方正楷体_GB2312" w:eastAsia="方正楷体_GB2312" w:cs="方正楷体_GB2312"/>
          <w:b w:val="0"/>
          <w:bCs w:val="0"/>
          <w:sz w:val="32"/>
          <w:szCs w:val="32"/>
          <w:lang w:val="en-US" w:eastAsia="zh-CN"/>
        </w:rPr>
      </w:pPr>
      <w:r>
        <w:rPr>
          <w:rFonts w:hint="eastAsia" w:ascii="方正楷体_GB2312" w:hAnsi="方正楷体_GB2312" w:eastAsia="方正楷体_GB2312" w:cs="方正楷体_GB2312"/>
          <w:b w:val="0"/>
          <w:bCs w:val="0"/>
          <w:sz w:val="32"/>
          <w:szCs w:val="32"/>
          <w:lang w:val="en-US" w:eastAsia="zh-CN"/>
        </w:rPr>
        <w:t>（一）自评等级</w:t>
      </w:r>
    </w:p>
    <w:p w14:paraId="2B9ABC8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sz w:val="32"/>
          <w:szCs w:val="32"/>
          <w:highlight w:val="none"/>
          <w:lang w:val="en-US" w:eastAsia="zh-CN"/>
        </w:rPr>
        <w:t>通过对照本次专业综合评价各项指标，德宏职业学院学前教育专业教研室认真梳理自开办本专业以来的实际情况，自评等级为C+类。</w:t>
      </w:r>
    </w:p>
    <w:p w14:paraId="17546CE2">
      <w:pPr>
        <w:keepNext w:val="0"/>
        <w:keepLines w:val="0"/>
        <w:pageBreakBefore w:val="0"/>
        <w:widowControl w:val="0"/>
        <w:numPr>
          <w:ilvl w:val="0"/>
          <w:numId w:val="1"/>
        </w:numPr>
        <w:kinsoku/>
        <w:wordWrap/>
        <w:overflowPunct/>
        <w:topLinePunct w:val="0"/>
        <w:autoSpaceDE/>
        <w:autoSpaceDN/>
        <w:bidi w:val="0"/>
        <w:adjustRightInd/>
        <w:snapToGrid/>
        <w:spacing w:line="600" w:lineRule="exact"/>
        <w:jc w:val="both"/>
        <w:textAlignment w:val="auto"/>
        <w:rPr>
          <w:rFonts w:hint="eastAsia" w:ascii="方正楷体_GB2312" w:hAnsi="方正楷体_GB2312" w:eastAsia="方正楷体_GB2312" w:cs="方正楷体_GB2312"/>
          <w:sz w:val="32"/>
          <w:szCs w:val="32"/>
          <w:highlight w:val="none"/>
          <w:lang w:val="en-US" w:eastAsia="zh-CN"/>
        </w:rPr>
      </w:pPr>
      <w:r>
        <w:rPr>
          <w:rFonts w:hint="eastAsia" w:ascii="方正楷体_GB2312" w:hAnsi="方正楷体_GB2312" w:eastAsia="方正楷体_GB2312" w:cs="方正楷体_GB2312"/>
          <w:sz w:val="32"/>
          <w:szCs w:val="32"/>
          <w:highlight w:val="none"/>
          <w:lang w:val="en-US" w:eastAsia="zh-CN"/>
        </w:rPr>
        <w:t>自评等级判断理由</w:t>
      </w:r>
    </w:p>
    <w:p w14:paraId="101C827F">
      <w:pPr>
        <w:ind w:firstLine="643" w:firstLineChars="20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lang w:val="en-US" w:eastAsia="zh-CN"/>
        </w:rPr>
        <w:t>一、课程与教学：基础扎实，优化待深化​</w:t>
      </w:r>
    </w:p>
    <w:p w14:paraId="79D73955">
      <w:pPr>
        <w:ind w:firstLine="640" w:firstLineChars="200"/>
        <w:rPr>
          <w:rFonts w:hint="default" w:ascii="Times New Roman" w:hAnsi="Times New Roman" w:eastAsia="方正仿宋_GBK" w:cs="Times New Roman"/>
          <w:sz w:val="32"/>
          <w:szCs w:val="32"/>
        </w:rPr>
      </w:pPr>
      <w:r>
        <w:rPr>
          <w:rFonts w:hint="eastAsia" w:ascii="方正仿宋_GBK" w:hAnsi="方正仿宋_GBK" w:eastAsia="方正仿宋_GBK" w:cs="方正仿宋_GBK"/>
          <w:sz w:val="32"/>
          <w:szCs w:val="32"/>
          <w:lang w:val="en-US" w:eastAsia="zh-CN"/>
        </w:rPr>
        <w:t>人才培养方案严格对标国标，核心课程与行业需求高度契合，筑牢质量底线；“岗课赛证”融通稳步推进，转型路径清晰，但数字化教学资源更新滞后。16分，教学有效，需强化动态调整机制。</w:t>
      </w:r>
      <w:r>
        <w:rPr>
          <w:rFonts w:hint="default" w:ascii="Times New Roman" w:hAnsi="Times New Roman" w:eastAsia="方正仿宋_GBK" w:cs="Times New Roman"/>
          <w:sz w:val="32"/>
          <w:szCs w:val="32"/>
          <w:lang w:val="en-US" w:eastAsia="zh-CN"/>
        </w:rPr>
        <w:t>​</w:t>
      </w:r>
    </w:p>
    <w:p w14:paraId="764735D1">
      <w:pPr>
        <w:ind w:firstLine="643" w:firstLineChars="20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lang w:val="en-US" w:eastAsia="zh-CN"/>
        </w:rPr>
        <w:t>二、产教融合：资源扩容，协同待加深​</w:t>
      </w:r>
    </w:p>
    <w:p w14:paraId="45518858">
      <w:pPr>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2025年新增4家实习单位、加入自贸区产教联合体，平台搭建完善，贴合边疆需求；合作多停留在基础层面，“教育－产业”联动不足。23分，基础扎实，需进一步挖掘区域资源价值。​</w:t>
      </w:r>
    </w:p>
    <w:p w14:paraId="72910EAE">
      <w:pPr>
        <w:ind w:firstLine="643" w:firstLineChars="20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lang w:val="en-US" w:eastAsia="zh-CN"/>
        </w:rPr>
        <w:t>三、实训与发展：保障有力，突破待加强​</w:t>
      </w:r>
    </w:p>
    <w:p w14:paraId="251E818E">
      <w:pPr>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建成校外18所实习基地，协同育人成效显著；2025届毕业生去向落实率92.67%，表现良好。但高层次师资缺口较大，三大板块73%得分率，师资升级需再突破。​</w:t>
      </w:r>
    </w:p>
    <w:p w14:paraId="5179A6D5">
      <w:pPr>
        <w:ind w:firstLine="643" w:firstLineChars="20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lang w:val="en-US" w:eastAsia="zh-CN"/>
        </w:rPr>
        <w:t>四、综合特色：定位精准，辐射待拓宽​</w:t>
      </w:r>
    </w:p>
    <w:p w14:paraId="18413ECD">
      <w:pPr>
        <w:ind w:firstLine="640" w:firstLineChars="200"/>
        <w:rPr>
          <w:rFonts w:hint="eastAsia" w:ascii="方正楷体_GB2312" w:hAnsi="方正楷体_GB2312" w:eastAsia="方正楷体_GB2312" w:cs="方正楷体_GB2312"/>
          <w:b w:val="0"/>
          <w:bCs w:val="0"/>
          <w:sz w:val="32"/>
          <w:szCs w:val="32"/>
          <w:lang w:val="en-US" w:eastAsia="zh-CN"/>
        </w:rPr>
      </w:pPr>
      <w:r>
        <w:rPr>
          <w:rFonts w:hint="eastAsia" w:ascii="方正仿宋_GBK" w:hAnsi="方正仿宋_GBK" w:eastAsia="方正仿宋_GBK" w:cs="方正仿宋_GBK"/>
          <w:sz w:val="32"/>
          <w:szCs w:val="32"/>
          <w:lang w:val="en-US" w:eastAsia="zh-CN"/>
        </w:rPr>
        <w:t>“服务边疆+民族文化”特色鲜明，非遗融入、托幼融合成果突出，获国家级荣誉；无负面清单。但特色影响力局限于区域，需扩大辐射范围，推动C+等级向更高层次迈进。</w:t>
      </w:r>
    </w:p>
    <w:p w14:paraId="7F08C71B">
      <w:pPr>
        <w:keepNext w:val="0"/>
        <w:keepLines w:val="0"/>
        <w:pageBreakBefore w:val="0"/>
        <w:widowControl w:val="0"/>
        <w:numPr>
          <w:ilvl w:val="0"/>
          <w:numId w:val="2"/>
        </w:numPr>
        <w:kinsoku/>
        <w:wordWrap/>
        <w:overflowPunct/>
        <w:topLinePunct w:val="0"/>
        <w:autoSpaceDE/>
        <w:autoSpaceDN/>
        <w:bidi w:val="0"/>
        <w:adjustRightInd/>
        <w:snapToGrid/>
        <w:spacing w:beforeAutospacing="0" w:line="600" w:lineRule="exact"/>
        <w:textAlignment w:val="auto"/>
        <w:rPr>
          <w:rFonts w:hint="eastAsia" w:ascii="方正楷体_GB2312" w:hAnsi="方正楷体_GB2312" w:eastAsia="方正楷体_GB2312" w:cs="方正楷体_GB2312"/>
          <w:b w:val="0"/>
          <w:bCs w:val="0"/>
          <w:sz w:val="32"/>
          <w:szCs w:val="32"/>
          <w:lang w:val="en-US" w:eastAsia="zh-CN"/>
        </w:rPr>
      </w:pPr>
      <w:r>
        <w:rPr>
          <w:rFonts w:hint="eastAsia" w:ascii="方正楷体_GB2312" w:hAnsi="方正楷体_GB2312" w:eastAsia="方正楷体_GB2312" w:cs="方正楷体_GB2312"/>
          <w:b w:val="0"/>
          <w:bCs w:val="0"/>
          <w:sz w:val="32"/>
          <w:szCs w:val="32"/>
          <w:lang w:val="en-US" w:eastAsia="zh-CN"/>
        </w:rPr>
        <w:t>对标专业名称及档次</w:t>
      </w:r>
    </w:p>
    <w:p w14:paraId="3BEA7197">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对标院校：湄洲湾职业技术学院学前教育专业；</w:t>
      </w:r>
    </w:p>
    <w:p w14:paraId="6BB70DBF">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对标档次：省外同层次中上水平院校</w:t>
      </w:r>
    </w:p>
    <w:p w14:paraId="0AA9F022">
      <w:pPr>
        <w:keepNext w:val="0"/>
        <w:keepLines w:val="0"/>
        <w:pageBreakBefore w:val="0"/>
        <w:widowControl w:val="0"/>
        <w:numPr>
          <w:ilvl w:val="0"/>
          <w:numId w:val="2"/>
        </w:numPr>
        <w:kinsoku/>
        <w:wordWrap/>
        <w:overflowPunct/>
        <w:topLinePunct w:val="0"/>
        <w:autoSpaceDE/>
        <w:autoSpaceDN/>
        <w:bidi w:val="0"/>
        <w:adjustRightInd/>
        <w:snapToGrid/>
        <w:spacing w:beforeAutospacing="0" w:line="600" w:lineRule="exact"/>
        <w:ind w:left="0" w:leftChars="0" w:firstLine="0" w:firstLineChars="0"/>
        <w:textAlignment w:val="auto"/>
        <w:rPr>
          <w:rFonts w:hint="eastAsia" w:ascii="方正楷体_GB2312" w:hAnsi="方正楷体_GB2312" w:eastAsia="方正楷体_GB2312" w:cs="方正楷体_GB2312"/>
          <w:b w:val="0"/>
          <w:bCs w:val="0"/>
          <w:sz w:val="32"/>
          <w:szCs w:val="32"/>
          <w:lang w:val="en-US" w:eastAsia="zh-CN"/>
        </w:rPr>
      </w:pPr>
      <w:r>
        <w:rPr>
          <w:rFonts w:hint="eastAsia" w:ascii="方正楷体_GB2312" w:hAnsi="方正楷体_GB2312" w:eastAsia="方正楷体_GB2312" w:cs="方正楷体_GB2312"/>
          <w:b w:val="0"/>
          <w:bCs w:val="0"/>
          <w:sz w:val="32"/>
          <w:szCs w:val="32"/>
          <w:lang w:val="en-US" w:eastAsia="zh-CN"/>
        </w:rPr>
        <w:t>对标选择理由说明</w:t>
      </w:r>
    </w:p>
    <w:p w14:paraId="0CA72941">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ind w:firstLine="640"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湄洲湾职业技术学院为公办高职院校，学前教育专业学制三年，与我院办学层次和规模相近，具备较强可比性。该校作为福建省示范性现代高等职业院校，在课程建设、实训条件、产教融合及人才培养模式方面均处于较高水平，能够为我院专业建设提供经验借鉴和发展参照。</w:t>
      </w:r>
    </w:p>
    <w:p w14:paraId="604AF865">
      <w:pPr>
        <w:keepNext w:val="0"/>
        <w:keepLines w:val="0"/>
        <w:pageBreakBefore w:val="0"/>
        <w:widowControl w:val="0"/>
        <w:numPr>
          <w:ilvl w:val="0"/>
          <w:numId w:val="3"/>
        </w:numPr>
        <w:kinsoku/>
        <w:wordWrap/>
        <w:overflowPunct/>
        <w:topLinePunct w:val="0"/>
        <w:autoSpaceDE/>
        <w:autoSpaceDN/>
        <w:bidi w:val="0"/>
        <w:adjustRightInd/>
        <w:snapToGrid/>
        <w:spacing w:line="600" w:lineRule="exact"/>
        <w:jc w:val="both"/>
        <w:textAlignment w:val="auto"/>
        <w:rPr>
          <w:rFonts w:hint="default" w:ascii="Times New Roman" w:hAnsi="Times New Roman" w:eastAsia="黑体" w:cs="Times New Roman"/>
          <w:b w:val="0"/>
          <w:bCs w:val="0"/>
          <w:sz w:val="32"/>
          <w:szCs w:val="32"/>
          <w:lang w:val="en-US" w:eastAsia="zh-CN"/>
        </w:rPr>
      </w:pPr>
      <w:r>
        <w:rPr>
          <w:rFonts w:hint="default" w:ascii="Times New Roman" w:hAnsi="Times New Roman" w:eastAsia="黑体" w:cs="Times New Roman"/>
          <w:b w:val="0"/>
          <w:bCs w:val="0"/>
          <w:sz w:val="32"/>
          <w:szCs w:val="32"/>
          <w:lang w:val="en-US" w:eastAsia="zh-CN"/>
        </w:rPr>
        <w:t>自评分析</w:t>
      </w:r>
    </w:p>
    <w:p w14:paraId="0DB1297E">
      <w:pPr>
        <w:keepNext w:val="0"/>
        <w:keepLines w:val="0"/>
        <w:pageBreakBefore w:val="0"/>
        <w:widowControl w:val="0"/>
        <w:numPr>
          <w:ilvl w:val="0"/>
          <w:numId w:val="0"/>
        </w:numPr>
        <w:kinsoku/>
        <w:wordWrap/>
        <w:overflowPunct/>
        <w:topLinePunct w:val="0"/>
        <w:autoSpaceDE/>
        <w:autoSpaceDN/>
        <w:bidi w:val="0"/>
        <w:adjustRightInd/>
        <w:snapToGrid/>
        <w:spacing w:line="600" w:lineRule="exact"/>
        <w:jc w:val="both"/>
        <w:textAlignment w:val="auto"/>
        <w:rPr>
          <w:rFonts w:hint="default" w:ascii="Times New Roman" w:hAnsi="Times New Roman" w:eastAsia="黑体" w:cs="Times New Roman"/>
          <w:b w:val="0"/>
          <w:bCs w:val="0"/>
          <w:sz w:val="32"/>
          <w:szCs w:val="32"/>
          <w:lang w:val="en-US" w:eastAsia="zh-CN"/>
        </w:rPr>
      </w:pPr>
    </w:p>
    <w:p w14:paraId="23770CFF">
      <w:pPr>
        <w:keepNext w:val="0"/>
        <w:keepLines w:val="0"/>
        <w:pageBreakBefore w:val="0"/>
        <w:widowControl w:val="0"/>
        <w:numPr>
          <w:ilvl w:val="0"/>
          <w:numId w:val="0"/>
        </w:numPr>
        <w:kinsoku/>
        <w:wordWrap/>
        <w:overflowPunct/>
        <w:topLinePunct w:val="0"/>
        <w:autoSpaceDE/>
        <w:autoSpaceDN/>
        <w:bidi w:val="0"/>
        <w:adjustRightInd/>
        <w:snapToGrid/>
        <w:spacing w:line="600" w:lineRule="exact"/>
        <w:jc w:val="both"/>
        <w:textAlignment w:val="auto"/>
        <w:rPr>
          <w:rFonts w:hint="default" w:ascii="Times New Roman" w:hAnsi="Times New Roman" w:eastAsia="黑体" w:cs="Times New Roman"/>
          <w:b w:val="0"/>
          <w:bCs w:val="0"/>
          <w:sz w:val="32"/>
          <w:szCs w:val="32"/>
          <w:lang w:val="en-US" w:eastAsia="zh-CN"/>
        </w:rPr>
      </w:pPr>
    </w:p>
    <w:p w14:paraId="4A26DAAA">
      <w:pPr>
        <w:keepNext w:val="0"/>
        <w:keepLines w:val="0"/>
        <w:pageBreakBefore w:val="0"/>
        <w:widowControl w:val="0"/>
        <w:numPr>
          <w:ilvl w:val="0"/>
          <w:numId w:val="0"/>
        </w:numPr>
        <w:kinsoku/>
        <w:wordWrap/>
        <w:overflowPunct/>
        <w:topLinePunct w:val="0"/>
        <w:autoSpaceDE/>
        <w:autoSpaceDN/>
        <w:bidi w:val="0"/>
        <w:adjustRightInd/>
        <w:snapToGrid/>
        <w:spacing w:line="600" w:lineRule="exact"/>
        <w:jc w:val="both"/>
        <w:textAlignment w:val="auto"/>
        <w:rPr>
          <w:rFonts w:hint="default" w:ascii="Times New Roman" w:hAnsi="Times New Roman" w:eastAsia="黑体" w:cs="Times New Roman"/>
          <w:b w:val="0"/>
          <w:bCs w:val="0"/>
          <w:sz w:val="32"/>
          <w:szCs w:val="32"/>
          <w:lang w:val="en-US" w:eastAsia="zh-CN"/>
        </w:rPr>
      </w:pPr>
    </w:p>
    <w:p w14:paraId="28197F94">
      <w:pPr>
        <w:keepNext w:val="0"/>
        <w:keepLines w:val="0"/>
        <w:pageBreakBefore w:val="0"/>
        <w:widowControl w:val="0"/>
        <w:numPr>
          <w:ilvl w:val="0"/>
          <w:numId w:val="0"/>
        </w:numPr>
        <w:kinsoku/>
        <w:wordWrap/>
        <w:overflowPunct/>
        <w:topLinePunct w:val="0"/>
        <w:autoSpaceDE/>
        <w:autoSpaceDN/>
        <w:bidi w:val="0"/>
        <w:adjustRightInd/>
        <w:snapToGrid/>
        <w:spacing w:beforeAutospacing="0" w:line="600" w:lineRule="exact"/>
        <w:textAlignment w:val="auto"/>
        <w:rPr>
          <w:rFonts w:hint="eastAsia" w:ascii="仿宋" w:hAnsi="仿宋" w:eastAsia="仿宋" w:cs="仿宋"/>
          <w:b w:val="0"/>
          <w:bCs w:val="0"/>
          <w:sz w:val="32"/>
          <w:szCs w:val="32"/>
          <w:lang w:val="en-US" w:eastAsia="zh-CN"/>
        </w:rPr>
      </w:pPr>
    </w:p>
    <w:tbl>
      <w:tblPr>
        <w:tblStyle w:val="2"/>
        <w:tblW w:w="499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0"/>
        <w:gridCol w:w="1917"/>
        <w:gridCol w:w="1450"/>
        <w:gridCol w:w="9"/>
        <w:gridCol w:w="1980"/>
        <w:gridCol w:w="1838"/>
      </w:tblGrid>
      <w:tr w14:paraId="527B6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0" w:hRule="atLeast"/>
        </w:trPr>
        <w:tc>
          <w:tcPr>
            <w:tcW w:w="5000" w:type="pct"/>
            <w:gridSpan w:val="6"/>
            <w:tcBorders>
              <w:top w:val="nil"/>
              <w:left w:val="nil"/>
              <w:bottom w:val="single" w:color="000000" w:sz="4" w:space="0"/>
              <w:right w:val="nil"/>
            </w:tcBorders>
            <w:shd w:val="clear" w:color="auto" w:fill="auto"/>
            <w:vAlign w:val="center"/>
          </w:tcPr>
          <w:p w14:paraId="07329BB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p>
          <w:p w14:paraId="1BBAA2E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r>
              <w:rPr>
                <w:rFonts w:hint="default" w:ascii="Times New Roman" w:hAnsi="Times New Roman" w:eastAsia="方正小标宋_GBK" w:cs="Times New Roman"/>
                <w:sz w:val="36"/>
                <w:szCs w:val="36"/>
                <w:highlight w:val="none"/>
                <w:lang w:val="en-US" w:eastAsia="zh-CN"/>
              </w:rPr>
              <w:t>专业自评分析表</w:t>
            </w:r>
          </w:p>
        </w:tc>
      </w:tr>
      <w:tr w14:paraId="79B34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2752" w:type="pct"/>
            <w:gridSpan w:val="3"/>
            <w:tcBorders>
              <w:top w:val="nil"/>
              <w:left w:val="nil"/>
              <w:bottom w:val="single" w:color="000000" w:sz="4" w:space="0"/>
              <w:right w:val="single" w:color="auto" w:sz="4" w:space="0"/>
            </w:tcBorders>
            <w:shd w:val="clear" w:color="auto" w:fill="auto"/>
            <w:vAlign w:val="center"/>
          </w:tcPr>
          <w:p w14:paraId="343E012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36"/>
                <w:szCs w:val="36"/>
                <w:highlight w:val="none"/>
                <w:lang w:val="en-US" w:eastAsia="zh-CN"/>
              </w:rPr>
            </w:pPr>
            <w:r>
              <w:rPr>
                <w:rFonts w:hint="eastAsia" w:ascii="Times New Roman" w:hAnsi="Times New Roman" w:eastAsia="方正小标宋_GBK" w:cs="Times New Roman"/>
                <w:sz w:val="28"/>
                <w:szCs w:val="28"/>
                <w:highlight w:val="none"/>
                <w:lang w:val="en-US" w:eastAsia="zh-CN"/>
              </w:rPr>
              <w:t>对标专业</w:t>
            </w:r>
          </w:p>
        </w:tc>
        <w:tc>
          <w:tcPr>
            <w:tcW w:w="2247" w:type="pct"/>
            <w:gridSpan w:val="3"/>
            <w:tcBorders>
              <w:top w:val="nil"/>
              <w:left w:val="single" w:color="auto" w:sz="4" w:space="0"/>
              <w:bottom w:val="single" w:color="000000" w:sz="4" w:space="0"/>
              <w:right w:val="nil"/>
            </w:tcBorders>
            <w:shd w:val="clear" w:color="auto" w:fill="auto"/>
            <w:vAlign w:val="center"/>
          </w:tcPr>
          <w:p w14:paraId="17681A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36"/>
                <w:szCs w:val="36"/>
                <w:highlight w:val="none"/>
                <w:lang w:val="en-US" w:eastAsia="zh-CN"/>
              </w:rPr>
            </w:pPr>
            <w:r>
              <w:rPr>
                <w:rFonts w:hint="eastAsia" w:ascii="Times New Roman" w:hAnsi="Times New Roman" w:eastAsia="方正小标宋_GBK" w:cs="Times New Roman"/>
                <w:sz w:val="28"/>
                <w:szCs w:val="28"/>
                <w:highlight w:val="none"/>
                <w:lang w:val="en-US" w:eastAsia="zh-CN"/>
              </w:rPr>
              <w:t>学前教育</w:t>
            </w:r>
          </w:p>
        </w:tc>
      </w:tr>
      <w:tr w14:paraId="630DF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7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179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r>
              <w:rPr>
                <w:rFonts w:hint="default" w:ascii="Times New Roman" w:hAnsi="Times New Roman" w:eastAsia="方正小标宋_GBK" w:cs="Times New Roman"/>
                <w:sz w:val="28"/>
                <w:szCs w:val="28"/>
                <w:highlight w:val="none"/>
                <w:lang w:val="en-US" w:eastAsia="zh-CN"/>
              </w:rPr>
              <w:t>一级指标</w:t>
            </w:r>
          </w:p>
        </w:tc>
        <w:tc>
          <w:tcPr>
            <w:tcW w:w="11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5DB68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r>
              <w:rPr>
                <w:rFonts w:hint="default" w:ascii="Times New Roman" w:hAnsi="Times New Roman" w:eastAsia="方正小标宋_GBK" w:cs="Times New Roman"/>
                <w:sz w:val="28"/>
                <w:szCs w:val="28"/>
                <w:highlight w:val="none"/>
                <w:lang w:val="en-US" w:eastAsia="zh-CN"/>
              </w:rPr>
              <w:t>二级指标</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6F4AC6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r>
              <w:rPr>
                <w:rFonts w:hint="default" w:ascii="Times New Roman" w:hAnsi="Times New Roman" w:eastAsia="方正小标宋_GBK" w:cs="Times New Roman"/>
                <w:sz w:val="28"/>
                <w:szCs w:val="28"/>
                <w:highlight w:val="none"/>
                <w:lang w:val="en-US" w:eastAsia="zh-CN"/>
              </w:rPr>
              <w:t>自评分数</w:t>
            </w:r>
          </w:p>
        </w:tc>
        <w:tc>
          <w:tcPr>
            <w:tcW w:w="11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1A2E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r>
              <w:rPr>
                <w:rFonts w:hint="default" w:ascii="Times New Roman" w:hAnsi="Times New Roman" w:eastAsia="方正小标宋_GBK" w:cs="Times New Roman"/>
                <w:sz w:val="28"/>
                <w:szCs w:val="28"/>
                <w:highlight w:val="none"/>
                <w:lang w:val="en-US" w:eastAsia="zh-CN"/>
              </w:rPr>
              <w:t>存在问题</w:t>
            </w:r>
          </w:p>
          <w:p w14:paraId="4ECF6D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r>
              <w:rPr>
                <w:rFonts w:hint="eastAsia" w:ascii="Times New Roman" w:hAnsi="Times New Roman" w:eastAsia="方正小标宋_GBK" w:cs="Times New Roman"/>
                <w:sz w:val="28"/>
                <w:szCs w:val="28"/>
                <w:highlight w:val="none"/>
                <w:lang w:val="en-US" w:eastAsia="zh-CN"/>
              </w:rPr>
              <w:t>200字以内</w:t>
            </w:r>
          </w:p>
        </w:tc>
        <w:tc>
          <w:tcPr>
            <w:tcW w:w="10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AA92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r>
              <w:rPr>
                <w:rFonts w:hint="default" w:ascii="Times New Roman" w:hAnsi="Times New Roman" w:eastAsia="方正小标宋_GBK" w:cs="Times New Roman"/>
                <w:sz w:val="28"/>
                <w:szCs w:val="28"/>
                <w:highlight w:val="none"/>
                <w:lang w:val="en-US" w:eastAsia="zh-CN"/>
              </w:rPr>
              <w:t>对标专业情况</w:t>
            </w:r>
          </w:p>
          <w:p w14:paraId="2BB48B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r>
              <w:rPr>
                <w:rFonts w:hint="default" w:ascii="Times New Roman" w:hAnsi="Times New Roman" w:eastAsia="方正小标宋_GBK" w:cs="Times New Roman"/>
                <w:sz w:val="28"/>
                <w:szCs w:val="28"/>
                <w:highlight w:val="none"/>
                <w:lang w:val="en-US" w:eastAsia="zh-CN"/>
              </w:rPr>
              <w:t>500字以内</w:t>
            </w:r>
          </w:p>
          <w:p w14:paraId="4D47D0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eastAsia="方正小标宋_GBK" w:cs="Times New Roman"/>
                <w:sz w:val="28"/>
                <w:szCs w:val="28"/>
                <w:highlight w:val="none"/>
                <w:lang w:val="en-US" w:eastAsia="zh-CN"/>
              </w:rPr>
            </w:pPr>
          </w:p>
        </w:tc>
      </w:tr>
      <w:tr w14:paraId="7EBCE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775" w:type="pct"/>
            <w:vMerge w:val="restart"/>
            <w:tcBorders>
              <w:top w:val="single" w:color="000000" w:sz="4" w:space="0"/>
              <w:left w:val="single" w:color="000000" w:sz="4" w:space="0"/>
              <w:bottom w:val="single" w:color="000000" w:sz="4" w:space="0"/>
              <w:right w:val="single" w:color="000000" w:sz="4" w:space="0"/>
            </w:tcBorders>
            <w:shd w:val="clear" w:color="auto" w:fill="E7E6E6"/>
            <w:vAlign w:val="center"/>
          </w:tcPr>
          <w:p w14:paraId="076BBF4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shd w:val="clear" w:color="auto" w:fill="auto"/>
                <w:lang w:val="en-US" w:eastAsia="zh-CN"/>
              </w:rPr>
            </w:pPr>
            <w:r>
              <w:rPr>
                <w:rFonts w:hint="default" w:ascii="Times New Roman" w:hAnsi="Times New Roman" w:cs="Times New Roman" w:eastAsiaTheme="minorEastAsia"/>
                <w:sz w:val="24"/>
                <w:szCs w:val="24"/>
                <w:highlight w:val="none"/>
                <w:shd w:val="clear" w:color="auto" w:fill="auto"/>
                <w:lang w:val="en-US" w:eastAsia="zh-CN"/>
              </w:rPr>
              <w:t>A1【课程与教学】</w:t>
            </w:r>
            <w:r>
              <w:rPr>
                <w:rFonts w:hint="default" w:ascii="Times New Roman" w:hAnsi="Times New Roman" w:cs="Times New Roman" w:eastAsiaTheme="minorEastAsia"/>
                <w:sz w:val="24"/>
                <w:szCs w:val="24"/>
                <w:highlight w:val="none"/>
                <w:shd w:val="clear" w:color="auto" w:fill="auto"/>
                <w:lang w:val="en-US" w:eastAsia="zh-CN"/>
              </w:rPr>
              <w:br w:type="textWrapping"/>
            </w:r>
            <w:r>
              <w:rPr>
                <w:rFonts w:hint="default" w:ascii="Times New Roman" w:hAnsi="Times New Roman" w:cs="Times New Roman" w:eastAsiaTheme="minorEastAsia"/>
                <w:sz w:val="24"/>
                <w:szCs w:val="24"/>
                <w:highlight w:val="none"/>
                <w:shd w:val="clear" w:color="auto" w:fill="auto"/>
                <w:lang w:val="en-US" w:eastAsia="zh-CN"/>
              </w:rPr>
              <w:t>（20分）</w:t>
            </w:r>
          </w:p>
        </w:tc>
        <w:tc>
          <w:tcPr>
            <w:tcW w:w="1125"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079EE30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shd w:val="clear" w:color="auto" w:fill="auto"/>
                <w:lang w:val="en-US" w:eastAsia="zh-CN"/>
              </w:rPr>
            </w:pPr>
            <w:r>
              <w:rPr>
                <w:rFonts w:hint="default" w:ascii="Times New Roman" w:hAnsi="Times New Roman" w:cs="Times New Roman" w:eastAsiaTheme="minorEastAsia"/>
                <w:sz w:val="24"/>
                <w:szCs w:val="24"/>
                <w:highlight w:val="none"/>
                <w:shd w:val="clear" w:color="auto" w:fill="auto"/>
                <w:lang w:val="en-US" w:eastAsia="zh-CN"/>
              </w:rPr>
              <w:t>B1【方案结构】</w:t>
            </w:r>
            <w:r>
              <w:rPr>
                <w:rFonts w:hint="default" w:ascii="Times New Roman" w:hAnsi="Times New Roman" w:cs="Times New Roman" w:eastAsiaTheme="minorEastAsia"/>
                <w:sz w:val="24"/>
                <w:szCs w:val="24"/>
                <w:highlight w:val="none"/>
                <w:shd w:val="clear" w:color="auto" w:fill="auto"/>
                <w:lang w:val="en-US" w:eastAsia="zh-CN"/>
              </w:rPr>
              <w:br w:type="textWrapping"/>
            </w:r>
            <w:r>
              <w:rPr>
                <w:rFonts w:hint="default" w:ascii="Times New Roman" w:hAnsi="Times New Roman" w:cs="Times New Roman" w:eastAsiaTheme="minorEastAsia"/>
                <w:sz w:val="24"/>
                <w:szCs w:val="24"/>
                <w:highlight w:val="none"/>
                <w:shd w:val="clear" w:color="auto" w:fill="auto"/>
                <w:lang w:val="en-US" w:eastAsia="zh-CN"/>
              </w:rPr>
              <w:t>（</w:t>
            </w:r>
            <w:r>
              <w:rPr>
                <w:rFonts w:hint="eastAsia" w:ascii="Times New Roman" w:hAnsi="Times New Roman" w:cs="Times New Roman" w:eastAsiaTheme="minorEastAsia"/>
                <w:sz w:val="24"/>
                <w:szCs w:val="24"/>
                <w:highlight w:val="none"/>
                <w:shd w:val="clear" w:color="auto" w:fill="auto"/>
                <w:lang w:val="en-US" w:eastAsia="zh-CN"/>
              </w:rPr>
              <w:t>5</w:t>
            </w:r>
            <w:r>
              <w:rPr>
                <w:rFonts w:hint="default" w:ascii="Times New Roman" w:hAnsi="Times New Roman" w:cs="Times New Roman" w:eastAsiaTheme="minorEastAsia"/>
                <w:sz w:val="24"/>
                <w:szCs w:val="24"/>
                <w:highlight w:val="none"/>
                <w:shd w:val="clear" w:color="auto" w:fill="auto"/>
                <w:lang w:val="en-US" w:eastAsia="zh-CN"/>
              </w:rPr>
              <w:t>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14:paraId="53255C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shd w:val="clear" w:color="auto" w:fill="auto"/>
                <w:lang w:val="en-US" w:eastAsia="zh-CN"/>
              </w:rPr>
            </w:pPr>
            <w:r>
              <w:rPr>
                <w:rFonts w:hint="eastAsia" w:ascii="Times New Roman" w:hAnsi="Times New Roman" w:cs="Times New Roman" w:eastAsiaTheme="minorEastAsia"/>
                <w:sz w:val="24"/>
                <w:szCs w:val="24"/>
                <w:highlight w:val="none"/>
                <w:shd w:val="clear" w:color="auto" w:fill="auto"/>
                <w:lang w:val="en-US" w:eastAsia="zh-CN"/>
              </w:rPr>
              <w:t>4</w:t>
            </w:r>
          </w:p>
        </w:tc>
        <w:tc>
          <w:tcPr>
            <w:tcW w:w="1162"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3EA5003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shd w:val="clear" w:color="auto" w:fill="auto"/>
                <w:lang w:val="en-US" w:eastAsia="zh-CN"/>
              </w:rPr>
            </w:pPr>
            <w:r>
              <w:rPr>
                <w:rFonts w:hint="default" w:ascii="Times New Roman" w:hAnsi="Times New Roman" w:cs="Times New Roman" w:eastAsiaTheme="minorEastAsia"/>
                <w:sz w:val="24"/>
                <w:szCs w:val="24"/>
                <w:highlight w:val="none"/>
                <w:shd w:val="clear" w:color="auto" w:fill="auto"/>
                <w:lang w:val="en-US" w:eastAsia="zh-CN"/>
              </w:rPr>
              <w:t>目前人才培养方案和课程结构总体符合国家标准，但在前瞻性与行业需求匹配度上仍有不足。专业核心课程开设数量虽达标，但对新兴教育理念与数字化教学支持不足。企业和行业参与人才培养方案制（修）订的制度化程度不高，合作深度和广度需进一步提升</w:t>
            </w:r>
            <w:r>
              <w:rPr>
                <w:rFonts w:hint="eastAsia" w:ascii="Times New Roman" w:hAnsi="Times New Roman" w:cs="Times New Roman" w:eastAsiaTheme="minorEastAsia"/>
                <w:sz w:val="24"/>
                <w:szCs w:val="24"/>
                <w:highlight w:val="none"/>
                <w:shd w:val="clear" w:color="auto" w:fill="auto"/>
                <w:lang w:val="en-US" w:eastAsia="zh-CN"/>
              </w:rPr>
              <w:t>。</w:t>
            </w:r>
          </w:p>
        </w:tc>
        <w:tc>
          <w:tcPr>
            <w:tcW w:w="1079" w:type="pct"/>
            <w:vMerge w:val="restart"/>
            <w:tcBorders>
              <w:top w:val="single" w:color="000000" w:sz="4" w:space="0"/>
              <w:left w:val="single" w:color="000000" w:sz="4" w:space="0"/>
              <w:right w:val="single" w:color="000000" w:sz="4" w:space="0"/>
            </w:tcBorders>
            <w:shd w:val="clear" w:color="auto" w:fill="E7E6E6"/>
            <w:vAlign w:val="center"/>
          </w:tcPr>
          <w:p w14:paraId="3B354A8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shd w:val="clear" w:color="auto" w:fill="auto"/>
                <w:lang w:val="en-US" w:eastAsia="zh-CN"/>
              </w:rPr>
            </w:pPr>
            <w:r>
              <w:rPr>
                <w:rFonts w:hint="default" w:ascii="Times New Roman" w:hAnsi="Times New Roman" w:cs="Times New Roman" w:eastAsiaTheme="minorEastAsia"/>
                <w:sz w:val="24"/>
                <w:szCs w:val="24"/>
                <w:highlight w:val="none"/>
                <w:shd w:val="clear" w:color="auto" w:fill="auto"/>
                <w:lang w:val="en-US" w:eastAsia="zh-CN"/>
              </w:rPr>
              <w:t>德宏职业学院学前教育专业积极对标湄洲湾职业技术学院，借鉴其在人才培养方案、课程体系和产教融合等方面的成功经验。湄洲湾职院通过“岗课赛证”融通模式，强化了职业能力培养和课程思政的融入，形成了独特的教育特色。德宏职院虽已融入民族文化，但在实践资源整合、课程群建设和企业对接方面仍需加强。</w:t>
            </w:r>
          </w:p>
          <w:p w14:paraId="31C5CA4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shd w:val="clear" w:color="auto" w:fill="auto"/>
                <w:lang w:val="en-US" w:eastAsia="zh-CN"/>
              </w:rPr>
            </w:pPr>
            <w:r>
              <w:rPr>
                <w:rFonts w:hint="default" w:ascii="Times New Roman" w:hAnsi="Times New Roman" w:cs="Times New Roman" w:eastAsiaTheme="minorEastAsia"/>
                <w:sz w:val="24"/>
                <w:szCs w:val="24"/>
                <w:highlight w:val="none"/>
                <w:shd w:val="clear" w:color="auto" w:fill="auto"/>
                <w:lang w:val="en-US" w:eastAsia="zh-CN"/>
              </w:rPr>
              <w:t>湄洲湾职院注重理论与实践结合，并通过校企合作推动教材更新与教学内容优化。德宏职院正在加速推进“岗课赛证”模式，完善校本教材和数字化资源，但课程更新速度与企业需求对接尚需提高。</w:t>
            </w:r>
          </w:p>
          <w:p w14:paraId="13C46CB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shd w:val="clear" w:color="auto" w:fill="auto"/>
                <w:lang w:val="en-US" w:eastAsia="zh-CN"/>
              </w:rPr>
            </w:pPr>
            <w:r>
              <w:rPr>
                <w:rFonts w:hint="default" w:ascii="Times New Roman" w:hAnsi="Times New Roman" w:cs="Times New Roman" w:eastAsiaTheme="minorEastAsia"/>
                <w:sz w:val="24"/>
                <w:szCs w:val="24"/>
                <w:highlight w:val="none"/>
                <w:shd w:val="clear" w:color="auto" w:fill="auto"/>
                <w:lang w:val="en-US" w:eastAsia="zh-CN"/>
              </w:rPr>
              <w:t>在教材管理和考核评价方面，湄洲湾职院已形成成熟体系，校企合作开发教材并确保内容更新，考核体系涵盖过程性与终结性评估，试题库建设完善。德宏职院虽已建立教材管理制度，但校企合作开发教材的深度与频率不足，考核体系多元性和第三方机制未完全落实，过程性考核比重较低，试题库建设和毕业成果规范性需改进。</w:t>
            </w:r>
          </w:p>
        </w:tc>
      </w:tr>
      <w:tr w14:paraId="1EB14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14:paraId="6132833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1CFFFDC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B2【教学实施】</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5</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14:paraId="16B281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4</w:t>
            </w:r>
          </w:p>
        </w:tc>
        <w:tc>
          <w:tcPr>
            <w:tcW w:w="1162"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0A157FC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在劳模精神、工匠精神等元素的渗透方面不足。企业参与课程开发较少，未能有效对接企业实际工作任务，课堂教学形式较单一，信息化技术应用不足。三教改革推进较慢，尚未有效激活教学资源，在线精品课程及一流核心课程的建设与推广力度不足。</w:t>
            </w:r>
          </w:p>
        </w:tc>
        <w:tc>
          <w:tcPr>
            <w:tcW w:w="1079" w:type="pct"/>
            <w:vMerge w:val="continue"/>
            <w:tcBorders>
              <w:left w:val="single" w:color="000000" w:sz="4" w:space="0"/>
              <w:right w:val="single" w:color="000000" w:sz="4" w:space="0"/>
            </w:tcBorders>
            <w:shd w:val="clear" w:color="auto" w:fill="E7E6E6"/>
            <w:vAlign w:val="center"/>
          </w:tcPr>
          <w:p w14:paraId="5A6DBB1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580A1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7"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14:paraId="09B31A3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57E990A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B3【教材管理】</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5</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14:paraId="43B578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4</w:t>
            </w:r>
          </w:p>
        </w:tc>
        <w:tc>
          <w:tcPr>
            <w:tcW w:w="1162"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6204953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尽管我院学前教育专业已按国家教材管理规定执行，但在实际运行中，制度的执行力度和落实程度不够，存在一定的滞后性。其次，校企合作开发教材的常态化机制尚未完全形成，合作数量和质量仍有待提高，尚未有效满足专业发展的需求。虽然课程在选用教材时符合规划要求，但高水平教材的选用和自编教材的编写参与度仍偏低，未能充分发挥教师在教材开发中的积极性。总体来看，教材管理制度的完善和教材开发机制的创新仍需进一步推进。</w:t>
            </w:r>
          </w:p>
        </w:tc>
        <w:tc>
          <w:tcPr>
            <w:tcW w:w="1079" w:type="pct"/>
            <w:vMerge w:val="continue"/>
            <w:tcBorders>
              <w:left w:val="single" w:color="000000" w:sz="4" w:space="0"/>
              <w:right w:val="single" w:color="000000" w:sz="4" w:space="0"/>
            </w:tcBorders>
            <w:shd w:val="clear" w:color="auto" w:fill="E7E6E6"/>
            <w:vAlign w:val="center"/>
          </w:tcPr>
          <w:p w14:paraId="10283FF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4175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14:paraId="5EA205F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auto" w:sz="4" w:space="0"/>
              <w:right w:val="single" w:color="000000" w:sz="4" w:space="0"/>
            </w:tcBorders>
            <w:shd w:val="clear" w:color="auto" w:fill="E7E6E6"/>
            <w:vAlign w:val="center"/>
          </w:tcPr>
          <w:p w14:paraId="2695C42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B4【考核评价】</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5</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000000" w:sz="4" w:space="0"/>
              <w:left w:val="single" w:color="000000" w:sz="4" w:space="0"/>
              <w:bottom w:val="single" w:color="auto" w:sz="4" w:space="0"/>
              <w:right w:val="single" w:color="000000" w:sz="4" w:space="0"/>
            </w:tcBorders>
            <w:shd w:val="clear" w:color="auto" w:fill="E7E6E6"/>
            <w:vAlign w:val="center"/>
          </w:tcPr>
          <w:p w14:paraId="565D3A1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4</w:t>
            </w:r>
          </w:p>
        </w:tc>
        <w:tc>
          <w:tcPr>
            <w:tcW w:w="1162" w:type="pct"/>
            <w:tcBorders>
              <w:top w:val="single" w:color="000000" w:sz="4" w:space="0"/>
              <w:left w:val="single" w:color="000000" w:sz="4" w:space="0"/>
              <w:bottom w:val="single" w:color="auto" w:sz="4" w:space="0"/>
              <w:right w:val="single" w:color="000000" w:sz="4" w:space="0"/>
            </w:tcBorders>
            <w:shd w:val="clear" w:color="auto" w:fill="E7E6E6"/>
            <w:vAlign w:val="center"/>
          </w:tcPr>
          <w:p w14:paraId="0D292C1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我院学前教育专业</w:t>
            </w:r>
            <w:r>
              <w:rPr>
                <w:rFonts w:hint="default" w:ascii="Times New Roman" w:hAnsi="Times New Roman" w:cs="Times New Roman" w:eastAsiaTheme="minorEastAsia"/>
                <w:sz w:val="24"/>
                <w:szCs w:val="24"/>
                <w:highlight w:val="none"/>
                <w:lang w:val="en-US" w:eastAsia="zh-CN"/>
              </w:rPr>
              <w:t>课程考核基本符合课程目标要求，并反映岗位能力特质，但评价体系的多元性与灵活性仍有待加强。教学质量监控机制虽已建立，但常态化实施不够，评价结果未能充分运用于教学改进。此外，过程性考核与终结性考核的融合度不足，调研报告考核的比重较低，未能充分体现学生的持续性学习与能力发展。专业试题库建设进展缓慢，第三方参与考核评价的机制尚未完全落实。毕业考核制度虽有初步框架，但在毕业设计、作品等终结性成果的规范性和质量上仍需进一步完善，以更好地反映专业培养目标。</w:t>
            </w:r>
          </w:p>
        </w:tc>
        <w:tc>
          <w:tcPr>
            <w:tcW w:w="1079" w:type="pct"/>
            <w:vMerge w:val="continue"/>
            <w:tcBorders>
              <w:left w:val="single" w:color="000000" w:sz="4" w:space="0"/>
              <w:bottom w:val="single" w:color="auto" w:sz="4" w:space="0"/>
              <w:right w:val="single" w:color="000000" w:sz="4" w:space="0"/>
            </w:tcBorders>
            <w:shd w:val="clear" w:color="auto" w:fill="E7E6E6"/>
            <w:vAlign w:val="center"/>
          </w:tcPr>
          <w:p w14:paraId="0777458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72587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atLeast"/>
        </w:trPr>
        <w:tc>
          <w:tcPr>
            <w:tcW w:w="775" w:type="pct"/>
            <w:vMerge w:val="continue"/>
            <w:tcBorders>
              <w:left w:val="single" w:color="000000" w:sz="4" w:space="0"/>
              <w:bottom w:val="single" w:color="000000" w:sz="4" w:space="0"/>
              <w:right w:val="single" w:color="000000" w:sz="4" w:space="0"/>
            </w:tcBorders>
            <w:shd w:val="clear" w:color="auto" w:fill="E7E6E6"/>
            <w:vAlign w:val="center"/>
          </w:tcPr>
          <w:p w14:paraId="4A33FAE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auto" w:sz="4" w:space="0"/>
              <w:left w:val="single" w:color="000000" w:sz="4" w:space="0"/>
              <w:bottom w:val="single" w:color="000000" w:sz="4" w:space="0"/>
              <w:right w:val="single" w:color="000000" w:sz="4" w:space="0"/>
            </w:tcBorders>
            <w:shd w:val="clear" w:color="auto" w:fill="E7E6E6"/>
            <w:vAlign w:val="center"/>
          </w:tcPr>
          <w:p w14:paraId="7A6A4CC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相较上一学年【课程与教学】持续改进情况说明，要求有针对性，有计划、有行动、有成效，用真实数据和实证支撑(内容不超过500字)</w:t>
            </w:r>
            <w:r>
              <w:rPr>
                <w:rFonts w:hint="default" w:ascii="Times New Roman" w:hAnsi="Times New Roman" w:cs="Times New Roman" w:eastAsiaTheme="minorEastAsia"/>
                <w:sz w:val="24"/>
                <w:szCs w:val="24"/>
                <w:highlight w:val="none"/>
                <w:lang w:val="en-US" w:eastAsia="zh-CN"/>
              </w:rPr>
              <w:tab/>
            </w:r>
          </w:p>
        </w:tc>
        <w:tc>
          <w:tcPr>
            <w:tcW w:w="3099" w:type="pct"/>
            <w:gridSpan w:val="4"/>
            <w:tcBorders>
              <w:top w:val="single" w:color="auto" w:sz="4" w:space="0"/>
              <w:left w:val="single" w:color="000000" w:sz="4" w:space="0"/>
              <w:bottom w:val="single" w:color="000000" w:sz="4" w:space="0"/>
              <w:right w:val="single" w:color="000000" w:sz="4" w:space="0"/>
            </w:tcBorders>
            <w:shd w:val="clear" w:color="auto" w:fill="E7E6E6"/>
            <w:vAlign w:val="center"/>
          </w:tcPr>
          <w:p w14:paraId="05442AE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方案结构：尽管人才培养方案和课程结构已符合国家标准，但与行业需求的匹配度仍需提升。为此，我院将加强与企业的合作，推动课程与新兴教育理念、数字化教学的结合，进一步创新专业核心课程，确保课程体系更加前瞻性。</w:t>
            </w:r>
          </w:p>
          <w:p w14:paraId="35D8B1E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2教学实施改进：我院将强化劳模精神、工匠精神等元素的渗透，推动企业参与课程开发，使课程内容更好对接实际工作任务。同时，将多样化课堂教学形式，充分利用信息化技术，优化“三教”改革，促进教学资源激活，推动在线精品课程和核心课程建设。</w:t>
            </w:r>
          </w:p>
          <w:p w14:paraId="5A0C398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B3教材管理：我院将完善教材管理制度，确保严格落实，并推动校企合作开发教材的常态化，提升合作质量和数量。鼓励教师参与教材编写，确保教材更新与专业需求匹配，提升高水平教材选用与自编教材质量。</w:t>
            </w:r>
          </w:p>
          <w:p w14:paraId="6040E90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4考核评价：我院将增强课程考核的多元性与灵活性，完善教学质量监控机制，确保评价结果反馈至教学改进。加强过程性与终结性考核的融合，提升调研报告和作业测评比重，推动试题库建设与第三方考核机制，完善毕业考核制度，确保成果规范，符合培养目标。</w:t>
            </w:r>
          </w:p>
        </w:tc>
      </w:tr>
      <w:tr w14:paraId="6BDD1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6" w:hRule="atLeast"/>
        </w:trPr>
        <w:tc>
          <w:tcPr>
            <w:tcW w:w="7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E92EC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A2【产教融合及社会服务】</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3</w:t>
            </w:r>
            <w:r>
              <w:rPr>
                <w:rFonts w:hint="default" w:ascii="Times New Roman" w:hAnsi="Times New Roman" w:cs="Times New Roman" w:eastAsiaTheme="minorEastAsia"/>
                <w:sz w:val="24"/>
                <w:szCs w:val="24"/>
                <w:highlight w:val="none"/>
                <w:lang w:val="en-US" w:eastAsia="zh-CN"/>
              </w:rPr>
              <w:t>0分）</w:t>
            </w:r>
          </w:p>
        </w:tc>
        <w:tc>
          <w:tcPr>
            <w:tcW w:w="1125" w:type="pct"/>
            <w:tcBorders>
              <w:top w:val="single" w:color="000000" w:sz="4" w:space="0"/>
              <w:left w:val="single" w:color="000000" w:sz="4" w:space="0"/>
              <w:bottom w:val="single" w:color="auto" w:sz="4" w:space="0"/>
              <w:right w:val="single" w:color="000000" w:sz="4" w:space="0"/>
            </w:tcBorders>
            <w:shd w:val="clear" w:color="auto" w:fill="auto"/>
            <w:vAlign w:val="center"/>
          </w:tcPr>
          <w:p w14:paraId="0821EC4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B5【需求导向】</w:t>
            </w:r>
          </w:p>
          <w:p w14:paraId="5DFB168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（8分）</w:t>
            </w:r>
          </w:p>
          <w:p w14:paraId="7E45EA9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856" w:type="pct"/>
            <w:gridSpan w:val="2"/>
            <w:tcBorders>
              <w:top w:val="single" w:color="000000" w:sz="4" w:space="0"/>
              <w:left w:val="single" w:color="000000" w:sz="4" w:space="0"/>
              <w:bottom w:val="single" w:color="auto" w:sz="4" w:space="0"/>
              <w:right w:val="single" w:color="000000" w:sz="4" w:space="0"/>
            </w:tcBorders>
            <w:shd w:val="clear" w:color="auto" w:fill="auto"/>
            <w:vAlign w:val="center"/>
          </w:tcPr>
          <w:p w14:paraId="13E11B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6</w:t>
            </w:r>
          </w:p>
        </w:tc>
        <w:tc>
          <w:tcPr>
            <w:tcW w:w="1162" w:type="pct"/>
            <w:tcBorders>
              <w:top w:val="single" w:color="000000" w:sz="4" w:space="0"/>
              <w:left w:val="single" w:color="000000" w:sz="4" w:space="0"/>
              <w:bottom w:val="single" w:color="auto" w:sz="4" w:space="0"/>
              <w:right w:val="single" w:color="000000" w:sz="4" w:space="0"/>
            </w:tcBorders>
            <w:shd w:val="clear" w:color="auto" w:fill="auto"/>
            <w:vAlign w:val="center"/>
          </w:tcPr>
          <w:p w14:paraId="2E07037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德宏职业学院学前教育专业产教融合在社会需求导向上的问题：德宏州人口虽达130多万，但城镇化率仅约51%，城乡需求差异大，专业未精准对接乡镇63万人口的教育需求。地处边疆，与缅甸教育理念差异大，国际交流成果难以转化为本土服务能力。且学生多为州外、省外大专生，对本地文化、教育需求了解不足，难以培养出既懂边疆特色又符合社会需求的复合型幼教人才。</w:t>
            </w:r>
          </w:p>
        </w:tc>
        <w:tc>
          <w:tcPr>
            <w:tcW w:w="1079" w:type="pct"/>
            <w:vMerge w:val="restart"/>
            <w:tcBorders>
              <w:top w:val="single" w:color="000000" w:sz="4" w:space="0"/>
              <w:left w:val="single" w:color="000000" w:sz="4" w:space="0"/>
              <w:right w:val="single" w:color="000000" w:sz="4" w:space="0"/>
            </w:tcBorders>
            <w:shd w:val="clear" w:color="auto" w:fill="auto"/>
            <w:vAlign w:val="center"/>
          </w:tcPr>
          <w:p w14:paraId="3DE7EC3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在产教融合层面，湄洲湾职业技术学院依托 “全国乡村振兴研学旅游行业产教融合共同体”，与 30 余所省、市级示范性幼儿园及托育机构深度合作，涉及课程开发、师资互聘等，还和泉州历晨研学旅行有限公司共建产学研基地，精准对接产业需求，形成 “教育链 - 产业链” 闭环。而德宏职业学院虽与凌虹、睿恩等幼儿园合作，却多为挂牌共建，缺乏深度协作，产教融合稳定性与创新性不足。</w:t>
            </w:r>
          </w:p>
          <w:p w14:paraId="09D32CE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社会服务层面，湄洲湾职业技术学院借妈祖文化推广等项目，年志愿服务超 20 万小时，覆盖多领域，形成 “教育 - 实践 - 服务” 闭环，且社会服务与专业群高度契合，能转化专业资源。德宏职业学院虽有非遗传承等志愿服务，但与学前教育专业结合度低，未形成专业辐射力，服务范围局限本地，无跨区域影响力。</w:t>
            </w:r>
          </w:p>
          <w:p w14:paraId="65C2331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启示在于，湄洲湾职业技术学院以产教深度融合提升专业与产业竞争力，德宏职业学院需打破产教壁垒，结合边疆特色开发跨境幼教合作项目，实现专业发展与社会服务双向赋能。</w:t>
            </w:r>
          </w:p>
        </w:tc>
      </w:tr>
      <w:tr w14:paraId="0F596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8" w:hRule="atLeast"/>
        </w:trPr>
        <w:tc>
          <w:tcPr>
            <w:tcW w:w="775" w:type="pct"/>
            <w:vMerge w:val="continue"/>
            <w:tcBorders>
              <w:left w:val="single" w:color="000000" w:sz="4" w:space="0"/>
              <w:right w:val="single" w:color="000000" w:sz="4" w:space="0"/>
            </w:tcBorders>
            <w:shd w:val="clear" w:color="auto" w:fill="auto"/>
            <w:vAlign w:val="center"/>
          </w:tcPr>
          <w:p w14:paraId="120F7E0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auto" w:sz="4" w:space="0"/>
              <w:left w:val="single" w:color="000000" w:sz="4" w:space="0"/>
              <w:bottom w:val="single" w:color="000000" w:sz="4" w:space="0"/>
              <w:right w:val="single" w:color="000000" w:sz="4" w:space="0"/>
            </w:tcBorders>
            <w:shd w:val="clear" w:color="auto" w:fill="auto"/>
            <w:vAlign w:val="center"/>
          </w:tcPr>
          <w:p w14:paraId="48FC32D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w:t>
            </w:r>
            <w:r>
              <w:rPr>
                <w:rFonts w:hint="eastAsia" w:ascii="Times New Roman" w:hAnsi="Times New Roman" w:cs="Times New Roman" w:eastAsiaTheme="minorEastAsia"/>
                <w:sz w:val="24"/>
                <w:szCs w:val="24"/>
                <w:highlight w:val="none"/>
                <w:lang w:val="en-US" w:eastAsia="zh-CN"/>
              </w:rPr>
              <w:t>6</w:t>
            </w:r>
            <w:r>
              <w:rPr>
                <w:rFonts w:hint="default" w:ascii="Times New Roman" w:hAnsi="Times New Roman" w:cs="Times New Roman" w:eastAsiaTheme="minorEastAsia"/>
                <w:sz w:val="24"/>
                <w:szCs w:val="24"/>
                <w:highlight w:val="none"/>
                <w:lang w:val="en-US" w:eastAsia="zh-CN"/>
              </w:rPr>
              <w:t>【产教融合】</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7</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14:paraId="68E2D7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6</w:t>
            </w:r>
          </w:p>
        </w:tc>
        <w:tc>
          <w:tcPr>
            <w:tcW w:w="1162" w:type="pct"/>
            <w:tcBorders>
              <w:top w:val="single" w:color="auto" w:sz="4" w:space="0"/>
              <w:left w:val="single" w:color="000000" w:sz="4" w:space="0"/>
              <w:bottom w:val="single" w:color="000000" w:sz="4" w:space="0"/>
              <w:right w:val="single" w:color="000000" w:sz="4" w:space="0"/>
            </w:tcBorders>
            <w:shd w:val="clear" w:color="auto" w:fill="auto"/>
            <w:vAlign w:val="center"/>
          </w:tcPr>
          <w:p w14:paraId="022F790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我校学前教育专业产教融合与社会服务存在的短板：产教融合中，企业因缺政策激励与长效机制，合作多流于挂牌共建，学生实习岗位与专业匹配度欠佳；管理体制上，权责利界定不清晰，企业退出成本低，合作稳定性差；课程设计重艺术技能，轻儿童发展心理学等综合能力培养，与复合型幼教人才需求脱节；社会服务方面，与社区、早教机构联动少，未构建“教育-实践-服务”闭环，专业服务社会的能力与辐射范围亟待增强。</w:t>
            </w:r>
          </w:p>
        </w:tc>
        <w:tc>
          <w:tcPr>
            <w:tcW w:w="1079" w:type="pct"/>
            <w:vMerge w:val="continue"/>
            <w:tcBorders>
              <w:left w:val="single" w:color="000000" w:sz="4" w:space="0"/>
              <w:right w:val="single" w:color="000000" w:sz="4" w:space="0"/>
            </w:tcBorders>
            <w:shd w:val="clear" w:color="auto" w:fill="auto"/>
            <w:vAlign w:val="center"/>
          </w:tcPr>
          <w:p w14:paraId="7135F7D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23FF5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90422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51D9C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w:t>
            </w:r>
            <w:r>
              <w:rPr>
                <w:rFonts w:hint="eastAsia" w:ascii="Times New Roman" w:hAnsi="Times New Roman" w:cs="Times New Roman" w:eastAsiaTheme="minorEastAsia"/>
                <w:sz w:val="24"/>
                <w:szCs w:val="24"/>
                <w:highlight w:val="none"/>
                <w:lang w:val="en-US" w:eastAsia="zh-CN"/>
              </w:rPr>
              <w:t>7</w:t>
            </w:r>
            <w:r>
              <w:rPr>
                <w:rFonts w:hint="default" w:ascii="Times New Roman" w:hAnsi="Times New Roman" w:cs="Times New Roman" w:eastAsiaTheme="minorEastAsia"/>
                <w:sz w:val="24"/>
                <w:szCs w:val="24"/>
                <w:highlight w:val="none"/>
                <w:lang w:val="en-US" w:eastAsia="zh-CN"/>
              </w:rPr>
              <w:t>【校企合作】</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（7分）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9002F1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6</w:t>
            </w:r>
          </w:p>
        </w:tc>
        <w:tc>
          <w:tcPr>
            <w:tcW w:w="11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8F974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我校学前教育专业校企合作存在企业参与不积极问题，企业因增加管理成本、风险及担忧人才流失，动力不足；合作多停留在接收学生实习的浅层次，未从培养目标、课程开发等多方面深层次合作；缺乏统一协调的自愿行动，多靠感情和人脉维系低层次合作；且学校适应企业需求能力待提高，专业设置、培养方式等与企业需求不完全相符，难以形成科学规范的校企联合培养人才体制机制。</w:t>
            </w:r>
          </w:p>
        </w:tc>
        <w:tc>
          <w:tcPr>
            <w:tcW w:w="1079" w:type="pct"/>
            <w:vMerge w:val="continue"/>
            <w:tcBorders>
              <w:left w:val="single" w:color="000000" w:sz="4" w:space="0"/>
              <w:right w:val="single" w:color="000000" w:sz="4" w:space="0"/>
            </w:tcBorders>
            <w:shd w:val="clear" w:color="auto" w:fill="auto"/>
            <w:vAlign w:val="center"/>
          </w:tcPr>
          <w:p w14:paraId="7766C37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31487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FB258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AF35B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w:t>
            </w:r>
            <w:r>
              <w:rPr>
                <w:rFonts w:hint="eastAsia" w:ascii="Times New Roman" w:hAnsi="Times New Roman" w:cs="Times New Roman" w:eastAsiaTheme="minorEastAsia"/>
                <w:sz w:val="24"/>
                <w:szCs w:val="24"/>
                <w:highlight w:val="none"/>
                <w:lang w:val="en-US" w:eastAsia="zh-CN"/>
              </w:rPr>
              <w:t>8</w:t>
            </w:r>
            <w:r>
              <w:rPr>
                <w:rFonts w:hint="default" w:ascii="Times New Roman" w:hAnsi="Times New Roman" w:cs="Times New Roman" w:eastAsiaTheme="minorEastAsia"/>
                <w:sz w:val="24"/>
                <w:szCs w:val="24"/>
                <w:highlight w:val="none"/>
                <w:lang w:val="en-US" w:eastAsia="zh-CN"/>
              </w:rPr>
              <w:t>【社会服务】</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（6分）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5129D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4</w:t>
            </w:r>
          </w:p>
        </w:tc>
        <w:tc>
          <w:tcPr>
            <w:tcW w:w="11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059A8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我校学前教育专业社会服务存在不少问题。服务范围较窄，主要局限于周边少数幼儿园，辐射范围不大。与社区、早教机构等合作深度不足，多是浅尝辄止的短期活动，未形成稳定合作模式。服务内容单一，多集中在简单的亲子活动、幼教讲座，缺乏对儿童心理、家庭教育指导等专业服务。此外，专业教师参与社会服务的主动性和能力有待提升，未充分发挥专业优势为社会提供高质量服务，未能很好满足社会对学前教育多样化需求。</w:t>
            </w:r>
          </w:p>
        </w:tc>
        <w:tc>
          <w:tcPr>
            <w:tcW w:w="1079" w:type="pct"/>
            <w:vMerge w:val="continue"/>
            <w:tcBorders>
              <w:left w:val="single" w:color="000000" w:sz="4" w:space="0"/>
              <w:right w:val="single" w:color="000000" w:sz="4" w:space="0"/>
            </w:tcBorders>
            <w:shd w:val="clear" w:color="auto" w:fill="auto"/>
            <w:vAlign w:val="center"/>
          </w:tcPr>
          <w:p w14:paraId="3BAB48D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6707D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8"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071A3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auto" w:sz="4" w:space="0"/>
              <w:right w:val="single" w:color="000000" w:sz="4" w:space="0"/>
            </w:tcBorders>
            <w:shd w:val="clear" w:color="auto" w:fill="auto"/>
            <w:vAlign w:val="center"/>
          </w:tcPr>
          <w:p w14:paraId="4BC50D3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w:t>
            </w:r>
            <w:r>
              <w:rPr>
                <w:rFonts w:hint="eastAsia" w:ascii="Times New Roman" w:hAnsi="Times New Roman" w:cs="Times New Roman" w:eastAsiaTheme="minorEastAsia"/>
                <w:sz w:val="24"/>
                <w:szCs w:val="24"/>
                <w:highlight w:val="none"/>
                <w:lang w:val="en-US" w:eastAsia="zh-CN"/>
              </w:rPr>
              <w:t>9</w:t>
            </w:r>
            <w:r>
              <w:rPr>
                <w:rFonts w:hint="default" w:ascii="Times New Roman" w:hAnsi="Times New Roman" w:cs="Times New Roman" w:eastAsiaTheme="minorEastAsia"/>
                <w:sz w:val="24"/>
                <w:szCs w:val="24"/>
                <w:highlight w:val="none"/>
                <w:lang w:val="en-US" w:eastAsia="zh-CN"/>
              </w:rPr>
              <w:t>【国际交流】（2分）</w:t>
            </w:r>
          </w:p>
        </w:tc>
        <w:tc>
          <w:tcPr>
            <w:tcW w:w="856" w:type="pct"/>
            <w:gridSpan w:val="2"/>
            <w:tcBorders>
              <w:top w:val="single" w:color="000000" w:sz="4" w:space="0"/>
              <w:left w:val="single" w:color="000000" w:sz="4" w:space="0"/>
              <w:bottom w:val="single" w:color="auto" w:sz="4" w:space="0"/>
              <w:right w:val="single" w:color="000000" w:sz="4" w:space="0"/>
            </w:tcBorders>
            <w:shd w:val="clear" w:color="auto" w:fill="auto"/>
            <w:vAlign w:val="center"/>
          </w:tcPr>
          <w:p w14:paraId="73EF41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1</w:t>
            </w:r>
          </w:p>
          <w:p w14:paraId="7E1C8D6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p>
        </w:tc>
        <w:tc>
          <w:tcPr>
            <w:tcW w:w="1162" w:type="pct"/>
            <w:tcBorders>
              <w:top w:val="single" w:color="000000" w:sz="4" w:space="0"/>
              <w:left w:val="single" w:color="000000" w:sz="4" w:space="0"/>
              <w:bottom w:val="single" w:color="auto" w:sz="4" w:space="0"/>
              <w:right w:val="single" w:color="000000" w:sz="4" w:space="0"/>
            </w:tcBorders>
            <w:shd w:val="clear" w:color="auto" w:fill="auto"/>
            <w:vAlign w:val="center"/>
          </w:tcPr>
          <w:p w14:paraId="2F9129D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我校地处边疆、临近缅甸，虽然学前教育专业努力进行国际交流。但地理位置与经济发展水平受限，获取优质国际资源困难，和发达地区院校差距大。学生以大专生为主且经济不宽裕，出国交流费用成阻碍。缅甸政局不稳，加上中缅文化、教育理念差异大，交流易出现理解偏差。而且学校国际交流师资和经验不足，难以设计出贴合专业、有吸引力的项目，国际交流推进面临重重困难。</w:t>
            </w:r>
          </w:p>
        </w:tc>
        <w:tc>
          <w:tcPr>
            <w:tcW w:w="1079" w:type="pct"/>
            <w:vMerge w:val="continue"/>
            <w:tcBorders>
              <w:left w:val="single" w:color="000000" w:sz="4" w:space="0"/>
              <w:bottom w:val="single" w:color="auto" w:sz="4" w:space="0"/>
              <w:right w:val="single" w:color="000000" w:sz="4" w:space="0"/>
            </w:tcBorders>
            <w:shd w:val="clear" w:color="auto" w:fill="auto"/>
            <w:vAlign w:val="center"/>
          </w:tcPr>
          <w:p w14:paraId="0506EF7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50E03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2" w:hRule="atLeast"/>
        </w:trPr>
        <w:tc>
          <w:tcPr>
            <w:tcW w:w="775" w:type="pct"/>
            <w:vMerge w:val="continue"/>
            <w:tcBorders>
              <w:left w:val="single" w:color="000000" w:sz="4" w:space="0"/>
              <w:bottom w:val="single" w:color="000000" w:sz="4" w:space="0"/>
              <w:right w:val="single" w:color="000000" w:sz="4" w:space="0"/>
            </w:tcBorders>
            <w:shd w:val="clear" w:color="auto" w:fill="auto"/>
            <w:vAlign w:val="center"/>
          </w:tcPr>
          <w:p w14:paraId="65C18A8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auto" w:sz="4" w:space="0"/>
              <w:left w:val="single" w:color="000000" w:sz="4" w:space="0"/>
              <w:bottom w:val="single" w:color="000000" w:sz="4" w:space="0"/>
              <w:right w:val="single" w:color="000000" w:sz="4" w:space="0"/>
            </w:tcBorders>
            <w:shd w:val="clear" w:color="auto" w:fill="auto"/>
            <w:vAlign w:val="center"/>
          </w:tcPr>
          <w:p w14:paraId="69D8038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相较上一学年【产教融合及社会服务】持续改进情况说明，要求有针对性，有计划、有行动、有成效，用真实数据和实证支撑(内容不超过500字)</w:t>
            </w:r>
          </w:p>
        </w:tc>
        <w:tc>
          <w:tcPr>
            <w:tcW w:w="3099" w:type="pct"/>
            <w:gridSpan w:val="4"/>
            <w:tcBorders>
              <w:top w:val="single" w:color="auto" w:sz="4" w:space="0"/>
              <w:left w:val="single" w:color="000000" w:sz="4" w:space="0"/>
              <w:bottom w:val="single" w:color="000000" w:sz="4" w:space="0"/>
              <w:right w:val="single" w:color="000000" w:sz="4" w:space="0"/>
            </w:tcBorders>
            <w:shd w:val="clear" w:color="auto" w:fill="auto"/>
            <w:vAlign w:val="center"/>
          </w:tcPr>
          <w:p w14:paraId="0D12080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学校多维度推进合作与服务，为学生发展与地方建设赋能。实习实训方面，与当地幼儿园建立长期合作，近期新增 4 家优质单位，拓宽学生实践平台。</w:t>
            </w:r>
          </w:p>
          <w:p w14:paraId="73795C2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产教融合上，邀请行业专家深度参与，修订人才培养方案与课程体系并直接授课，实现教育与行业实践精准对接；同时加入德宏片区自由贸易试验区产教联合体，推动 “教育链、人才链、产业链、创新链” 深度融合。</w:t>
            </w:r>
          </w:p>
          <w:p w14:paraId="270F19B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校企合作机制持续完善，通过多层级管理机制审定合作规划、解决重大问题；去年与 13 家企业签实习就业协议，今年新增 4 家，提供 601 个实习岗位。今年 601 名毕业生中，407 人留滇就业，130 人服务本地，有效缓解当地学前教育资源缺口，提升教育服务质量。</w:t>
            </w:r>
          </w:p>
          <w:p w14:paraId="0403FAD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社会服务领域，学校规范运行机制以保障质量、优化效能，63 名师生参与 2025 年芒市泼水节活动，组建暑期 “三下乡” 儿童心理健康帮扶团，既提升学生专业能力，又深化服务地方经济文化的路径。</w:t>
            </w:r>
          </w:p>
          <w:p w14:paraId="6190A2F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国际交流方面，结合发展定位制定制度，依托专业优势与泰国格乐大学、缅甸迈扎央弘扬汉语学校、孟加拉锡尔赫特农业大学合作，推进人才培养国际化，丰富师生交流渠道。</w:t>
            </w:r>
          </w:p>
        </w:tc>
      </w:tr>
      <w:tr w14:paraId="04935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775" w:type="pct"/>
            <w:vMerge w:val="restart"/>
            <w:tcBorders>
              <w:top w:val="single" w:color="000000" w:sz="4" w:space="0"/>
              <w:left w:val="single" w:color="000000" w:sz="4" w:space="0"/>
              <w:bottom w:val="single" w:color="000000" w:sz="4" w:space="0"/>
              <w:right w:val="single" w:color="000000" w:sz="4" w:space="0"/>
            </w:tcBorders>
            <w:shd w:val="clear" w:color="auto" w:fill="E7E6E6"/>
            <w:vAlign w:val="center"/>
          </w:tcPr>
          <w:p w14:paraId="027D363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A3【实习实训】</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15</w:t>
            </w:r>
            <w:r>
              <w:rPr>
                <w:rFonts w:hint="default" w:ascii="Times New Roman" w:hAnsi="Times New Roman" w:cs="Times New Roman" w:eastAsiaTheme="minorEastAsia"/>
                <w:sz w:val="24"/>
                <w:szCs w:val="24"/>
                <w:highlight w:val="none"/>
                <w:lang w:val="en-US" w:eastAsia="zh-CN"/>
              </w:rPr>
              <w:t>分）</w:t>
            </w:r>
          </w:p>
        </w:tc>
        <w:tc>
          <w:tcPr>
            <w:tcW w:w="1125"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4D98BB5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w:t>
            </w:r>
            <w:r>
              <w:rPr>
                <w:rFonts w:hint="eastAsia" w:ascii="Times New Roman" w:hAnsi="Times New Roman" w:cs="Times New Roman" w:eastAsiaTheme="minorEastAsia"/>
                <w:sz w:val="24"/>
                <w:szCs w:val="24"/>
                <w:highlight w:val="none"/>
                <w:lang w:val="en-US" w:eastAsia="zh-CN"/>
              </w:rPr>
              <w:t>10</w:t>
            </w:r>
            <w:r>
              <w:rPr>
                <w:rFonts w:hint="default" w:ascii="Times New Roman" w:hAnsi="Times New Roman" w:cs="Times New Roman" w:eastAsiaTheme="minorEastAsia"/>
                <w:sz w:val="24"/>
                <w:szCs w:val="24"/>
                <w:highlight w:val="none"/>
                <w:lang w:val="en-US" w:eastAsia="zh-CN"/>
              </w:rPr>
              <w:t>【实践管理】</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6</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14:paraId="2D26CF8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Calibri" w:hAnsi="Calibri" w:eastAsia="宋体" w:cs="Times New Roman"/>
                <w:lang w:val="en-US" w:eastAsia="zh-CN"/>
              </w:rPr>
            </w:pPr>
            <w:r>
              <w:rPr>
                <w:rFonts w:hint="eastAsia" w:cs="Times New Roman"/>
                <w:lang w:val="en-US" w:eastAsia="zh-CN"/>
              </w:rPr>
              <w:t>5</w:t>
            </w:r>
          </w:p>
        </w:tc>
        <w:tc>
          <w:tcPr>
            <w:tcW w:w="1162"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5B0C145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我院学前教育专业在实习实践管理方面，尽管始终致力于培养学生扎实的实践能力，但仍存在一些可提升之处：一是实习基地类型可进一步多元化，以拓展学生对不同幼教场域的认知；二是因为实习地点与学校距离较远，在实践过程中，学生未能获得充分指导与关心；三是监督机制尚有优化空间，对过程与效果的质量跟踪可进一步加强。今后将着力完善相关机制，推动实践教学提质增效。</w:t>
            </w:r>
          </w:p>
        </w:tc>
        <w:tc>
          <w:tcPr>
            <w:tcW w:w="1079" w:type="pct"/>
            <w:vMerge w:val="restart"/>
            <w:tcBorders>
              <w:top w:val="single" w:color="000000" w:sz="4" w:space="0"/>
              <w:left w:val="single" w:color="000000" w:sz="4" w:space="0"/>
              <w:right w:val="single" w:color="000000" w:sz="4" w:space="0"/>
            </w:tcBorders>
            <w:shd w:val="clear" w:color="auto" w:fill="E7E6E6"/>
            <w:vAlign w:val="center"/>
          </w:tcPr>
          <w:p w14:paraId="3B54248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德宏职业学院学前教育专业积极对标湄洲湾职业技术学院，力求获得支持与指导，在多方面取得显著进展。</w:t>
            </w:r>
          </w:p>
          <w:p w14:paraId="64E3A52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实习基地建设方面，湄洲湾职业技术学院与当地众多优质幼儿园紧密合作，搭建起稳定的实习基地网络。德宏职业学院积极借鉴，大力拓展本地及周边高质量幼儿园作为实习基地，加强沟通协商，明确双方职责，为学生打造真实教学实践场景。截至2025年，德宏职业学院人文学院已签约28所规范化幼儿园，涵盖公办示范园与特色民办园，给学生提供多元实习选择。</w:t>
            </w:r>
          </w:p>
          <w:p w14:paraId="48915CC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实习指导模式上，湄洲湾职业技术学院采用校内导师与幼儿园一线教师双导师指导模式。德宏职业学院借鉴该模式，校内教师凭借深厚理论基础，实习前对学生开展系统教学技能培训，实习中定期线上线下指导；幼儿园教师以丰富实践经验，带领学生参与班级管理、活动设计与实施，现场给予指导反馈。如今，德宏职业学院已为每位实习学生均配备一名校内校外导师，确保指导全面。</w:t>
            </w:r>
          </w:p>
          <w:p w14:paraId="3026625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实训课程设置上，湄洲湾职业技术学院注重课程针对性与实用性，开设幼儿游戏实训等课程。德宏职业学院优化自身实训课程，增加实践操作比重，邀请行业专家参与设计，使实训内容贴合幼儿园实际。在幼儿游戏实训课中，增加本土特色游戏开发实践，让学生将地域文化融入幼儿教育。</w:t>
            </w:r>
          </w:p>
          <w:p w14:paraId="65D8068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通过对标，德宏职业学院学前教育专业在实习实训上持续改进，为培育优秀学前教育人才筑牢根基。</w:t>
            </w:r>
          </w:p>
        </w:tc>
      </w:tr>
      <w:tr w14:paraId="7590A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14:paraId="7DDC1E1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7B240EF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w:t>
            </w:r>
            <w:r>
              <w:rPr>
                <w:rFonts w:hint="eastAsia" w:ascii="Times New Roman" w:hAnsi="Times New Roman" w:cs="Times New Roman" w:eastAsiaTheme="minorEastAsia"/>
                <w:sz w:val="24"/>
                <w:szCs w:val="24"/>
                <w:highlight w:val="none"/>
                <w:lang w:val="en-US" w:eastAsia="zh-CN"/>
              </w:rPr>
              <w:t>1</w:t>
            </w:r>
            <w:r>
              <w:rPr>
                <w:rFonts w:hint="default" w:ascii="Times New Roman" w:hAnsi="Times New Roman" w:cs="Times New Roman" w:eastAsiaTheme="minorEastAsia"/>
                <w:sz w:val="24"/>
                <w:szCs w:val="24"/>
                <w:highlight w:val="none"/>
                <w:lang w:val="en-US" w:eastAsia="zh-CN"/>
              </w:rPr>
              <w:t>【条件保障】</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6</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14:paraId="56AFB25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5</w:t>
            </w:r>
          </w:p>
        </w:tc>
        <w:tc>
          <w:tcPr>
            <w:tcW w:w="1162"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1BC3FC2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德宏职业学院人文学院学前教育专业的实习实训条件较为完善和齐全，能够满足学生的基础实践需求。然而，实训室二期建设面临较大困难，受限于资金、场地规划等因素，进展较为缓慢。部分实训设备的配置可以结合学前教育的现代化需求进行持续优化；校内实训场地的布局也应更加注重满足集体实践活动的开展需求，校外实习基地深度合作机制有待进一步健全。</w:t>
            </w:r>
          </w:p>
        </w:tc>
        <w:tc>
          <w:tcPr>
            <w:tcW w:w="1079" w:type="pct"/>
            <w:vMerge w:val="continue"/>
            <w:tcBorders>
              <w:left w:val="single" w:color="000000" w:sz="4" w:space="0"/>
              <w:right w:val="single" w:color="000000" w:sz="4" w:space="0"/>
            </w:tcBorders>
            <w:shd w:val="clear" w:color="auto" w:fill="E7E6E6"/>
            <w:vAlign w:val="center"/>
          </w:tcPr>
          <w:p w14:paraId="06AB6B9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77FAB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74"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14:paraId="4DFF05F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auto" w:sz="4" w:space="0"/>
              <w:right w:val="single" w:color="000000" w:sz="4" w:space="0"/>
            </w:tcBorders>
            <w:shd w:val="clear" w:color="auto" w:fill="E7E6E6"/>
            <w:vAlign w:val="center"/>
          </w:tcPr>
          <w:p w14:paraId="5C966C8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w:t>
            </w:r>
            <w:r>
              <w:rPr>
                <w:rFonts w:hint="eastAsia" w:ascii="Times New Roman" w:hAnsi="Times New Roman" w:cs="Times New Roman" w:eastAsiaTheme="minorEastAsia"/>
                <w:sz w:val="24"/>
                <w:szCs w:val="24"/>
                <w:highlight w:val="none"/>
                <w:lang w:val="en-US" w:eastAsia="zh-CN"/>
              </w:rPr>
              <w:t>2</w:t>
            </w:r>
            <w:r>
              <w:rPr>
                <w:rFonts w:hint="default" w:ascii="Times New Roman" w:hAnsi="Times New Roman" w:cs="Times New Roman" w:eastAsiaTheme="minorEastAsia"/>
                <w:sz w:val="24"/>
                <w:szCs w:val="24"/>
                <w:highlight w:val="none"/>
                <w:lang w:val="en-US" w:eastAsia="zh-CN"/>
              </w:rPr>
              <w:t>【效果评价】</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3</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000000" w:sz="4" w:space="0"/>
              <w:left w:val="single" w:color="000000" w:sz="4" w:space="0"/>
              <w:bottom w:val="single" w:color="auto" w:sz="4" w:space="0"/>
              <w:right w:val="single" w:color="000000" w:sz="4" w:space="0"/>
            </w:tcBorders>
            <w:shd w:val="clear" w:color="auto" w:fill="E7E6E6"/>
            <w:vAlign w:val="center"/>
          </w:tcPr>
          <w:p w14:paraId="23DFC6E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Calibri" w:hAnsi="Calibri" w:eastAsia="宋体" w:cs="Times New Roman"/>
                <w:lang w:val="en-US" w:eastAsia="zh-CN"/>
              </w:rPr>
            </w:pPr>
            <w:r>
              <w:rPr>
                <w:rFonts w:hint="eastAsia" w:cs="Times New Roman"/>
                <w:lang w:val="en-US" w:eastAsia="zh-CN"/>
              </w:rPr>
              <w:t>2</w:t>
            </w:r>
          </w:p>
        </w:tc>
        <w:tc>
          <w:tcPr>
            <w:tcW w:w="1162" w:type="pct"/>
            <w:tcBorders>
              <w:top w:val="single" w:color="000000" w:sz="4" w:space="0"/>
              <w:left w:val="single" w:color="000000" w:sz="4" w:space="0"/>
              <w:bottom w:val="single" w:color="auto" w:sz="4" w:space="0"/>
              <w:right w:val="single" w:color="000000" w:sz="4" w:space="0"/>
            </w:tcBorders>
            <w:shd w:val="clear" w:color="auto" w:fill="E7E6E6"/>
            <w:vAlign w:val="center"/>
          </w:tcPr>
          <w:p w14:paraId="53A0812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德宏职业学院学前教育专业实习实训效果评价方面能及时了解学生实习情况，为教学改进提供依据，实习实训过程的监督也保障了学生实践学习的质量。但也存在一些不足，评价指标较单一，多侧重理论知识，对实践能力、创新思维关注不足，难以全面衡量学生综合素养。评价方式传统，以实习报告和指导教师评语为主，缺乏多元化主体参与，家长、幼儿反馈较少。</w:t>
            </w:r>
          </w:p>
        </w:tc>
        <w:tc>
          <w:tcPr>
            <w:tcW w:w="1079" w:type="pct"/>
            <w:vMerge w:val="continue"/>
            <w:tcBorders>
              <w:left w:val="single" w:color="000000" w:sz="4" w:space="0"/>
              <w:bottom w:val="single" w:color="auto" w:sz="4" w:space="0"/>
              <w:right w:val="single" w:color="000000" w:sz="4" w:space="0"/>
            </w:tcBorders>
            <w:shd w:val="clear" w:color="auto" w:fill="E7E6E6"/>
            <w:vAlign w:val="center"/>
          </w:tcPr>
          <w:p w14:paraId="4A236AD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1BFDE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2" w:hRule="atLeast"/>
        </w:trPr>
        <w:tc>
          <w:tcPr>
            <w:tcW w:w="775" w:type="pct"/>
            <w:vMerge w:val="continue"/>
            <w:tcBorders>
              <w:left w:val="single" w:color="000000" w:sz="4" w:space="0"/>
              <w:bottom w:val="single" w:color="000000" w:sz="4" w:space="0"/>
              <w:right w:val="single" w:color="000000" w:sz="4" w:space="0"/>
            </w:tcBorders>
            <w:shd w:val="clear" w:color="auto" w:fill="E7E6E6"/>
            <w:vAlign w:val="center"/>
          </w:tcPr>
          <w:p w14:paraId="6FA274C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auto" w:sz="4" w:space="0"/>
              <w:left w:val="single" w:color="000000" w:sz="4" w:space="0"/>
              <w:bottom w:val="single" w:color="000000" w:sz="4" w:space="0"/>
              <w:right w:val="single" w:color="000000" w:sz="4" w:space="0"/>
            </w:tcBorders>
            <w:shd w:val="clear" w:color="auto" w:fill="E7E6E6"/>
            <w:vAlign w:val="center"/>
          </w:tcPr>
          <w:p w14:paraId="6328AEE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相较上一学年【实习实训】持续改进情况说明，要求有针对性，有计划、有行动、有成效，用真实数据和实证支撑(内容不超过500字)</w:t>
            </w:r>
          </w:p>
        </w:tc>
        <w:tc>
          <w:tcPr>
            <w:tcW w:w="3099" w:type="pct"/>
            <w:gridSpan w:val="4"/>
            <w:tcBorders>
              <w:top w:val="single" w:color="auto" w:sz="4" w:space="0"/>
              <w:left w:val="single" w:color="000000" w:sz="4" w:space="0"/>
              <w:bottom w:val="single" w:color="000000" w:sz="4" w:space="0"/>
              <w:right w:val="single" w:color="000000" w:sz="4" w:space="0"/>
            </w:tcBorders>
            <w:shd w:val="clear" w:color="auto" w:fill="E7E6E6"/>
            <w:vAlign w:val="center"/>
          </w:tcPr>
          <w:p w14:paraId="41EA6CF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一、实践管理</w:t>
            </w:r>
          </w:p>
          <w:p w14:paraId="79D4035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针对实习分配不均问题，本学年与15家幼儿园和校企部门沟通，合理分配实习点，基本实现均衡。建立校企双导师制（每位导师负责10–15名学生），指导及时性达95%以上，学生人均指导时间较去年提升20%，反馈良好。</w:t>
            </w:r>
          </w:p>
          <w:p w14:paraId="3FB93BE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二、条件保障</w:t>
            </w:r>
          </w:p>
          <w:p w14:paraId="66BF174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投入专项资金更新设备，新增5家实习基地，维修15间实训室，添置多套模拟教具，硬件条件显著改善，学生满意度和实践顺畅度大幅提升。</w:t>
            </w:r>
          </w:p>
          <w:p w14:paraId="3F52528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三、效果评价</w:t>
            </w:r>
          </w:p>
          <w:p w14:paraId="42E4F44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建立多元评价体系，增加园方评价、自评与互评，评价更全面。90%学生认可，幼儿园反馈综合能力提升，实习优秀率明显提高。</w:t>
            </w:r>
          </w:p>
          <w:p w14:paraId="73D993E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总结</w:t>
            </w:r>
          </w:p>
          <w:p w14:paraId="5B0DC8D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通过实践管理、条件保障和效果评价的持续改进，学前教育专业实习实训质量显著提升。</w:t>
            </w:r>
          </w:p>
        </w:tc>
      </w:tr>
      <w:tr w14:paraId="28BDB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77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ED1A5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A4【教师队伍】</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（20分）</w:t>
            </w:r>
          </w:p>
        </w:tc>
        <w:tc>
          <w:tcPr>
            <w:tcW w:w="11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CEDC0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w:t>
            </w:r>
            <w:r>
              <w:rPr>
                <w:rFonts w:hint="eastAsia" w:ascii="Times New Roman" w:hAnsi="Times New Roman" w:cs="Times New Roman" w:eastAsiaTheme="minorEastAsia"/>
                <w:sz w:val="24"/>
                <w:szCs w:val="24"/>
                <w:highlight w:val="none"/>
                <w:lang w:val="en-US" w:eastAsia="zh-CN"/>
              </w:rPr>
              <w:t>3</w:t>
            </w:r>
            <w:r>
              <w:rPr>
                <w:rFonts w:hint="default" w:ascii="Times New Roman" w:hAnsi="Times New Roman" w:cs="Times New Roman" w:eastAsiaTheme="minorEastAsia"/>
                <w:sz w:val="24"/>
                <w:szCs w:val="24"/>
                <w:highlight w:val="none"/>
                <w:lang w:val="en-US" w:eastAsia="zh-CN"/>
              </w:rPr>
              <w:t>【数量结构】</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（7分）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D49E9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6</w:t>
            </w:r>
          </w:p>
        </w:tc>
        <w:tc>
          <w:tcPr>
            <w:tcW w:w="11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77974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教师队伍数量基本满足教学需求</w:t>
            </w:r>
            <w:r>
              <w:rPr>
                <w:rFonts w:hint="eastAsia" w:ascii="Times New Roman" w:hAnsi="Times New Roman" w:cs="Times New Roman" w:eastAsiaTheme="minorEastAsia"/>
                <w:sz w:val="24"/>
                <w:szCs w:val="24"/>
                <w:highlight w:val="none"/>
                <w:lang w:val="en-US" w:eastAsia="zh-CN"/>
              </w:rPr>
              <w:t>，但与婴托专业教师重合</w:t>
            </w:r>
          </w:p>
        </w:tc>
        <w:tc>
          <w:tcPr>
            <w:tcW w:w="1079" w:type="pct"/>
            <w:vMerge w:val="restart"/>
            <w:tcBorders>
              <w:top w:val="single" w:color="000000" w:sz="4" w:space="0"/>
              <w:left w:val="single" w:color="000000" w:sz="4" w:space="0"/>
              <w:right w:val="single" w:color="000000" w:sz="4" w:space="0"/>
            </w:tcBorders>
            <w:shd w:val="clear" w:color="auto" w:fill="auto"/>
            <w:vAlign w:val="center"/>
          </w:tcPr>
          <w:p w14:paraId="1747E8D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德宏职业学院学前教育专业在与湄洲湾职业技术学院的对标分析中，展现出鲜明的特色与明确的发展方向。我院在产教融合方面优势显著，双师型教师占比达62.5%，行业一线兼职教师28人，充分体现校企协同育人的深度与活力。同时，专业积极服务地方发展，在云南少数民族文化研究、非遗技艺传承等方面形成鲜明特色，学生屡获省级竞赛奖项，彰显了扎实的实践创新能力。相较之下，我院在高学历师资建设方面存在提升空间，硕士研究生以上学历占比27.5%，与对标院校95%的比例差距明显。在实训条件方面，需加快多功能实训基地群建设，以补齐实践教学短板。此外，还需系统提升职业资格认证培训体系，进一步提高学生考证通过率。未来，我院将实施师资学历提升计划，加强高层次人才引进；推进实训资源达标工程，优化实践教学条件；借鉴先进经验，完善职业能力培养体系。通过持续强化特色、补齐短板，致力将专业建设成为西南地区具有显著特色的高水平学前教育人才培养高地。</w:t>
            </w:r>
          </w:p>
        </w:tc>
      </w:tr>
      <w:tr w14:paraId="7B3E2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E8264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712B0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w:t>
            </w:r>
            <w:r>
              <w:rPr>
                <w:rFonts w:hint="eastAsia" w:ascii="Times New Roman" w:hAnsi="Times New Roman" w:cs="Times New Roman" w:eastAsiaTheme="minorEastAsia"/>
                <w:sz w:val="24"/>
                <w:szCs w:val="24"/>
                <w:highlight w:val="none"/>
                <w:lang w:val="en-US" w:eastAsia="zh-CN"/>
              </w:rPr>
              <w:t>4</w:t>
            </w:r>
            <w:r>
              <w:rPr>
                <w:rFonts w:hint="default" w:ascii="Times New Roman" w:hAnsi="Times New Roman" w:cs="Times New Roman" w:eastAsiaTheme="minorEastAsia"/>
                <w:sz w:val="24"/>
                <w:szCs w:val="24"/>
                <w:highlight w:val="none"/>
                <w:lang w:val="en-US" w:eastAsia="zh-CN"/>
              </w:rPr>
              <w:t>【高层人才】</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（4分）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128D06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2</w:t>
            </w:r>
          </w:p>
        </w:tc>
        <w:tc>
          <w:tcPr>
            <w:tcW w:w="11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79099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高层次人才匮乏</w:t>
            </w:r>
          </w:p>
        </w:tc>
        <w:tc>
          <w:tcPr>
            <w:tcW w:w="1079" w:type="pct"/>
            <w:vMerge w:val="continue"/>
            <w:tcBorders>
              <w:left w:val="single" w:color="000000" w:sz="4" w:space="0"/>
              <w:right w:val="single" w:color="000000" w:sz="4" w:space="0"/>
            </w:tcBorders>
            <w:shd w:val="clear" w:color="auto" w:fill="auto"/>
            <w:vAlign w:val="center"/>
          </w:tcPr>
          <w:p w14:paraId="6D9174E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20F85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4"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A6E7E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4660D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w:t>
            </w:r>
            <w:r>
              <w:rPr>
                <w:rFonts w:hint="eastAsia" w:ascii="Times New Roman" w:hAnsi="Times New Roman" w:cs="Times New Roman" w:eastAsiaTheme="minorEastAsia"/>
                <w:sz w:val="24"/>
                <w:szCs w:val="24"/>
                <w:highlight w:val="none"/>
                <w:lang w:val="en-US" w:eastAsia="zh-CN"/>
              </w:rPr>
              <w:t>5</w:t>
            </w:r>
            <w:r>
              <w:rPr>
                <w:rFonts w:hint="default" w:ascii="Times New Roman" w:hAnsi="Times New Roman" w:cs="Times New Roman" w:eastAsiaTheme="minorEastAsia"/>
                <w:sz w:val="24"/>
                <w:szCs w:val="24"/>
                <w:highlight w:val="none"/>
                <w:lang w:val="en-US" w:eastAsia="zh-CN"/>
              </w:rPr>
              <w:t>【实践经历】</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（4分）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7207CD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3</w:t>
            </w:r>
          </w:p>
        </w:tc>
        <w:tc>
          <w:tcPr>
            <w:tcW w:w="11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D283C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下企业实践时限不足</w:t>
            </w:r>
          </w:p>
        </w:tc>
        <w:tc>
          <w:tcPr>
            <w:tcW w:w="1079" w:type="pct"/>
            <w:vMerge w:val="continue"/>
            <w:tcBorders>
              <w:left w:val="single" w:color="000000" w:sz="4" w:space="0"/>
              <w:right w:val="single" w:color="000000" w:sz="4" w:space="0"/>
            </w:tcBorders>
            <w:shd w:val="clear" w:color="auto" w:fill="auto"/>
            <w:vAlign w:val="center"/>
          </w:tcPr>
          <w:p w14:paraId="2A6C705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3625A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6"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29AD3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auto" w:sz="4" w:space="0"/>
              <w:right w:val="single" w:color="000000" w:sz="4" w:space="0"/>
            </w:tcBorders>
            <w:shd w:val="clear" w:color="auto" w:fill="auto"/>
            <w:vAlign w:val="center"/>
          </w:tcPr>
          <w:p w14:paraId="29801C2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w:t>
            </w:r>
            <w:r>
              <w:rPr>
                <w:rFonts w:hint="eastAsia" w:ascii="Times New Roman" w:hAnsi="Times New Roman" w:cs="Times New Roman" w:eastAsiaTheme="minorEastAsia"/>
                <w:sz w:val="24"/>
                <w:szCs w:val="24"/>
                <w:highlight w:val="none"/>
                <w:lang w:val="en-US" w:eastAsia="zh-CN"/>
              </w:rPr>
              <w:t>6</w:t>
            </w:r>
            <w:r>
              <w:rPr>
                <w:rFonts w:hint="default" w:ascii="Times New Roman" w:hAnsi="Times New Roman" w:cs="Times New Roman" w:eastAsiaTheme="minorEastAsia"/>
                <w:sz w:val="24"/>
                <w:szCs w:val="24"/>
                <w:highlight w:val="none"/>
                <w:lang w:val="en-US" w:eastAsia="zh-CN"/>
              </w:rPr>
              <w:t>【教师发展】</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（5分）</w:t>
            </w:r>
          </w:p>
        </w:tc>
        <w:tc>
          <w:tcPr>
            <w:tcW w:w="856" w:type="pct"/>
            <w:gridSpan w:val="2"/>
            <w:tcBorders>
              <w:top w:val="single" w:color="000000" w:sz="4" w:space="0"/>
              <w:left w:val="single" w:color="000000" w:sz="4" w:space="0"/>
              <w:bottom w:val="single" w:color="auto" w:sz="4" w:space="0"/>
              <w:right w:val="single" w:color="000000" w:sz="4" w:space="0"/>
            </w:tcBorders>
            <w:shd w:val="clear" w:color="auto" w:fill="auto"/>
            <w:vAlign w:val="center"/>
          </w:tcPr>
          <w:p w14:paraId="7086D7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4</w:t>
            </w:r>
          </w:p>
        </w:tc>
        <w:tc>
          <w:tcPr>
            <w:tcW w:w="1162" w:type="pct"/>
            <w:tcBorders>
              <w:top w:val="single" w:color="000000" w:sz="4" w:space="0"/>
              <w:left w:val="single" w:color="000000" w:sz="4" w:space="0"/>
              <w:bottom w:val="single" w:color="auto" w:sz="4" w:space="0"/>
              <w:right w:val="single" w:color="000000" w:sz="4" w:space="0"/>
            </w:tcBorders>
            <w:shd w:val="clear" w:color="auto" w:fill="auto"/>
            <w:vAlign w:val="center"/>
          </w:tcPr>
          <w:p w14:paraId="4D86266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教师发展机会有限</w:t>
            </w:r>
          </w:p>
        </w:tc>
        <w:tc>
          <w:tcPr>
            <w:tcW w:w="1079" w:type="pct"/>
            <w:vMerge w:val="continue"/>
            <w:tcBorders>
              <w:left w:val="single" w:color="000000" w:sz="4" w:space="0"/>
              <w:bottom w:val="single" w:color="auto" w:sz="4" w:space="0"/>
              <w:right w:val="single" w:color="000000" w:sz="4" w:space="0"/>
            </w:tcBorders>
            <w:shd w:val="clear" w:color="auto" w:fill="auto"/>
            <w:vAlign w:val="center"/>
          </w:tcPr>
          <w:p w14:paraId="27D6DEA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6DBB0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8" w:hRule="atLeast"/>
        </w:trPr>
        <w:tc>
          <w:tcPr>
            <w:tcW w:w="775" w:type="pct"/>
            <w:vMerge w:val="continue"/>
            <w:tcBorders>
              <w:left w:val="single" w:color="000000" w:sz="4" w:space="0"/>
              <w:bottom w:val="single" w:color="000000" w:sz="4" w:space="0"/>
              <w:right w:val="single" w:color="000000" w:sz="4" w:space="0"/>
            </w:tcBorders>
            <w:shd w:val="clear" w:color="auto" w:fill="auto"/>
            <w:vAlign w:val="center"/>
          </w:tcPr>
          <w:p w14:paraId="6378268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auto" w:sz="4" w:space="0"/>
              <w:left w:val="single" w:color="000000" w:sz="4" w:space="0"/>
              <w:bottom w:val="single" w:color="000000" w:sz="4" w:space="0"/>
              <w:right w:val="single" w:color="000000" w:sz="4" w:space="0"/>
            </w:tcBorders>
            <w:shd w:val="clear" w:color="auto" w:fill="auto"/>
            <w:vAlign w:val="center"/>
          </w:tcPr>
          <w:p w14:paraId="7D8C66D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相较上一学年【教师队伍】持续改进情况说明，要求有针对性，有计划、有行动、有成效，用真实数据和实证支撑(内容不超过500字)</w:t>
            </w:r>
          </w:p>
        </w:tc>
        <w:tc>
          <w:tcPr>
            <w:tcW w:w="3099" w:type="pct"/>
            <w:gridSpan w:val="4"/>
            <w:tcBorders>
              <w:top w:val="single" w:color="auto" w:sz="4" w:space="0"/>
              <w:left w:val="single" w:color="000000" w:sz="4" w:space="0"/>
              <w:bottom w:val="single" w:color="000000" w:sz="4" w:space="0"/>
              <w:right w:val="single" w:color="000000" w:sz="4" w:space="0"/>
            </w:tcBorders>
            <w:shd w:val="clear" w:color="auto" w:fill="auto"/>
            <w:vAlign w:val="center"/>
          </w:tcPr>
          <w:p w14:paraId="7C975E3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B13 数量结构</w:t>
            </w:r>
          </w:p>
          <w:p w14:paraId="359FB65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本专业教师共68人，其中专任40人，高级职称20人，双师型25人，兼职28人（含行业导师6人）。在校生726人，师生比18.15:1。研究生学位教师占27.5%，高级职称占42.5%，近一年有企业实践经历的专业课教师占50%，双师型比例62.5%。</w:t>
            </w:r>
          </w:p>
          <w:p w14:paraId="4C362EB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B14 高层人才</w:t>
            </w:r>
          </w:p>
          <w:p w14:paraId="19E247B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本学年未引进银龄教师。</w:t>
            </w:r>
          </w:p>
          <w:p w14:paraId="7910BEA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B15 实践经历</w:t>
            </w:r>
          </w:p>
          <w:p w14:paraId="780BAF4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新增20名教师赴企业实践锻炼。</w:t>
            </w:r>
          </w:p>
          <w:p w14:paraId="2A2060E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B16 教师发展</w:t>
            </w:r>
          </w:p>
          <w:p w14:paraId="23209E5C">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完善分类评价与考核制度，推进专任教师企业实践和校企互聘共培机制。教师积极参与行业标准制定、科研与产教融合项目（如学前教育课程设置研究、傣族油纸伞传承、傣陶文创开发等），为专业建设提供支持。参与各类教学与技能竞赛并获奖，如2024年省职业技能大赛幼儿教育技能三等奖、省“挑战杯”一等奖、第八届职业教育创新创业大赛优秀项目等。</w:t>
            </w:r>
          </w:p>
        </w:tc>
      </w:tr>
      <w:tr w14:paraId="2FEE7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775" w:type="pct"/>
            <w:vMerge w:val="restart"/>
            <w:tcBorders>
              <w:top w:val="single" w:color="000000" w:sz="4" w:space="0"/>
              <w:left w:val="single" w:color="000000" w:sz="4" w:space="0"/>
              <w:bottom w:val="single" w:color="000000" w:sz="4" w:space="0"/>
              <w:right w:val="single" w:color="000000" w:sz="4" w:space="0"/>
            </w:tcBorders>
            <w:shd w:val="clear" w:color="auto" w:fill="E7E6E6"/>
            <w:vAlign w:val="center"/>
          </w:tcPr>
          <w:p w14:paraId="14A7D91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A5【学生发展】</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15</w:t>
            </w:r>
            <w:r>
              <w:rPr>
                <w:rFonts w:hint="default" w:ascii="Times New Roman" w:hAnsi="Times New Roman" w:cs="Times New Roman" w:eastAsiaTheme="minorEastAsia"/>
                <w:sz w:val="24"/>
                <w:szCs w:val="24"/>
                <w:highlight w:val="none"/>
                <w:lang w:val="en-US" w:eastAsia="zh-CN"/>
              </w:rPr>
              <w:t>分）</w:t>
            </w:r>
          </w:p>
        </w:tc>
        <w:tc>
          <w:tcPr>
            <w:tcW w:w="1125"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61C741B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w:t>
            </w:r>
            <w:r>
              <w:rPr>
                <w:rFonts w:hint="eastAsia" w:ascii="Times New Roman" w:hAnsi="Times New Roman" w:cs="Times New Roman" w:eastAsiaTheme="minorEastAsia"/>
                <w:sz w:val="24"/>
                <w:szCs w:val="24"/>
                <w:highlight w:val="none"/>
                <w:lang w:val="en-US" w:eastAsia="zh-CN"/>
              </w:rPr>
              <w:t>7</w:t>
            </w:r>
            <w:r>
              <w:rPr>
                <w:rFonts w:hint="default" w:ascii="Times New Roman" w:hAnsi="Times New Roman" w:cs="Times New Roman" w:eastAsiaTheme="minorEastAsia"/>
                <w:sz w:val="24"/>
                <w:szCs w:val="24"/>
                <w:highlight w:val="none"/>
                <w:lang w:val="en-US" w:eastAsia="zh-CN"/>
              </w:rPr>
              <w:t>【成长指导】</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4</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14:paraId="54FBF6D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3</w:t>
            </w:r>
          </w:p>
        </w:tc>
        <w:tc>
          <w:tcPr>
            <w:tcW w:w="1162"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06BB911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学前教育专业教研室根据学情分析报告制定了个性化学生服务及学业指导相关计划，围绕着毕业生就业意向调查持续打造校内外实践基地，但在学生的成长指导中缺乏一对一精准对接，帮扶形式单一，多为集体辅导，精准定位学生需求还需进一步提升。</w:t>
            </w:r>
          </w:p>
        </w:tc>
        <w:tc>
          <w:tcPr>
            <w:tcW w:w="1079" w:type="pct"/>
            <w:vMerge w:val="restart"/>
            <w:tcBorders>
              <w:top w:val="single" w:color="000000" w:sz="4" w:space="0"/>
              <w:left w:val="single" w:color="000000" w:sz="4" w:space="0"/>
              <w:right w:val="single" w:color="000000" w:sz="4" w:space="0"/>
            </w:tcBorders>
            <w:shd w:val="clear" w:color="auto" w:fill="E7E6E6"/>
            <w:vAlign w:val="center"/>
          </w:tcPr>
          <w:p w14:paraId="095EDFA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湄洲湾职业技术学院为提升学生专业技能与综合素质，检验教学成果，积极组织学生参与各类赛事，成效显著。德宏职业学院为满足学生个性化发展需求，提升学生的专业竞争力，制定了学前教育专业个性化学生服务及学业指导计划。从组织学生参加技能大赛、开展1+X技能培训、保育员、育婴员培训等方面提升学生的实践操作能力和解决实际问题的能力。湄洲湾职业技术学院与莆田市内多家省级、市级示范园合作，建立多个校外实践基地，满足学生教学、见习、研习和实习需要。学生在校开展实训周提升综合素质，还参与乡村少年宫支教、特殊教育机构志愿服务等。德宏职业学院根据《中共云南省委高校工委文件关于开展全国高校书记校长访企拓岗促就业专项行动的通知要求》，有效汇聚社会各方资源，深入推进访企拓岗促就业专项行动，学前教育专业带头人率队赴云南省红河职业技术学院、深圳市博邦文化产业有限公司、昆明市世纪欣雅教育集团进行访企拓岗及申报新专业考察调研，为学生搭建更广阔的就业平台。</w:t>
            </w:r>
          </w:p>
        </w:tc>
      </w:tr>
      <w:tr w14:paraId="14D6F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14:paraId="2A67657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7FD770B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w:t>
            </w:r>
            <w:r>
              <w:rPr>
                <w:rFonts w:hint="eastAsia" w:ascii="Times New Roman" w:hAnsi="Times New Roman" w:cs="Times New Roman" w:eastAsiaTheme="minorEastAsia"/>
                <w:sz w:val="24"/>
                <w:szCs w:val="24"/>
                <w:highlight w:val="none"/>
                <w:lang w:val="en-US" w:eastAsia="zh-CN"/>
              </w:rPr>
              <w:t>8</w:t>
            </w:r>
            <w:r>
              <w:rPr>
                <w:rFonts w:hint="default" w:ascii="Times New Roman" w:hAnsi="Times New Roman" w:cs="Times New Roman" w:eastAsiaTheme="minorEastAsia"/>
                <w:sz w:val="24"/>
                <w:szCs w:val="24"/>
                <w:highlight w:val="none"/>
                <w:lang w:val="en-US" w:eastAsia="zh-CN"/>
              </w:rPr>
              <w:t>【技能提升】</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5</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E7E6E6"/>
            <w:vAlign w:val="center"/>
          </w:tcPr>
          <w:p w14:paraId="73759B5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4</w:t>
            </w:r>
          </w:p>
        </w:tc>
        <w:tc>
          <w:tcPr>
            <w:tcW w:w="1162" w:type="pct"/>
            <w:tcBorders>
              <w:top w:val="single" w:color="000000" w:sz="4" w:space="0"/>
              <w:left w:val="single" w:color="000000" w:sz="4" w:space="0"/>
              <w:bottom w:val="single" w:color="000000" w:sz="4" w:space="0"/>
              <w:right w:val="single" w:color="000000" w:sz="4" w:space="0"/>
            </w:tcBorders>
            <w:shd w:val="clear" w:color="auto" w:fill="E7E6E6"/>
            <w:vAlign w:val="center"/>
          </w:tcPr>
          <w:p w14:paraId="177E930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为提升学生职业素养，激发学生技能学习热情，学前教育专业结合行业需求，组织学生参加省级、校级技能大赛以及创新创业大赛，通过参加比赛积累实践经验，但学生获校级以上奖项较少，实践能力和参赛能力还需加强，在外语等级考试和计算机等级考试中通过率较低。</w:t>
            </w:r>
          </w:p>
        </w:tc>
        <w:tc>
          <w:tcPr>
            <w:tcW w:w="1079" w:type="pct"/>
            <w:vMerge w:val="continue"/>
            <w:tcBorders>
              <w:left w:val="single" w:color="000000" w:sz="4" w:space="0"/>
              <w:right w:val="single" w:color="000000" w:sz="4" w:space="0"/>
            </w:tcBorders>
            <w:shd w:val="clear" w:color="auto" w:fill="E7E6E6"/>
            <w:vAlign w:val="center"/>
          </w:tcPr>
          <w:p w14:paraId="704A69D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1A99B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2" w:hRule="atLeast"/>
        </w:trPr>
        <w:tc>
          <w:tcPr>
            <w:tcW w:w="775" w:type="pct"/>
            <w:vMerge w:val="continue"/>
            <w:tcBorders>
              <w:top w:val="single" w:color="000000" w:sz="4" w:space="0"/>
              <w:left w:val="single" w:color="000000" w:sz="4" w:space="0"/>
              <w:bottom w:val="single" w:color="000000" w:sz="4" w:space="0"/>
              <w:right w:val="single" w:color="000000" w:sz="4" w:space="0"/>
            </w:tcBorders>
            <w:shd w:val="clear" w:color="auto" w:fill="E7E6E6"/>
            <w:vAlign w:val="center"/>
          </w:tcPr>
          <w:p w14:paraId="5A93F22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000000" w:sz="4" w:space="0"/>
              <w:left w:val="single" w:color="000000" w:sz="4" w:space="0"/>
              <w:bottom w:val="single" w:color="auto" w:sz="4" w:space="0"/>
              <w:right w:val="single" w:color="000000" w:sz="4" w:space="0"/>
            </w:tcBorders>
            <w:shd w:val="clear" w:color="auto" w:fill="E7E6E6"/>
            <w:vAlign w:val="center"/>
          </w:tcPr>
          <w:p w14:paraId="5353ACB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w:t>
            </w:r>
            <w:r>
              <w:rPr>
                <w:rFonts w:hint="eastAsia" w:ascii="Times New Roman" w:hAnsi="Times New Roman" w:cs="Times New Roman" w:eastAsiaTheme="minorEastAsia"/>
                <w:sz w:val="24"/>
                <w:szCs w:val="24"/>
                <w:highlight w:val="none"/>
                <w:lang w:val="en-US" w:eastAsia="zh-CN"/>
              </w:rPr>
              <w:t>9</w:t>
            </w:r>
            <w:r>
              <w:rPr>
                <w:rFonts w:hint="default" w:ascii="Times New Roman" w:hAnsi="Times New Roman" w:cs="Times New Roman" w:eastAsiaTheme="minorEastAsia"/>
                <w:sz w:val="24"/>
                <w:szCs w:val="24"/>
                <w:highlight w:val="none"/>
                <w:lang w:val="en-US" w:eastAsia="zh-CN"/>
              </w:rPr>
              <w:t>【就业质量】</w:t>
            </w:r>
            <w:r>
              <w:rPr>
                <w:rFonts w:hint="default" w:ascii="Times New Roman" w:hAnsi="Times New Roman" w:cs="Times New Roman" w:eastAsiaTheme="minorEastAsia"/>
                <w:sz w:val="24"/>
                <w:szCs w:val="24"/>
                <w:highlight w:val="none"/>
                <w:lang w:val="en-US" w:eastAsia="zh-CN"/>
              </w:rPr>
              <w:br w:type="textWrapping"/>
            </w:r>
            <w:r>
              <w:rPr>
                <w:rFonts w:hint="default" w:ascii="Times New Roman" w:hAnsi="Times New Roman" w:cs="Times New Roman" w:eastAsiaTheme="minorEastAsia"/>
                <w:sz w:val="24"/>
                <w:szCs w:val="24"/>
                <w:highlight w:val="none"/>
                <w:lang w:val="en-US" w:eastAsia="zh-CN"/>
              </w:rPr>
              <w:t>（</w:t>
            </w:r>
            <w:r>
              <w:rPr>
                <w:rFonts w:hint="eastAsia" w:ascii="Times New Roman" w:hAnsi="Times New Roman" w:cs="Times New Roman" w:eastAsiaTheme="minorEastAsia"/>
                <w:sz w:val="24"/>
                <w:szCs w:val="24"/>
                <w:highlight w:val="none"/>
                <w:lang w:val="en-US" w:eastAsia="zh-CN"/>
              </w:rPr>
              <w:t>6</w:t>
            </w:r>
            <w:r>
              <w:rPr>
                <w:rFonts w:hint="default" w:ascii="Times New Roman" w:hAnsi="Times New Roman" w:cs="Times New Roman" w:eastAsiaTheme="minorEastAsia"/>
                <w:sz w:val="24"/>
                <w:szCs w:val="24"/>
                <w:highlight w:val="none"/>
                <w:lang w:val="en-US" w:eastAsia="zh-CN"/>
              </w:rPr>
              <w:t>分）</w:t>
            </w:r>
          </w:p>
        </w:tc>
        <w:tc>
          <w:tcPr>
            <w:tcW w:w="856" w:type="pct"/>
            <w:gridSpan w:val="2"/>
            <w:tcBorders>
              <w:top w:val="single" w:color="000000" w:sz="4" w:space="0"/>
              <w:left w:val="single" w:color="000000" w:sz="4" w:space="0"/>
              <w:bottom w:val="single" w:color="auto" w:sz="4" w:space="0"/>
              <w:right w:val="single" w:color="000000" w:sz="4" w:space="0"/>
            </w:tcBorders>
            <w:shd w:val="clear" w:color="auto" w:fill="E7E6E6"/>
            <w:vAlign w:val="center"/>
          </w:tcPr>
          <w:p w14:paraId="54E95D6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5</w:t>
            </w:r>
          </w:p>
        </w:tc>
        <w:tc>
          <w:tcPr>
            <w:tcW w:w="1162" w:type="pct"/>
            <w:tcBorders>
              <w:top w:val="single" w:color="000000" w:sz="4" w:space="0"/>
              <w:left w:val="single" w:color="000000" w:sz="4" w:space="0"/>
              <w:bottom w:val="single" w:color="auto" w:sz="4" w:space="0"/>
              <w:right w:val="single" w:color="000000" w:sz="4" w:space="0"/>
            </w:tcBorders>
            <w:shd w:val="clear" w:color="auto" w:fill="E7E6E6"/>
            <w:vAlign w:val="center"/>
          </w:tcPr>
          <w:p w14:paraId="1603A32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本专业在巩固现有教育教学与管理服务优势的基础上，更加注重实践环节的深度与广度，特制定系列就业帮扶计划。专业带头人积极访企拓岗，深入企业了解需求，拓展就业渠道，已走访多家企业，达成多项合作意向。2025届毕业生初次去向落实率达到92.67%，但高质量就业率还需继续提升。</w:t>
            </w:r>
          </w:p>
        </w:tc>
        <w:tc>
          <w:tcPr>
            <w:tcW w:w="1079" w:type="pct"/>
            <w:vMerge w:val="continue"/>
            <w:tcBorders>
              <w:left w:val="single" w:color="000000" w:sz="4" w:space="0"/>
              <w:bottom w:val="single" w:color="auto" w:sz="4" w:space="0"/>
              <w:right w:val="single" w:color="000000" w:sz="4" w:space="0"/>
            </w:tcBorders>
            <w:shd w:val="clear" w:color="auto" w:fill="E7E6E6"/>
            <w:vAlign w:val="center"/>
          </w:tcPr>
          <w:p w14:paraId="7EE7EF6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110AE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775" w:type="pct"/>
            <w:vMerge w:val="continue"/>
            <w:tcBorders>
              <w:left w:val="single" w:color="000000" w:sz="4" w:space="0"/>
              <w:bottom w:val="single" w:color="000000" w:sz="4" w:space="0"/>
              <w:right w:val="single" w:color="000000" w:sz="4" w:space="0"/>
            </w:tcBorders>
            <w:shd w:val="clear" w:color="auto" w:fill="E7E6E6"/>
            <w:vAlign w:val="center"/>
          </w:tcPr>
          <w:p w14:paraId="472E4A4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c>
          <w:tcPr>
            <w:tcW w:w="1125" w:type="pct"/>
            <w:tcBorders>
              <w:top w:val="single" w:color="auto" w:sz="4" w:space="0"/>
              <w:left w:val="single" w:color="000000" w:sz="4" w:space="0"/>
              <w:bottom w:val="single" w:color="000000" w:sz="4" w:space="0"/>
              <w:right w:val="single" w:color="000000" w:sz="4" w:space="0"/>
            </w:tcBorders>
            <w:shd w:val="clear" w:color="auto" w:fill="E7E6E6"/>
            <w:vAlign w:val="center"/>
          </w:tcPr>
          <w:p w14:paraId="4C0D0BC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相较上一学年【学生发展】持续改进情况说明，要求有针对性，有计划、有行动、有成效，用真实数据和实证支撑(内容不超过500字)</w:t>
            </w:r>
          </w:p>
        </w:tc>
        <w:tc>
          <w:tcPr>
            <w:tcW w:w="3099" w:type="pct"/>
            <w:gridSpan w:val="4"/>
            <w:tcBorders>
              <w:top w:val="single" w:color="auto" w:sz="4" w:space="0"/>
              <w:left w:val="single" w:color="000000" w:sz="4" w:space="0"/>
              <w:bottom w:val="single" w:color="000000" w:sz="4" w:space="0"/>
              <w:right w:val="single" w:color="000000" w:sz="4" w:space="0"/>
            </w:tcBorders>
            <w:shd w:val="clear" w:color="auto" w:fill="E7E6E6"/>
            <w:vAlign w:val="center"/>
          </w:tcPr>
          <w:p w14:paraId="60518FC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B17成长指导本专业教研室结合《毕业生就业意向调查》中 22 级初次就业率 92.67%、升学率 11.90%、自主创业 1.10% 的数据，持续打造校内外实践基地，强化 1+X 幼儿照护等培训与实习，提升就业竞争力；按《德宏职业学院人文学院辅导员与班主任职责分工（2025 年试行）》，落实辅导员思政与心理辅导、班主任学业与就业规划的分工协作，助力学生成长，推动就业与升学质量提升。</w:t>
            </w:r>
          </w:p>
          <w:p w14:paraId="4647CE3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18技能提升为提高学前教育专业学生的专业素养和实践能力，组织开展各项技能比赛、1+X技能培训、保育员培训。23级共有324名学生考取保育员证书，技能大赛省级获奖1项，校级获一等奖12项，创新创业获校级三等奖6项。</w:t>
            </w:r>
          </w:p>
          <w:p w14:paraId="7BFAEE0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B19就业质量根据毕业生相关就业指导帮扶政策，学前教育专业结合实际情况制定了就业帮扶计划，2025届毕业生初次毕业去向落实率92.67%。陆春艳副教授作为学前教育专业带头人，率队赴红河职业技术学院、昆明世纪欣雅教育集团进行调研，以拓宽学前专业实习就业渠道。在学前教育专业社会满意度调查中显示，调查对象对校园环境、学生服务、专业教学及学校总体满意度均超 80%。</w:t>
            </w:r>
          </w:p>
        </w:tc>
      </w:tr>
      <w:tr w14:paraId="0DE98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7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F58288">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C1 【负面清单】</w:t>
            </w:r>
          </w:p>
        </w:tc>
        <w:tc>
          <w:tcPr>
            <w:tcW w:w="11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73D38B">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在开展评价当年，因管理不规范，出现负面行为，造成不良影响的。</w:t>
            </w:r>
          </w:p>
        </w:tc>
        <w:tc>
          <w:tcPr>
            <w:tcW w:w="85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B049CB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eastAsiaTheme="minorEastAsia"/>
                <w:sz w:val="24"/>
                <w:szCs w:val="24"/>
                <w:highlight w:val="none"/>
                <w:lang w:val="en-US" w:eastAsia="zh-CN"/>
              </w:rPr>
            </w:pPr>
            <w:r>
              <w:rPr>
                <w:rFonts w:hint="default" w:ascii="Times New Roman" w:hAnsi="Times New Roman" w:cs="Times New Roman" w:eastAsiaTheme="minorEastAsia"/>
                <w:sz w:val="24"/>
                <w:szCs w:val="24"/>
                <w:highlight w:val="none"/>
                <w:lang w:val="en-US" w:eastAsia="zh-CN"/>
              </w:rPr>
              <w:t>0</w:t>
            </w:r>
          </w:p>
        </w:tc>
        <w:tc>
          <w:tcPr>
            <w:tcW w:w="11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41DC6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r>
              <w:rPr>
                <w:rFonts w:hint="eastAsia" w:ascii="Times New Roman" w:hAnsi="Times New Roman" w:cs="Times New Roman" w:eastAsiaTheme="minorEastAsia"/>
                <w:sz w:val="24"/>
                <w:szCs w:val="24"/>
                <w:highlight w:val="none"/>
                <w:lang w:val="en-US" w:eastAsia="zh-CN"/>
              </w:rPr>
              <w:t>无</w:t>
            </w:r>
          </w:p>
        </w:tc>
        <w:tc>
          <w:tcPr>
            <w:tcW w:w="10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7D181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eastAsiaTheme="minorEastAsia"/>
                <w:sz w:val="24"/>
                <w:szCs w:val="24"/>
                <w:highlight w:val="none"/>
                <w:lang w:val="en-US" w:eastAsia="zh-CN"/>
              </w:rPr>
            </w:pPr>
          </w:p>
        </w:tc>
      </w:tr>
      <w:tr w14:paraId="60C3C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3" w:hRule="atLeast"/>
        </w:trPr>
        <w:tc>
          <w:tcPr>
            <w:tcW w:w="2757" w:type="pct"/>
            <w:gridSpan w:val="4"/>
            <w:tcBorders>
              <w:top w:val="single" w:color="000000" w:sz="4" w:space="0"/>
              <w:left w:val="single" w:color="000000" w:sz="4" w:space="0"/>
              <w:bottom w:val="single" w:color="000000" w:sz="4" w:space="0"/>
              <w:right w:val="single" w:color="000000" w:sz="4" w:space="0"/>
            </w:tcBorders>
            <w:shd w:val="clear" w:color="auto" w:fill="E7E6E6" w:themeFill="background2"/>
            <w:vAlign w:val="center"/>
          </w:tcPr>
          <w:p w14:paraId="39DF93A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eastAsiaTheme="minorEastAsia"/>
                <w:b/>
                <w:bCs/>
                <w:color w:val="auto"/>
                <w:sz w:val="24"/>
                <w:szCs w:val="24"/>
                <w:highlight w:val="none"/>
                <w:lang w:val="en-US" w:eastAsia="zh-CN"/>
              </w:rPr>
            </w:pPr>
            <w:r>
              <w:rPr>
                <w:rFonts w:hint="default" w:ascii="Times New Roman" w:hAnsi="Times New Roman" w:cs="Times New Roman" w:eastAsiaTheme="minorEastAsia"/>
                <w:b/>
                <w:bCs/>
                <w:color w:val="auto"/>
                <w:sz w:val="24"/>
                <w:szCs w:val="24"/>
                <w:highlight w:val="none"/>
                <w:lang w:val="en-US" w:eastAsia="zh-CN"/>
              </w:rPr>
              <w:t>自评结论</w:t>
            </w:r>
          </w:p>
        </w:tc>
        <w:tc>
          <w:tcPr>
            <w:tcW w:w="1162" w:type="pct"/>
            <w:tcBorders>
              <w:top w:val="single" w:color="000000" w:sz="4" w:space="0"/>
              <w:left w:val="single" w:color="000000" w:sz="4" w:space="0"/>
              <w:bottom w:val="single" w:color="000000" w:sz="4" w:space="0"/>
              <w:right w:val="single" w:color="000000" w:sz="4" w:space="0"/>
            </w:tcBorders>
            <w:shd w:val="clear" w:color="auto" w:fill="E7E6E6" w:themeFill="background2"/>
            <w:vAlign w:val="center"/>
          </w:tcPr>
          <w:p w14:paraId="4F9D85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eastAsiaTheme="minorEastAsia"/>
                <w:b/>
                <w:bCs/>
                <w:color w:val="auto"/>
                <w:sz w:val="24"/>
                <w:szCs w:val="24"/>
                <w:highlight w:val="none"/>
                <w:lang w:val="en-US" w:eastAsia="zh-CN"/>
              </w:rPr>
            </w:pPr>
            <w:r>
              <w:rPr>
                <w:rFonts w:hint="default" w:ascii="Times New Roman" w:hAnsi="Times New Roman" w:eastAsia="方正仿宋_GBK" w:cs="Times New Roman"/>
                <w:sz w:val="32"/>
                <w:szCs w:val="32"/>
              </w:rPr>
              <w:t>C</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rPr>
              <w:t>类</w:t>
            </w:r>
          </w:p>
        </w:tc>
        <w:tc>
          <w:tcPr>
            <w:tcW w:w="1079" w:type="pct"/>
            <w:tcBorders>
              <w:top w:val="single" w:color="000000" w:sz="4" w:space="0"/>
              <w:left w:val="single" w:color="000000" w:sz="4" w:space="0"/>
              <w:bottom w:val="single" w:color="000000" w:sz="4" w:space="0"/>
              <w:right w:val="single" w:color="000000" w:sz="4" w:space="0"/>
            </w:tcBorders>
            <w:shd w:val="clear" w:color="auto" w:fill="E7E6E6" w:themeFill="background2"/>
            <w:vAlign w:val="center"/>
          </w:tcPr>
          <w:p w14:paraId="02DAB42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hAnsi="Times New Roman" w:cs="Times New Roman" w:eastAsiaTheme="minorEastAsia"/>
                <w:b/>
                <w:bCs/>
                <w:color w:val="auto"/>
                <w:sz w:val="24"/>
                <w:szCs w:val="24"/>
                <w:highlight w:val="none"/>
                <w:lang w:val="en-US" w:eastAsia="zh-CN"/>
              </w:rPr>
            </w:pPr>
            <w:r>
              <w:rPr>
                <w:rFonts w:hint="eastAsia" w:ascii="Times New Roman" w:hAnsi="Times New Roman" w:cs="Times New Roman" w:eastAsiaTheme="minorEastAsia"/>
                <w:b/>
                <w:bCs/>
                <w:color w:val="auto"/>
                <w:sz w:val="24"/>
                <w:szCs w:val="24"/>
                <w:highlight w:val="none"/>
                <w:lang w:val="en-US" w:eastAsia="zh-CN"/>
              </w:rPr>
              <w:t>78</w:t>
            </w:r>
          </w:p>
        </w:tc>
      </w:tr>
    </w:tbl>
    <w:p w14:paraId="71BD8994">
      <w:pPr>
        <w:rPr>
          <w:rFonts w:hint="eastAsia" w:ascii="黑体" w:hAnsi="黑体" w:eastAsia="黑体" w:cs="黑体"/>
          <w:sz w:val="32"/>
          <w:szCs w:val="40"/>
        </w:rPr>
      </w:pPr>
      <w:r>
        <w:rPr>
          <w:rFonts w:hint="eastAsia" w:ascii="黑体" w:hAnsi="黑体" w:eastAsia="黑体" w:cs="黑体"/>
          <w:sz w:val="32"/>
          <w:szCs w:val="40"/>
        </w:rPr>
        <w:t>四、服务地方产业情况说明</w:t>
      </w:r>
    </w:p>
    <w:p w14:paraId="004350A6">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600" w:lineRule="exact"/>
        <w:ind w:leftChars="0"/>
        <w:jc w:val="both"/>
        <w:textAlignment w:val="auto"/>
        <w:rPr>
          <w:rFonts w:hint="eastAsia" w:ascii="仿宋" w:hAnsi="仿宋" w:eastAsia="仿宋" w:cs="仿宋"/>
          <w:sz w:val="32"/>
          <w:szCs w:val="40"/>
        </w:rPr>
      </w:pPr>
      <w:r>
        <w:rPr>
          <w:rFonts w:hint="eastAsia" w:ascii="仿宋" w:hAnsi="仿宋" w:eastAsia="仿宋" w:cs="仿宋"/>
          <w:sz w:val="32"/>
          <w:szCs w:val="40"/>
        </w:rPr>
        <w:t>本专业始终坚持服务地方、促进发展，立足德宏州、辐射全省，培养热爱学前教育、师德高尚、具备扎实理论知识和实践能力、能因地制宜组织教育活动和管理幼儿班级的应用型人才，毕业五年左右成长为城乡区域学前教育青年骨干教师。</w:t>
      </w:r>
    </w:p>
    <w:p w14:paraId="7F84FDFF">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600" w:lineRule="exact"/>
        <w:ind w:leftChars="0"/>
        <w:jc w:val="both"/>
        <w:textAlignment w:val="auto"/>
        <w:rPr>
          <w:rFonts w:hint="eastAsia" w:ascii="仿宋" w:hAnsi="仿宋" w:eastAsia="仿宋" w:cs="仿宋"/>
          <w:sz w:val="32"/>
          <w:szCs w:val="40"/>
        </w:rPr>
      </w:pPr>
      <w:r>
        <w:rPr>
          <w:rFonts w:hint="eastAsia" w:ascii="仿宋" w:hAnsi="仿宋" w:eastAsia="仿宋" w:cs="仿宋"/>
          <w:sz w:val="32"/>
          <w:szCs w:val="40"/>
        </w:rPr>
        <w:t>最能体</w:t>
      </w:r>
      <w:bookmarkStart w:id="0" w:name="_GoBack"/>
      <w:bookmarkEnd w:id="0"/>
      <w:r>
        <w:rPr>
          <w:rFonts w:hint="eastAsia" w:ascii="仿宋" w:hAnsi="仿宋" w:eastAsia="仿宋" w:cs="仿宋"/>
          <w:sz w:val="32"/>
          <w:szCs w:val="40"/>
        </w:rPr>
        <w:t>现本专业服务地方产业的四件事包括：</w:t>
      </w:r>
    </w:p>
    <w:p w14:paraId="1ED0306B">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600" w:lineRule="exact"/>
        <w:ind w:leftChars="0"/>
        <w:jc w:val="both"/>
        <w:textAlignment w:val="auto"/>
        <w:rPr>
          <w:rFonts w:hint="eastAsia" w:ascii="仿宋" w:hAnsi="仿宋" w:eastAsia="仿宋" w:cs="仿宋"/>
          <w:sz w:val="32"/>
          <w:szCs w:val="40"/>
        </w:rPr>
      </w:pPr>
      <w:r>
        <w:rPr>
          <w:rFonts w:hint="eastAsia" w:ascii="仿宋" w:hAnsi="仿宋" w:eastAsia="仿宋" w:cs="仿宋"/>
          <w:sz w:val="32"/>
          <w:szCs w:val="40"/>
        </w:rPr>
        <w:t>一是校企合作与实践基地拓展。与德宏州当地幼儿园建立紧密合作关系，并将实习基地逐步拓展省内至北京、上海、广州及浙江衢州，为学生提供多元化实践平台，锻炼专业技能，提升综合素质，为回乡就业打下坚实基础。</w:t>
      </w:r>
    </w:p>
    <w:p w14:paraId="4B89AEB4">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600" w:lineRule="exact"/>
        <w:ind w:leftChars="0"/>
        <w:jc w:val="both"/>
        <w:textAlignment w:val="auto"/>
        <w:rPr>
          <w:rFonts w:hint="eastAsia" w:ascii="仿宋" w:hAnsi="仿宋" w:eastAsia="仿宋" w:cs="仿宋"/>
          <w:sz w:val="32"/>
          <w:szCs w:val="40"/>
        </w:rPr>
      </w:pPr>
      <w:r>
        <w:rPr>
          <w:rFonts w:hint="eastAsia" w:ascii="仿宋" w:hAnsi="仿宋" w:eastAsia="仿宋" w:cs="仿宋"/>
          <w:sz w:val="32"/>
          <w:szCs w:val="40"/>
        </w:rPr>
        <w:t>二是非遗文化传承与创新。通过实训室建设、讲座、工坊及民族技艺培训，将德宏州非遗文化融入校园教育，与州文旅局、歌舞团及少数民族学会合作，推动葫芦丝、傣族剪纸、油纸伞、彩陶等技艺的传承创新，并创作获得国家级荣誉的作品，如《桐香竹韵》《南侨机工·赤子功勋》等，为地方文化产业注入活力。</w:t>
      </w:r>
    </w:p>
    <w:p w14:paraId="3DCE8F93">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600" w:lineRule="exact"/>
        <w:ind w:leftChars="0"/>
        <w:jc w:val="both"/>
        <w:textAlignment w:val="auto"/>
        <w:rPr>
          <w:rFonts w:hint="eastAsia" w:ascii="仿宋" w:hAnsi="仿宋" w:eastAsia="仿宋" w:cs="仿宋"/>
          <w:sz w:val="32"/>
          <w:szCs w:val="40"/>
        </w:rPr>
      </w:pPr>
      <w:r>
        <w:rPr>
          <w:rFonts w:hint="eastAsia" w:ascii="仿宋" w:hAnsi="仿宋" w:eastAsia="仿宋" w:cs="仿宋"/>
          <w:sz w:val="32"/>
          <w:szCs w:val="40"/>
        </w:rPr>
        <w:t>三是铸牢中华民族共同体意识教育。开设《中华民族共同体概论》课程，编纂校本资源，建设并深化省级在线精品课程，拓展“第二课堂”、成立学生社团，常态化组织民族节庆与体育活动搭建交流平台，打造有影响力的志愿服务品牌深化民族团结教育，助力学校获评全国民族团结先进集体，切实铸牢学生中华民族共同体意识。</w:t>
      </w:r>
    </w:p>
    <w:p w14:paraId="275F60FB">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600" w:lineRule="exact"/>
        <w:ind w:leftChars="0"/>
        <w:jc w:val="both"/>
        <w:textAlignment w:val="auto"/>
        <w:rPr>
          <w:rFonts w:hint="eastAsia" w:ascii="Times New Roman" w:hAnsi="Times New Roman" w:eastAsia="黑体" w:cs="Times New Roman"/>
          <w:b w:val="0"/>
          <w:bCs w:val="0"/>
          <w:sz w:val="32"/>
          <w:szCs w:val="32"/>
          <w:lang w:val="en-US" w:eastAsia="zh-CN"/>
        </w:rPr>
      </w:pPr>
      <w:r>
        <w:rPr>
          <w:rFonts w:hint="eastAsia" w:ascii="仿宋" w:hAnsi="仿宋" w:eastAsia="仿宋" w:cs="仿宋"/>
          <w:sz w:val="32"/>
          <w:szCs w:val="40"/>
        </w:rPr>
        <w:t>四是德宏州属地学校以服务地方教育为使命，发挥资源优势，组织师生服务沿边边境教育需求。依托德宏州内幼儿园及瑞丽弄岛镇、芒市民族乡镇挂钩点等开展“手拉手”帮扶，通过示范课、教研交流及物资捐赠提升教师水平、改善学生条件；组建专业团队为全州县市幼儿园教师提供培训与考证指导，与陇川职高联办学前教育班，连续5年招收本地民族学生，最终赋能区域幼教，深化师生地方认同，实现校地良性互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panose1 w:val="02000000000000000000"/>
    <w:charset w:val="86"/>
    <w:family w:val="auto"/>
    <w:pitch w:val="default"/>
    <w:sig w:usb0="A00002BF" w:usb1="38CF7CFA" w:usb2="00082016" w:usb3="00000000" w:csb0="00040001" w:csb1="00000000"/>
  </w:font>
  <w:font w:name="方正楷体_GB2312">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 w:name="方正小标宋_GBK">
    <w:panose1 w:val="020000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2BBDE"/>
    <w:multiLevelType w:val="singleLevel"/>
    <w:tmpl w:val="9632BBDE"/>
    <w:lvl w:ilvl="0" w:tentative="0">
      <w:start w:val="3"/>
      <w:numFmt w:val="chineseCounting"/>
      <w:suff w:val="nothing"/>
      <w:lvlText w:val="%1、"/>
      <w:lvlJc w:val="left"/>
      <w:rPr>
        <w:rFonts w:hint="eastAsia"/>
      </w:rPr>
    </w:lvl>
  </w:abstractNum>
  <w:abstractNum w:abstractNumId="1">
    <w:nsid w:val="0FF3773F"/>
    <w:multiLevelType w:val="singleLevel"/>
    <w:tmpl w:val="0FF3773F"/>
    <w:lvl w:ilvl="0" w:tentative="0">
      <w:start w:val="2"/>
      <w:numFmt w:val="chineseCounting"/>
      <w:suff w:val="nothing"/>
      <w:lvlText w:val="（%1）"/>
      <w:lvlJc w:val="left"/>
      <w:rPr>
        <w:rFonts w:hint="eastAsia"/>
      </w:rPr>
    </w:lvl>
  </w:abstractNum>
  <w:abstractNum w:abstractNumId="2">
    <w:nsid w:val="46771502"/>
    <w:multiLevelType w:val="singleLevel"/>
    <w:tmpl w:val="46771502"/>
    <w:lvl w:ilvl="0" w:tentative="0">
      <w:start w:val="3"/>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752C56"/>
    <w:rsid w:val="010E1283"/>
    <w:rsid w:val="0ADF2D72"/>
    <w:rsid w:val="117A79CF"/>
    <w:rsid w:val="294C5022"/>
    <w:rsid w:val="42752C56"/>
    <w:rsid w:val="49654AE1"/>
    <w:rsid w:val="5D6C71B4"/>
    <w:rsid w:val="61F85920"/>
    <w:rsid w:val="73326A56"/>
    <w:rsid w:val="762F1373"/>
    <w:rsid w:val="7A4F2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3715</Words>
  <Characters>3778</Characters>
  <Lines>0</Lines>
  <Paragraphs>0</Paragraphs>
  <TotalTime>2</TotalTime>
  <ScaleCrop>false</ScaleCrop>
  <LinksUpToDate>false</LinksUpToDate>
  <CharactersWithSpaces>3797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2025-09-06T03:41:00Z</dcterms:created>
  <dc:creator>罗吉良</dc:creator>
  <cp:lastModifiedBy>罗吉良</cp:lastModifiedBy>
  <dcterms:modified xsi:type="dcterms:W3CDTF">2025-09-12T06:07:29Z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9FD3FC99997A4264AAE439831138D061_11</vt:lpwstr>
  </property>
  <property fmtid="{D5CDD505-2E9C-101B-9397-08002B2CF9AE}" pid="4" name="KSOTemplateDocerSaveRecord">
    <vt:lpwstr>eyJoZGlkIjoiNGNjOWExNjM2ZDJlZTVlZGJlZTA0MzQyZTViNzgzOTMiLCJ1c2VySWQiOiIxNjAyNzUzNzM1In0=</vt:lpwstr>
  </property>
</Properties>
</file>