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451E1">
      <w:pPr>
        <w:jc w:val="center"/>
        <w:rPr>
          <w:rFonts w:hint="eastAsia" w:ascii="方正小标宋简体" w:hAnsi="方正小标宋简体" w:eastAsia="方正小标宋简体" w:cs="方正小标宋简体"/>
          <w:b w:val="0"/>
          <w:bCs w:val="0"/>
          <w:sz w:val="44"/>
          <w:szCs w:val="44"/>
          <w:lang w:eastAsia="zh-CN"/>
        </w:rPr>
      </w:pPr>
      <w:r>
        <w:rPr>
          <w:rFonts w:hint="eastAsia" w:ascii="方正小标宋简体" w:hAnsi="方正小标宋简体" w:eastAsia="方正小标宋简体" w:cs="方正小标宋简体"/>
          <w:b w:val="0"/>
          <w:bCs w:val="0"/>
          <w:sz w:val="44"/>
          <w:szCs w:val="44"/>
          <w:lang w:eastAsia="zh-CN"/>
        </w:rPr>
        <w:t>德宏职业学院</w:t>
      </w:r>
    </w:p>
    <w:p w14:paraId="2252EC90">
      <w:pPr>
        <w:jc w:val="center"/>
        <w:rPr>
          <w:rFonts w:hint="eastAsia" w:ascii="方正小标宋简体" w:hAnsi="方正小标宋简体" w:eastAsia="方正小标宋简体" w:cs="方正小标宋简体"/>
          <w:b w:val="0"/>
          <w:bCs w:val="0"/>
          <w:sz w:val="36"/>
          <w:szCs w:val="36"/>
          <w:lang w:eastAsia="zh-CN"/>
        </w:rPr>
      </w:pPr>
      <w:r>
        <w:rPr>
          <w:rFonts w:hint="eastAsia" w:ascii="方正小标宋简体" w:hAnsi="方正小标宋简体" w:eastAsia="方正小标宋简体" w:cs="方正小标宋简体"/>
          <w:b w:val="0"/>
          <w:bCs w:val="0"/>
          <w:sz w:val="36"/>
          <w:szCs w:val="36"/>
          <w:lang w:eastAsia="zh-CN"/>
        </w:rPr>
        <w:t>《</w:t>
      </w:r>
      <w:r>
        <w:rPr>
          <w:rFonts w:hint="eastAsia" w:ascii="方正小标宋简体" w:hAnsi="方正小标宋简体" w:eastAsia="方正小标宋简体" w:cs="方正小标宋简体"/>
          <w:b w:val="0"/>
          <w:bCs w:val="0"/>
          <w:sz w:val="36"/>
          <w:szCs w:val="36"/>
          <w:lang w:val="en-US" w:eastAsia="zh-CN"/>
        </w:rPr>
        <w:t>幼儿园课程概论</w:t>
      </w:r>
      <w:r>
        <w:rPr>
          <w:rFonts w:hint="eastAsia" w:ascii="方正小标宋简体" w:hAnsi="方正小标宋简体" w:eastAsia="方正小标宋简体" w:cs="方正小标宋简体"/>
          <w:b w:val="0"/>
          <w:bCs w:val="0"/>
          <w:sz w:val="36"/>
          <w:szCs w:val="36"/>
          <w:lang w:eastAsia="zh-CN"/>
        </w:rPr>
        <w:t>》课程标准</w:t>
      </w:r>
    </w:p>
    <w:p w14:paraId="22CC2B6D">
      <w:pPr>
        <w:jc w:val="center"/>
        <w:rPr>
          <w:rFonts w:hint="eastAsia" w:ascii="仿宋" w:hAnsi="仿宋" w:eastAsia="仿宋" w:cs="仿宋"/>
          <w:b/>
          <w:bCs/>
          <w:sz w:val="21"/>
          <w:szCs w:val="21"/>
          <w:lang w:eastAsia="zh-CN"/>
        </w:rPr>
      </w:pPr>
    </w:p>
    <w:p w14:paraId="657302D9">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640" w:firstLineChars="200"/>
        <w:textAlignment w:val="auto"/>
        <w:rPr>
          <w:rFonts w:hint="eastAsia" w:ascii="方正黑体简体" w:hAnsi="方正黑体简体" w:eastAsia="方正黑体简体" w:cs="方正黑体简体"/>
          <w:b w:val="0"/>
          <w:bCs w:val="0"/>
          <w:sz w:val="32"/>
          <w:szCs w:val="32"/>
          <w:lang w:eastAsia="zh-CN"/>
        </w:rPr>
      </w:pPr>
      <w:r>
        <w:rPr>
          <w:rFonts w:hint="eastAsia" w:ascii="方正黑体简体" w:hAnsi="方正黑体简体" w:eastAsia="方正黑体简体" w:cs="方正黑体简体"/>
          <w:b w:val="0"/>
          <w:bCs w:val="0"/>
          <w:sz w:val="32"/>
          <w:szCs w:val="32"/>
          <w:lang w:eastAsia="zh-CN"/>
        </w:rPr>
        <w:t>课程概述</w:t>
      </w:r>
    </w:p>
    <w:p w14:paraId="6E397A90">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课程基本信息</w:t>
      </w:r>
    </w:p>
    <w:p w14:paraId="55AF412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课程名称：</w:t>
      </w:r>
      <w:r>
        <w:rPr>
          <w:rFonts w:hint="eastAsia" w:ascii="仿宋" w:hAnsi="仿宋" w:eastAsia="仿宋" w:cs="仿宋"/>
          <w:sz w:val="32"/>
          <w:szCs w:val="32"/>
          <w:lang w:val="en-US" w:eastAsia="zh-CN"/>
        </w:rPr>
        <w:t xml:space="preserve">幼儿园课程概论  </w:t>
      </w:r>
      <w:r>
        <w:rPr>
          <w:rFonts w:hint="eastAsia" w:ascii="仿宋" w:hAnsi="仿宋" w:eastAsia="仿宋" w:cs="仿宋"/>
          <w:sz w:val="32"/>
          <w:szCs w:val="32"/>
          <w:lang w:eastAsia="zh-CN"/>
        </w:rPr>
        <w:t>课程编码：</w:t>
      </w:r>
    </w:p>
    <w:p w14:paraId="2C9B13C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课程类型：</w:t>
      </w:r>
      <w:r>
        <w:rPr>
          <w:rFonts w:hint="eastAsia" w:ascii="仿宋" w:hAnsi="仿宋" w:eastAsia="仿宋" w:cs="仿宋"/>
          <w:sz w:val="32"/>
          <w:szCs w:val="32"/>
          <w:lang w:val="en-US" w:eastAsia="zh-CN"/>
        </w:rPr>
        <w:t xml:space="preserve">专业核心课      </w:t>
      </w:r>
      <w:r>
        <w:rPr>
          <w:rFonts w:hint="eastAsia" w:ascii="仿宋" w:hAnsi="仿宋" w:eastAsia="仿宋" w:cs="仿宋"/>
          <w:sz w:val="32"/>
          <w:szCs w:val="32"/>
          <w:lang w:eastAsia="zh-CN"/>
        </w:rPr>
        <w:t>课程性质：</w:t>
      </w:r>
      <w:r>
        <w:rPr>
          <w:rFonts w:hint="eastAsia" w:ascii="仿宋" w:hAnsi="仿宋" w:eastAsia="仿宋" w:cs="仿宋"/>
          <w:sz w:val="32"/>
          <w:szCs w:val="32"/>
          <w:lang w:val="en-US" w:eastAsia="zh-CN"/>
        </w:rPr>
        <w:t>必修</w:t>
      </w:r>
    </w:p>
    <w:p w14:paraId="1700BEA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适用专业：</w:t>
      </w:r>
      <w:r>
        <w:rPr>
          <w:rFonts w:hint="eastAsia" w:ascii="仿宋" w:hAnsi="仿宋" w:eastAsia="仿宋" w:cs="仿宋"/>
          <w:sz w:val="32"/>
          <w:szCs w:val="32"/>
          <w:lang w:val="en-US" w:eastAsia="zh-CN"/>
        </w:rPr>
        <w:t xml:space="preserve">学前教育        </w:t>
      </w:r>
      <w:r>
        <w:rPr>
          <w:rFonts w:hint="eastAsia" w:ascii="仿宋" w:hAnsi="仿宋" w:eastAsia="仿宋" w:cs="仿宋"/>
          <w:sz w:val="32"/>
          <w:szCs w:val="32"/>
          <w:lang w:eastAsia="zh-CN"/>
        </w:rPr>
        <w:t>课程学时（学分）：</w:t>
      </w:r>
      <w:r>
        <w:rPr>
          <w:rFonts w:hint="eastAsia" w:ascii="仿宋" w:hAnsi="仿宋" w:eastAsia="仿宋" w:cs="仿宋"/>
          <w:sz w:val="32"/>
          <w:szCs w:val="32"/>
          <w:lang w:val="en-US" w:eastAsia="zh-CN"/>
        </w:rPr>
        <w:t>4</w:t>
      </w:r>
    </w:p>
    <w:p w14:paraId="297105B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先修课程：</w:t>
      </w:r>
      <w:r>
        <w:rPr>
          <w:rFonts w:hint="eastAsia" w:ascii="仿宋" w:hAnsi="仿宋" w:eastAsia="仿宋" w:cs="仿宋"/>
          <w:sz w:val="32"/>
          <w:szCs w:val="32"/>
          <w:lang w:val="en-US" w:eastAsia="zh-CN"/>
        </w:rPr>
        <w:t xml:space="preserve">学前儿童心理发展、幼儿游戏与指导                 </w:t>
      </w:r>
    </w:p>
    <w:p w14:paraId="776C355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后续课程：</w:t>
      </w:r>
      <w:r>
        <w:rPr>
          <w:rFonts w:hint="eastAsia" w:ascii="仿宋" w:hAnsi="仿宋" w:eastAsia="仿宋" w:cs="仿宋"/>
          <w:sz w:val="32"/>
          <w:szCs w:val="32"/>
          <w:lang w:val="en-US" w:eastAsia="zh-CN"/>
        </w:rPr>
        <w:t>幼儿园环境创设与利用、幼儿园班级管理</w:t>
      </w:r>
    </w:p>
    <w:p w14:paraId="65A63D8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课程负责人：</w:t>
      </w:r>
      <w:r>
        <w:rPr>
          <w:rFonts w:hint="eastAsia" w:ascii="仿宋" w:hAnsi="仿宋" w:eastAsia="仿宋" w:cs="仿宋"/>
          <w:sz w:val="32"/>
          <w:szCs w:val="32"/>
          <w:lang w:val="en-US" w:eastAsia="zh-CN"/>
        </w:rPr>
        <w:t xml:space="preserve">景玉梦云       </w:t>
      </w:r>
      <w:r>
        <w:rPr>
          <w:rFonts w:hint="eastAsia" w:ascii="仿宋" w:hAnsi="仿宋" w:eastAsia="仿宋" w:cs="仿宋"/>
          <w:sz w:val="32"/>
          <w:szCs w:val="32"/>
          <w:lang w:eastAsia="zh-CN"/>
        </w:rPr>
        <w:t>修订时间：</w:t>
      </w:r>
      <w:r>
        <w:rPr>
          <w:rFonts w:hint="eastAsia" w:ascii="仿宋" w:hAnsi="仿宋" w:eastAsia="仿宋" w:cs="仿宋"/>
          <w:sz w:val="32"/>
          <w:szCs w:val="32"/>
          <w:lang w:val="en-US" w:eastAsia="zh-CN"/>
        </w:rPr>
        <w:t>2025年8月</w:t>
      </w:r>
    </w:p>
    <w:p w14:paraId="3496983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课程标准审批人：</w:t>
      </w:r>
      <w:r>
        <w:rPr>
          <w:rFonts w:hint="eastAsia" w:ascii="仿宋" w:hAnsi="仿宋" w:eastAsia="仿宋" w:cs="仿宋"/>
          <w:sz w:val="32"/>
          <w:szCs w:val="32"/>
          <w:lang w:val="en-US" w:eastAsia="zh-CN"/>
        </w:rPr>
        <w:t>陆春艳、段雯舒</w:t>
      </w:r>
    </w:p>
    <w:p w14:paraId="0A4B3CCE">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课程定位与课程设计</w:t>
      </w:r>
    </w:p>
    <w:p w14:paraId="5B301C5B">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简介：本课程是学前教育专业的核心基础课程，以首都师范大学出版社吴向丽主编的《幼儿园课程概论》为教材，系统阐述幼儿园课程的基本理论、开发模式与实践应用。课程内容涵盖幼儿园课程的本质与特点、中外经典课程理论流派、课程目标制定、内容选择与组织、实施策略及评价体系，并结合《36岁儿童学习与发展指南》等政策文件，强化学前教育专业学生的课程设计与实践能力培养。通过理论讲授、案例分析与实践演练，帮助学生构建科学的幼儿园课程观，为后续教育实习与职业发展奠定基础。</w:t>
      </w:r>
    </w:p>
    <w:p w14:paraId="50CC5A5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2、课程性质与定位</w:t>
      </w:r>
    </w:p>
    <w:p w14:paraId="5B53575A">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（1）课程性质：属于专业核心课、必修课。</w:t>
      </w:r>
    </w:p>
    <w:p w14:paraId="5D3037DA">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课程定位：《幼儿园课程概论》是一门基础性、综合性的课程，旨在帮助学生了解幼儿园课程的基本概念、理论基础、课程要素以及教学实践的实施方式。该课程为学生奠定了理论和实践的基础，确保未来从事幼儿教育工作的教师能够根据幼儿的身心发展特点和教育需求，设计科学、合理的幼儿园课程。通过本课程的学习，学生将掌握幼儿园课程的核心内容，认识课程设计的基本原则，并理解幼儿园教育的独特性。</w:t>
      </w:r>
    </w:p>
    <w:p w14:paraId="76AD1748">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3、课程基本理念：</w:t>
      </w:r>
    </w:p>
    <w:p w14:paraId="7AB4352C">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儿童本位导向——坚持“以儿童发展为中心”的课程观，强调课程设计需遵循幼儿身心发展规律，尊重个体差异，促进全面发展。</w:t>
      </w:r>
    </w:p>
    <w:p w14:paraId="6B7441AC">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实践反思取向——采用“理论案例实训”三维教学模式，通过幼儿园真实课程案例分析、模拟设计、说课评课等活动，培养反思性实践能力。</w:t>
      </w:r>
    </w:p>
    <w:p w14:paraId="5533A0EF">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文化融合理念——在传承中华优秀传统文化（如节气课程、民间游戏）的基础上，批判性吸收蒙台梭利、高瞻课程等国际先进经验。</w:t>
      </w:r>
    </w:p>
    <w:p w14:paraId="5E96D344">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生态课程观——倡导课程与自然、社区、家庭的多维互动，注重生成性课程资源的开发与利用，培养幼儿的生态素养。</w:t>
      </w:r>
    </w:p>
    <w:p w14:paraId="310A73F8">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质量持续改进——依据《幼儿园教育质量评价指南》构建“设计实施评价改进”的闭环系统，强化课程评价的多元性与发展性。</w:t>
      </w:r>
    </w:p>
    <w:p w14:paraId="0E21D78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课程设计的思路：本课程设计遵循以幼儿身心发展为核心的教育理念，注重理论与实践相结合，强调课程目标、内容、实施和评价的完整性与循序渐进性。课程内容涉及幼儿园课程的基础知识、理论基础、课程特点及实践应用。设计过程中，特别关注培养学生的批判性思维和分析能力，使其能够在实际工作中结合理论进行灵活运用。</w:t>
      </w:r>
    </w:p>
    <w:p w14:paraId="184F6EE3">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课程目标</w:t>
      </w:r>
    </w:p>
    <w:p w14:paraId="11DAD209">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b w:val="0"/>
          <w:bCs w:val="0"/>
          <w:sz w:val="32"/>
          <w:szCs w:val="32"/>
          <w:lang w:val="en-US" w:eastAsia="zh-CN"/>
        </w:rPr>
        <w:t>总体目标：通过本课程学习，使学生系统掌握幼儿园课程的基础理论与设计方法，能运用科学的课程观分析、设计和评价幼儿园课程方案，形成以儿童发展为本位的课程实施能力，具备幼儿园教师所需的课程研究素养与职业伦理，为成为反思型幼儿教师奠定基础。</w:t>
      </w:r>
    </w:p>
    <w:p w14:paraId="624F62B7">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具体目标</w:t>
      </w:r>
    </w:p>
    <w:p w14:paraId="6E81CB7C">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知识目标：掌握幼儿园课程的基本概念、特点及理论基础；理解中外典型课程模式（如蒙氏、方案教学等）的核心特征； 熟悉幼儿园课程目标制定的依据与层级结构；掌握课程内容选择的原则与组织方式（主题/领域/项目）；了解幼儿园课程评价的类型与工具。</w:t>
      </w:r>
    </w:p>
    <w:p w14:paraId="0C8CDD29">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能力目标：能根据《指南》分解制定适龄课程目标；能设计主题网络图并筛选适宜的课程内容；能运用观察记录法分析幼儿课程参与情况；能编制简单的课程评价量表；能模拟实施游戏化、生活化的课程活动。</w:t>
      </w:r>
    </w:p>
    <w:p w14:paraId="48186CA9">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素质目标：树立“儿童是课程主体”的价值观；形成对多元课程文化的包容态度；具备课程创新意识与团队协作精神；遵守课程开发中的伦理规范（如尊重幼儿隐私）；养成持续反思课程实践的专业习惯。 </w:t>
      </w:r>
    </w:p>
    <w:p w14:paraId="5E83C16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与前后课程的关系</w:t>
      </w:r>
    </w:p>
    <w:p w14:paraId="14ECD7D3">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与前序课程的关系</w:t>
      </w:r>
    </w:p>
    <w:p w14:paraId="38733A4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在前序课程方面，《学前儿童心理发展》为本课程提供了幼儿认知、情感与社会性发展的科学依据，确保课程设计符合儿童年龄特点；《幼儿游戏与指导》则奠定了游戏作为幼儿园基本活动形式的理论基础，帮助学生在课程实施中有效融入自主游戏、规则游戏等多元形式。</w:t>
      </w:r>
    </w:p>
    <w:p w14:paraId="7E7CBEAE">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与后继课程的关系：</w:t>
      </w:r>
    </w:p>
    <w:p w14:paraId="0E1DF5F6">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在后继课程中，《幼儿园环境创设与利用》要求学生将本课程所学的主题网络设计、经验整合等理念转化为隐性课程环境（如区域布置、主题墙设计）；《幼儿园班级管理》则依托本课程培养的课程组织与评价能力，指导学生在班级管理中优化一日活动流程，实现课程目标与生活教育的有机融合。通过这一课程链条，学生最终形成“理论指导设计—设计引领环境—环境支持管理—管理反哺课程”的完整专业能力闭环。</w:t>
      </w:r>
    </w:p>
    <w:p w14:paraId="061ADF88">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课程内容标准</w:t>
      </w:r>
    </w:p>
    <w:p w14:paraId="0130A8F5">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本课程包括幼儿园课程概述、幼儿园课程的设计、幼儿园课程的实施、幼儿园课程的评价、幼儿园特色课程的开发，共5个部分，具体教学内容及课时分配如表所示</w:t>
      </w:r>
    </w:p>
    <w:p w14:paraId="545297D7">
      <w:pPr>
        <w:spacing w:after="312" w:afterLines="100"/>
        <w:ind w:firstLine="420" w:firstLineChars="200"/>
        <w:jc w:val="center"/>
        <w:rPr>
          <w:rFonts w:hint="eastAsia" w:ascii="仿宋" w:hAnsi="仿宋" w:eastAsia="仿宋" w:cs="仿宋"/>
          <w:sz w:val="21"/>
          <w:szCs w:val="21"/>
        </w:rPr>
      </w:pPr>
      <w:r>
        <w:rPr>
          <w:rFonts w:hint="eastAsia" w:ascii="仿宋" w:hAnsi="仿宋" w:eastAsia="仿宋" w:cs="仿宋"/>
          <w:sz w:val="21"/>
          <w:szCs w:val="21"/>
        </w:rPr>
        <w:t>《幼儿园课程概论》教学内容及课时分配表</w:t>
      </w:r>
    </w:p>
    <w:tbl>
      <w:tblPr>
        <w:tblStyle w:val="4"/>
        <w:tblW w:w="88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155"/>
        <w:gridCol w:w="1645"/>
        <w:gridCol w:w="2862"/>
        <w:gridCol w:w="682"/>
        <w:gridCol w:w="765"/>
      </w:tblGrid>
      <w:tr w14:paraId="653DA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jc w:val="center"/>
        </w:trPr>
        <w:tc>
          <w:tcPr>
            <w:tcW w:w="709" w:type="dxa"/>
            <w:vMerge w:val="restart"/>
            <w:tcBorders>
              <w:left w:val="single" w:color="auto" w:sz="4" w:space="0"/>
              <w:right w:val="single" w:color="auto" w:sz="4" w:space="0"/>
            </w:tcBorders>
            <w:vAlign w:val="center"/>
          </w:tcPr>
          <w:p w14:paraId="3AAEC815">
            <w:pPr>
              <w:jc w:val="center"/>
              <w:rPr>
                <w:rFonts w:hint="eastAsia" w:ascii="仿宋" w:hAnsi="仿宋" w:eastAsia="仿宋" w:cs="仿宋"/>
                <w:sz w:val="21"/>
                <w:szCs w:val="21"/>
              </w:rPr>
            </w:pPr>
            <w:r>
              <w:rPr>
                <w:rFonts w:hint="eastAsia" w:ascii="仿宋" w:hAnsi="仿宋" w:eastAsia="仿宋" w:cs="仿宋"/>
                <w:sz w:val="21"/>
                <w:szCs w:val="21"/>
              </w:rPr>
              <w:t>所用教材</w:t>
            </w:r>
          </w:p>
        </w:tc>
        <w:tc>
          <w:tcPr>
            <w:tcW w:w="2155" w:type="dxa"/>
            <w:vMerge w:val="restart"/>
            <w:tcBorders>
              <w:left w:val="single" w:color="auto" w:sz="4" w:space="0"/>
              <w:right w:val="single" w:color="auto" w:sz="4" w:space="0"/>
            </w:tcBorders>
            <w:vAlign w:val="center"/>
          </w:tcPr>
          <w:p w14:paraId="193F5078">
            <w:pPr>
              <w:jc w:val="center"/>
              <w:rPr>
                <w:rFonts w:hint="eastAsia" w:ascii="仿宋" w:hAnsi="仿宋" w:eastAsia="仿宋" w:cs="仿宋"/>
                <w:bCs/>
                <w:sz w:val="21"/>
                <w:szCs w:val="21"/>
              </w:rPr>
            </w:pPr>
            <w:r>
              <w:rPr>
                <w:rFonts w:hint="eastAsia" w:ascii="仿宋" w:hAnsi="仿宋" w:eastAsia="仿宋" w:cs="仿宋"/>
                <w:bCs/>
                <w:sz w:val="21"/>
                <w:szCs w:val="21"/>
              </w:rPr>
              <w:t>课程名称</w:t>
            </w:r>
          </w:p>
        </w:tc>
        <w:tc>
          <w:tcPr>
            <w:tcW w:w="1645" w:type="dxa"/>
            <w:vMerge w:val="restart"/>
            <w:tcBorders>
              <w:left w:val="single" w:color="auto" w:sz="4" w:space="0"/>
              <w:right w:val="single" w:color="auto" w:sz="4" w:space="0"/>
            </w:tcBorders>
            <w:vAlign w:val="center"/>
          </w:tcPr>
          <w:p w14:paraId="2CFED7A6">
            <w:pPr>
              <w:jc w:val="center"/>
              <w:rPr>
                <w:rFonts w:hint="eastAsia" w:ascii="仿宋" w:hAnsi="仿宋" w:eastAsia="仿宋" w:cs="仿宋"/>
                <w:bCs/>
                <w:sz w:val="21"/>
                <w:szCs w:val="21"/>
              </w:rPr>
            </w:pPr>
            <w:r>
              <w:rPr>
                <w:rFonts w:hint="eastAsia" w:ascii="仿宋" w:hAnsi="仿宋" w:eastAsia="仿宋" w:cs="仿宋"/>
                <w:sz w:val="21"/>
                <w:szCs w:val="21"/>
              </w:rPr>
              <w:t>课程内容</w:t>
            </w:r>
          </w:p>
        </w:tc>
        <w:tc>
          <w:tcPr>
            <w:tcW w:w="2862" w:type="dxa"/>
            <w:vMerge w:val="restart"/>
            <w:tcBorders>
              <w:left w:val="single" w:color="auto" w:sz="4" w:space="0"/>
              <w:right w:val="single" w:color="auto" w:sz="4" w:space="0"/>
            </w:tcBorders>
            <w:vAlign w:val="center"/>
          </w:tcPr>
          <w:p w14:paraId="5E3EA31F">
            <w:pPr>
              <w:jc w:val="center"/>
              <w:rPr>
                <w:rFonts w:hint="eastAsia" w:ascii="仿宋" w:hAnsi="仿宋" w:eastAsia="仿宋" w:cs="仿宋"/>
                <w:bCs/>
                <w:sz w:val="21"/>
                <w:szCs w:val="21"/>
              </w:rPr>
            </w:pPr>
            <w:r>
              <w:rPr>
                <w:rFonts w:hint="eastAsia" w:ascii="仿宋" w:hAnsi="仿宋" w:eastAsia="仿宋" w:cs="仿宋"/>
                <w:sz w:val="21"/>
                <w:szCs w:val="21"/>
              </w:rPr>
              <w:t>课程目标</w:t>
            </w:r>
          </w:p>
        </w:tc>
        <w:tc>
          <w:tcPr>
            <w:tcW w:w="1447" w:type="dxa"/>
            <w:gridSpan w:val="2"/>
            <w:tcBorders>
              <w:left w:val="single" w:color="auto" w:sz="4" w:space="0"/>
            </w:tcBorders>
            <w:vAlign w:val="center"/>
          </w:tcPr>
          <w:p w14:paraId="2404BFC5">
            <w:pPr>
              <w:widowControl/>
              <w:jc w:val="center"/>
              <w:rPr>
                <w:rFonts w:hint="eastAsia" w:ascii="仿宋" w:hAnsi="仿宋" w:eastAsia="仿宋" w:cs="仿宋"/>
                <w:sz w:val="21"/>
                <w:szCs w:val="21"/>
              </w:rPr>
            </w:pPr>
            <w:r>
              <w:rPr>
                <w:rFonts w:hint="eastAsia" w:ascii="仿宋" w:hAnsi="仿宋" w:eastAsia="仿宋" w:cs="仿宋"/>
                <w:sz w:val="21"/>
                <w:szCs w:val="21"/>
              </w:rPr>
              <w:t>课时分配</w:t>
            </w:r>
          </w:p>
        </w:tc>
      </w:tr>
      <w:tr w14:paraId="3C41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709" w:type="dxa"/>
            <w:vMerge w:val="continue"/>
            <w:tcBorders>
              <w:left w:val="single" w:color="auto" w:sz="4" w:space="0"/>
              <w:right w:val="single" w:color="auto" w:sz="4" w:space="0"/>
            </w:tcBorders>
            <w:vAlign w:val="center"/>
          </w:tcPr>
          <w:p w14:paraId="131ECD8C">
            <w:pPr>
              <w:jc w:val="center"/>
              <w:rPr>
                <w:rFonts w:hint="eastAsia" w:ascii="仿宋" w:hAnsi="仿宋" w:eastAsia="仿宋" w:cs="仿宋"/>
                <w:sz w:val="21"/>
                <w:szCs w:val="21"/>
              </w:rPr>
            </w:pPr>
          </w:p>
        </w:tc>
        <w:tc>
          <w:tcPr>
            <w:tcW w:w="2155" w:type="dxa"/>
            <w:vMerge w:val="continue"/>
            <w:tcBorders>
              <w:left w:val="single" w:color="auto" w:sz="4" w:space="0"/>
              <w:right w:val="single" w:color="auto" w:sz="4" w:space="0"/>
            </w:tcBorders>
            <w:vAlign w:val="center"/>
          </w:tcPr>
          <w:p w14:paraId="1FC03221">
            <w:pPr>
              <w:jc w:val="center"/>
              <w:rPr>
                <w:rFonts w:hint="eastAsia" w:ascii="仿宋" w:hAnsi="仿宋" w:eastAsia="仿宋" w:cs="仿宋"/>
                <w:bCs/>
                <w:sz w:val="21"/>
                <w:szCs w:val="21"/>
              </w:rPr>
            </w:pPr>
          </w:p>
        </w:tc>
        <w:tc>
          <w:tcPr>
            <w:tcW w:w="1645" w:type="dxa"/>
            <w:vMerge w:val="continue"/>
            <w:tcBorders>
              <w:left w:val="single" w:color="auto" w:sz="4" w:space="0"/>
              <w:right w:val="single" w:color="auto" w:sz="4" w:space="0"/>
            </w:tcBorders>
            <w:vAlign w:val="center"/>
          </w:tcPr>
          <w:p w14:paraId="2B4FCD4B">
            <w:pPr>
              <w:jc w:val="center"/>
              <w:rPr>
                <w:rFonts w:hint="eastAsia" w:ascii="仿宋" w:hAnsi="仿宋" w:eastAsia="仿宋" w:cs="仿宋"/>
                <w:sz w:val="21"/>
                <w:szCs w:val="21"/>
              </w:rPr>
            </w:pPr>
          </w:p>
        </w:tc>
        <w:tc>
          <w:tcPr>
            <w:tcW w:w="2862" w:type="dxa"/>
            <w:vMerge w:val="continue"/>
            <w:tcBorders>
              <w:left w:val="single" w:color="auto" w:sz="4" w:space="0"/>
              <w:right w:val="single" w:color="auto" w:sz="4" w:space="0"/>
            </w:tcBorders>
            <w:vAlign w:val="center"/>
          </w:tcPr>
          <w:p w14:paraId="2F837DA7">
            <w:pPr>
              <w:jc w:val="center"/>
              <w:rPr>
                <w:rFonts w:hint="eastAsia" w:ascii="仿宋" w:hAnsi="仿宋" w:eastAsia="仿宋" w:cs="仿宋"/>
                <w:sz w:val="21"/>
                <w:szCs w:val="21"/>
              </w:rPr>
            </w:pPr>
          </w:p>
        </w:tc>
        <w:tc>
          <w:tcPr>
            <w:tcW w:w="682" w:type="dxa"/>
            <w:tcBorders>
              <w:left w:val="single" w:color="auto" w:sz="4" w:space="0"/>
            </w:tcBorders>
            <w:vAlign w:val="center"/>
          </w:tcPr>
          <w:p w14:paraId="2F31F0EB">
            <w:pPr>
              <w:widowControl/>
              <w:jc w:val="center"/>
              <w:rPr>
                <w:rFonts w:hint="eastAsia" w:ascii="仿宋" w:hAnsi="仿宋" w:eastAsia="仿宋" w:cs="仿宋"/>
                <w:sz w:val="21"/>
                <w:szCs w:val="21"/>
              </w:rPr>
            </w:pPr>
            <w:r>
              <w:rPr>
                <w:rFonts w:hint="eastAsia" w:ascii="仿宋" w:hAnsi="仿宋" w:eastAsia="仿宋" w:cs="仿宋"/>
                <w:sz w:val="21"/>
                <w:szCs w:val="21"/>
              </w:rPr>
              <w:t>理论</w:t>
            </w:r>
          </w:p>
        </w:tc>
        <w:tc>
          <w:tcPr>
            <w:tcW w:w="765" w:type="dxa"/>
            <w:tcBorders>
              <w:left w:val="single" w:color="auto" w:sz="4" w:space="0"/>
            </w:tcBorders>
            <w:vAlign w:val="center"/>
          </w:tcPr>
          <w:p w14:paraId="62784D7A">
            <w:pPr>
              <w:widowControl/>
              <w:jc w:val="center"/>
              <w:rPr>
                <w:rFonts w:hint="eastAsia" w:ascii="仿宋" w:hAnsi="仿宋" w:eastAsia="仿宋" w:cs="仿宋"/>
                <w:sz w:val="21"/>
                <w:szCs w:val="21"/>
              </w:rPr>
            </w:pPr>
            <w:r>
              <w:rPr>
                <w:rFonts w:hint="eastAsia" w:ascii="仿宋" w:hAnsi="仿宋" w:eastAsia="仿宋" w:cs="仿宋"/>
                <w:sz w:val="21"/>
                <w:szCs w:val="21"/>
              </w:rPr>
              <w:t>实践</w:t>
            </w:r>
          </w:p>
        </w:tc>
      </w:tr>
      <w:tr w14:paraId="4A81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jc w:val="center"/>
        </w:trPr>
        <w:tc>
          <w:tcPr>
            <w:tcW w:w="709" w:type="dxa"/>
            <w:vMerge w:val="restart"/>
            <w:tcBorders>
              <w:left w:val="single" w:color="auto" w:sz="4" w:space="0"/>
              <w:right w:val="single" w:color="auto" w:sz="4" w:space="0"/>
            </w:tcBorders>
            <w:vAlign w:val="center"/>
          </w:tcPr>
          <w:p w14:paraId="08DA1530">
            <w:pPr>
              <w:widowControl/>
              <w:jc w:val="center"/>
              <w:rPr>
                <w:rFonts w:hint="eastAsia" w:ascii="仿宋" w:hAnsi="仿宋" w:eastAsia="仿宋" w:cs="仿宋"/>
                <w:sz w:val="21"/>
                <w:szCs w:val="21"/>
              </w:rPr>
            </w:pPr>
            <w:r>
              <w:rPr>
                <w:rFonts w:hint="eastAsia" w:ascii="仿宋" w:hAnsi="仿宋" w:eastAsia="仿宋" w:cs="仿宋"/>
                <w:sz w:val="21"/>
                <w:szCs w:val="21"/>
              </w:rPr>
              <w:t>幼儿园课程概论</w:t>
            </w:r>
          </w:p>
        </w:tc>
        <w:tc>
          <w:tcPr>
            <w:tcW w:w="2155" w:type="dxa"/>
            <w:tcBorders>
              <w:left w:val="single" w:color="auto" w:sz="4" w:space="0"/>
              <w:right w:val="single" w:color="auto" w:sz="4" w:space="0"/>
            </w:tcBorders>
            <w:vAlign w:val="center"/>
          </w:tcPr>
          <w:p w14:paraId="04BDF687">
            <w:pPr>
              <w:widowControl/>
              <w:jc w:val="center"/>
              <w:rPr>
                <w:rFonts w:hint="eastAsia" w:ascii="仿宋" w:hAnsi="仿宋" w:eastAsia="仿宋" w:cs="仿宋"/>
                <w:sz w:val="21"/>
                <w:szCs w:val="21"/>
              </w:rPr>
            </w:pPr>
            <w:r>
              <w:rPr>
                <w:rFonts w:hint="eastAsia" w:ascii="仿宋" w:hAnsi="仿宋" w:eastAsia="仿宋" w:cs="仿宋"/>
                <w:sz w:val="21"/>
                <w:szCs w:val="21"/>
              </w:rPr>
              <w:t>固本强基—幼儿园课程概述</w:t>
            </w:r>
          </w:p>
        </w:tc>
        <w:tc>
          <w:tcPr>
            <w:tcW w:w="1645" w:type="dxa"/>
            <w:tcBorders>
              <w:top w:val="single" w:color="auto" w:sz="4" w:space="0"/>
              <w:left w:val="single" w:color="auto" w:sz="4" w:space="0"/>
              <w:right w:val="single" w:color="auto" w:sz="4" w:space="0"/>
            </w:tcBorders>
            <w:vAlign w:val="center"/>
          </w:tcPr>
          <w:p w14:paraId="2F0E04E2">
            <w:pPr>
              <w:rPr>
                <w:rFonts w:hint="eastAsia" w:ascii="仿宋" w:hAnsi="仿宋" w:eastAsia="仿宋" w:cs="仿宋"/>
                <w:bCs/>
                <w:sz w:val="21"/>
                <w:szCs w:val="21"/>
              </w:rPr>
            </w:pPr>
            <w:r>
              <w:rPr>
                <w:rFonts w:hint="eastAsia" w:ascii="仿宋" w:hAnsi="仿宋" w:eastAsia="仿宋" w:cs="仿宋"/>
                <w:bCs/>
                <w:sz w:val="21"/>
                <w:szCs w:val="21"/>
              </w:rPr>
              <w:t>（1）认识课程和幼儿园课程</w:t>
            </w:r>
          </w:p>
          <w:p w14:paraId="2EC01B6C">
            <w:pPr>
              <w:rPr>
                <w:rFonts w:hint="eastAsia" w:ascii="仿宋" w:hAnsi="仿宋" w:eastAsia="仿宋" w:cs="仿宋"/>
                <w:bCs/>
                <w:sz w:val="21"/>
                <w:szCs w:val="21"/>
              </w:rPr>
            </w:pPr>
            <w:r>
              <w:rPr>
                <w:rFonts w:hint="eastAsia" w:ascii="仿宋" w:hAnsi="仿宋" w:eastAsia="仿宋" w:cs="仿宋"/>
                <w:bCs/>
                <w:sz w:val="21"/>
                <w:szCs w:val="21"/>
              </w:rPr>
              <w:t>（2）理解幼儿园课程的理论基础</w:t>
            </w:r>
          </w:p>
          <w:p w14:paraId="11CDA384">
            <w:pPr>
              <w:rPr>
                <w:rFonts w:hint="eastAsia" w:ascii="仿宋" w:hAnsi="仿宋" w:eastAsia="仿宋" w:cs="仿宋"/>
                <w:bCs/>
                <w:sz w:val="21"/>
                <w:szCs w:val="21"/>
              </w:rPr>
            </w:pPr>
            <w:r>
              <w:rPr>
                <w:rFonts w:hint="eastAsia" w:ascii="仿宋" w:hAnsi="仿宋" w:eastAsia="仿宋" w:cs="仿宋"/>
                <w:bCs/>
                <w:sz w:val="21"/>
                <w:szCs w:val="21"/>
              </w:rPr>
              <w:t>（3）熟悉经典幼儿园课程方案</w:t>
            </w:r>
          </w:p>
        </w:tc>
        <w:tc>
          <w:tcPr>
            <w:tcW w:w="2862" w:type="dxa"/>
            <w:tcBorders>
              <w:top w:val="single" w:color="auto" w:sz="4" w:space="0"/>
              <w:left w:val="single" w:color="auto" w:sz="4" w:space="0"/>
              <w:right w:val="single" w:color="auto" w:sz="4" w:space="0"/>
            </w:tcBorders>
            <w:vAlign w:val="center"/>
          </w:tcPr>
          <w:p w14:paraId="2BDB2BAB">
            <w:pPr>
              <w:rPr>
                <w:rFonts w:hint="eastAsia" w:ascii="仿宋" w:hAnsi="仿宋" w:eastAsia="仿宋" w:cs="仿宋"/>
                <w:sz w:val="21"/>
                <w:szCs w:val="21"/>
              </w:rPr>
            </w:pPr>
            <w:r>
              <w:rPr>
                <w:rFonts w:hint="eastAsia" w:ascii="仿宋" w:hAnsi="仿宋" w:eastAsia="仿宋" w:cs="仿宋"/>
                <w:sz w:val="21"/>
                <w:szCs w:val="21"/>
              </w:rPr>
              <w:t>（1）了解课程的含义和类型</w:t>
            </w:r>
          </w:p>
          <w:p w14:paraId="12271897">
            <w:pPr>
              <w:rPr>
                <w:rFonts w:hint="eastAsia" w:ascii="仿宋" w:hAnsi="仿宋" w:eastAsia="仿宋" w:cs="仿宋"/>
                <w:sz w:val="21"/>
                <w:szCs w:val="21"/>
              </w:rPr>
            </w:pPr>
            <w:r>
              <w:rPr>
                <w:rFonts w:hint="eastAsia" w:ascii="仿宋" w:hAnsi="仿宋" w:eastAsia="仿宋" w:cs="仿宋"/>
                <w:sz w:val="21"/>
                <w:szCs w:val="21"/>
              </w:rPr>
              <w:t>（2）了解幼儿园课程的含义、特点和要素</w:t>
            </w:r>
          </w:p>
          <w:p w14:paraId="00E707B1">
            <w:pPr>
              <w:rPr>
                <w:rFonts w:hint="eastAsia" w:ascii="仿宋" w:hAnsi="仿宋" w:eastAsia="仿宋" w:cs="仿宋"/>
                <w:sz w:val="21"/>
                <w:szCs w:val="21"/>
              </w:rPr>
            </w:pPr>
            <w:r>
              <w:rPr>
                <w:rFonts w:hint="eastAsia" w:ascii="仿宋" w:hAnsi="仿宋" w:eastAsia="仿宋" w:cs="仿宋"/>
                <w:sz w:val="21"/>
                <w:szCs w:val="21"/>
              </w:rPr>
              <w:t>（3）理解幼儿园课程的理论基础</w:t>
            </w:r>
          </w:p>
          <w:p w14:paraId="46B55764">
            <w:pPr>
              <w:rPr>
                <w:rFonts w:hint="eastAsia" w:ascii="仿宋" w:hAnsi="仿宋" w:eastAsia="仿宋" w:cs="仿宋"/>
                <w:sz w:val="21"/>
                <w:szCs w:val="21"/>
              </w:rPr>
            </w:pPr>
            <w:r>
              <w:rPr>
                <w:rFonts w:hint="eastAsia" w:ascii="仿宋" w:hAnsi="仿宋" w:eastAsia="仿宋" w:cs="仿宋"/>
                <w:sz w:val="21"/>
                <w:szCs w:val="21"/>
              </w:rPr>
              <w:t>（4）熟悉经典幼儿园课程方案</w:t>
            </w:r>
          </w:p>
          <w:p w14:paraId="4A26B1FE">
            <w:pPr>
              <w:rPr>
                <w:rFonts w:hint="eastAsia" w:ascii="仿宋" w:hAnsi="仿宋" w:eastAsia="仿宋" w:cs="仿宋"/>
                <w:sz w:val="21"/>
                <w:szCs w:val="21"/>
              </w:rPr>
            </w:pPr>
            <w:r>
              <w:rPr>
                <w:rFonts w:hint="eastAsia" w:ascii="仿宋" w:hAnsi="仿宋" w:eastAsia="仿宋" w:cs="仿宋"/>
                <w:sz w:val="21"/>
                <w:szCs w:val="21"/>
              </w:rPr>
              <w:t>（5）能结合实际，分析幼儿园课程的特殊性</w:t>
            </w:r>
          </w:p>
          <w:p w14:paraId="06A75A02">
            <w:pPr>
              <w:rPr>
                <w:rFonts w:hint="eastAsia" w:ascii="仿宋" w:hAnsi="仿宋" w:eastAsia="仿宋" w:cs="仿宋"/>
                <w:bCs/>
                <w:sz w:val="21"/>
                <w:szCs w:val="21"/>
              </w:rPr>
            </w:pPr>
            <w:r>
              <w:rPr>
                <w:rFonts w:hint="eastAsia" w:ascii="仿宋" w:hAnsi="仿宋" w:eastAsia="仿宋" w:cs="仿宋"/>
                <w:sz w:val="21"/>
                <w:szCs w:val="21"/>
              </w:rPr>
              <w:t>（6）能从经典幼儿园课程方案中吸取精华用于实践</w:t>
            </w:r>
          </w:p>
        </w:tc>
        <w:tc>
          <w:tcPr>
            <w:tcW w:w="682" w:type="dxa"/>
            <w:tcBorders>
              <w:left w:val="single" w:color="auto" w:sz="4" w:space="0"/>
              <w:right w:val="single" w:color="auto" w:sz="4" w:space="0"/>
            </w:tcBorders>
            <w:vAlign w:val="center"/>
          </w:tcPr>
          <w:p w14:paraId="5D34C4B5">
            <w:pPr>
              <w:jc w:val="center"/>
              <w:rPr>
                <w:rFonts w:hint="eastAsia" w:ascii="仿宋" w:hAnsi="仿宋" w:eastAsia="仿宋" w:cs="仿宋"/>
                <w:sz w:val="21"/>
                <w:szCs w:val="21"/>
              </w:rPr>
            </w:pPr>
            <w:r>
              <w:rPr>
                <w:rFonts w:hint="eastAsia" w:ascii="仿宋" w:hAnsi="仿宋" w:eastAsia="仿宋" w:cs="仿宋"/>
                <w:sz w:val="21"/>
                <w:szCs w:val="21"/>
              </w:rPr>
              <w:t>4</w:t>
            </w:r>
          </w:p>
        </w:tc>
        <w:tc>
          <w:tcPr>
            <w:tcW w:w="765" w:type="dxa"/>
            <w:tcBorders>
              <w:left w:val="single" w:color="auto" w:sz="4" w:space="0"/>
            </w:tcBorders>
            <w:vAlign w:val="center"/>
          </w:tcPr>
          <w:p w14:paraId="4C6B469E">
            <w:pPr>
              <w:widowControl/>
              <w:jc w:val="center"/>
              <w:rPr>
                <w:rFonts w:hint="eastAsia" w:ascii="仿宋" w:hAnsi="仿宋" w:eastAsia="仿宋" w:cs="仿宋"/>
                <w:sz w:val="21"/>
                <w:szCs w:val="21"/>
              </w:rPr>
            </w:pPr>
            <w:r>
              <w:rPr>
                <w:rFonts w:hint="eastAsia" w:ascii="仿宋" w:hAnsi="仿宋" w:eastAsia="仿宋" w:cs="仿宋"/>
                <w:sz w:val="21"/>
                <w:szCs w:val="21"/>
              </w:rPr>
              <w:t>2</w:t>
            </w:r>
          </w:p>
        </w:tc>
      </w:tr>
      <w:tr w14:paraId="224D1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709" w:type="dxa"/>
            <w:vMerge w:val="continue"/>
            <w:tcBorders>
              <w:left w:val="single" w:color="auto" w:sz="4" w:space="0"/>
              <w:right w:val="single" w:color="auto" w:sz="4" w:space="0"/>
            </w:tcBorders>
            <w:vAlign w:val="center"/>
          </w:tcPr>
          <w:p w14:paraId="7D77B5C5">
            <w:pPr>
              <w:widowControl/>
              <w:jc w:val="left"/>
              <w:rPr>
                <w:rFonts w:hint="eastAsia" w:ascii="仿宋" w:hAnsi="仿宋" w:eastAsia="仿宋" w:cs="仿宋"/>
                <w:sz w:val="21"/>
                <w:szCs w:val="21"/>
              </w:rPr>
            </w:pPr>
          </w:p>
        </w:tc>
        <w:tc>
          <w:tcPr>
            <w:tcW w:w="2155" w:type="dxa"/>
            <w:tcBorders>
              <w:left w:val="single" w:color="auto" w:sz="4" w:space="0"/>
              <w:right w:val="single" w:color="auto" w:sz="4" w:space="0"/>
            </w:tcBorders>
            <w:vAlign w:val="center"/>
          </w:tcPr>
          <w:p w14:paraId="38C7BC01">
            <w:pPr>
              <w:widowControl/>
              <w:jc w:val="center"/>
              <w:rPr>
                <w:rFonts w:hint="eastAsia" w:ascii="仿宋" w:hAnsi="仿宋" w:eastAsia="仿宋" w:cs="仿宋"/>
                <w:sz w:val="21"/>
                <w:szCs w:val="21"/>
              </w:rPr>
            </w:pPr>
            <w:r>
              <w:rPr>
                <w:rFonts w:hint="eastAsia" w:ascii="仿宋" w:hAnsi="仿宋" w:eastAsia="仿宋" w:cs="仿宋"/>
                <w:sz w:val="21"/>
                <w:szCs w:val="21"/>
              </w:rPr>
              <w:t>精雕细琢—幼儿园课程的设计</w:t>
            </w:r>
          </w:p>
        </w:tc>
        <w:tc>
          <w:tcPr>
            <w:tcW w:w="1645" w:type="dxa"/>
            <w:tcBorders>
              <w:top w:val="single" w:color="auto" w:sz="4" w:space="0"/>
              <w:left w:val="single" w:color="auto" w:sz="4" w:space="0"/>
              <w:right w:val="single" w:color="auto" w:sz="4" w:space="0"/>
            </w:tcBorders>
            <w:vAlign w:val="center"/>
          </w:tcPr>
          <w:p w14:paraId="35090339">
            <w:pPr>
              <w:rPr>
                <w:rFonts w:hint="eastAsia" w:ascii="仿宋" w:hAnsi="仿宋" w:eastAsia="仿宋" w:cs="仿宋"/>
                <w:bCs/>
                <w:sz w:val="21"/>
                <w:szCs w:val="21"/>
              </w:rPr>
            </w:pPr>
            <w:r>
              <w:rPr>
                <w:rFonts w:hint="eastAsia" w:ascii="仿宋" w:hAnsi="仿宋" w:eastAsia="仿宋" w:cs="仿宋"/>
                <w:bCs/>
                <w:sz w:val="21"/>
                <w:szCs w:val="21"/>
              </w:rPr>
              <w:t>（1）明确幼儿园课程的目标</w:t>
            </w:r>
          </w:p>
          <w:p w14:paraId="4666631F">
            <w:pPr>
              <w:rPr>
                <w:rFonts w:hint="eastAsia" w:ascii="仿宋" w:hAnsi="仿宋" w:eastAsia="仿宋" w:cs="仿宋"/>
                <w:bCs/>
                <w:sz w:val="21"/>
                <w:szCs w:val="21"/>
              </w:rPr>
            </w:pPr>
            <w:r>
              <w:rPr>
                <w:rFonts w:hint="eastAsia" w:ascii="仿宋" w:hAnsi="仿宋" w:eastAsia="仿宋" w:cs="仿宋"/>
                <w:bCs/>
                <w:sz w:val="21"/>
                <w:szCs w:val="21"/>
              </w:rPr>
              <w:t>（2）确定幼儿园课程的内容</w:t>
            </w:r>
          </w:p>
        </w:tc>
        <w:tc>
          <w:tcPr>
            <w:tcW w:w="2862" w:type="dxa"/>
            <w:tcBorders>
              <w:top w:val="single" w:color="auto" w:sz="4" w:space="0"/>
              <w:left w:val="single" w:color="auto" w:sz="4" w:space="0"/>
              <w:right w:val="single" w:color="auto" w:sz="4" w:space="0"/>
            </w:tcBorders>
            <w:vAlign w:val="center"/>
          </w:tcPr>
          <w:p w14:paraId="5A155A1D">
            <w:pPr>
              <w:rPr>
                <w:rFonts w:hint="eastAsia" w:ascii="仿宋" w:hAnsi="仿宋" w:eastAsia="仿宋" w:cs="仿宋"/>
                <w:sz w:val="21"/>
                <w:szCs w:val="21"/>
              </w:rPr>
            </w:pPr>
            <w:r>
              <w:rPr>
                <w:rFonts w:hint="eastAsia" w:ascii="仿宋" w:hAnsi="仿宋" w:eastAsia="仿宋" w:cs="仿宋"/>
                <w:sz w:val="21"/>
                <w:szCs w:val="21"/>
              </w:rPr>
              <w:t>（1）了解幼儿园课程目标的相关概念、类型</w:t>
            </w:r>
          </w:p>
          <w:p w14:paraId="002EEC8C">
            <w:pPr>
              <w:rPr>
                <w:rFonts w:hint="eastAsia" w:ascii="仿宋" w:hAnsi="仿宋" w:eastAsia="仿宋" w:cs="仿宋"/>
                <w:sz w:val="21"/>
                <w:szCs w:val="21"/>
              </w:rPr>
            </w:pPr>
            <w:r>
              <w:rPr>
                <w:rFonts w:hint="eastAsia" w:ascii="仿宋" w:hAnsi="仿宋" w:eastAsia="仿宋" w:cs="仿宋"/>
                <w:sz w:val="21"/>
                <w:szCs w:val="21"/>
              </w:rPr>
              <w:t>（2）了解我国幼儿园课程目标的体系</w:t>
            </w:r>
          </w:p>
          <w:p w14:paraId="23355A74">
            <w:pPr>
              <w:rPr>
                <w:rFonts w:hint="eastAsia" w:ascii="仿宋" w:hAnsi="仿宋" w:eastAsia="仿宋" w:cs="仿宋"/>
                <w:sz w:val="21"/>
                <w:szCs w:val="21"/>
              </w:rPr>
            </w:pPr>
            <w:r>
              <w:rPr>
                <w:rFonts w:hint="eastAsia" w:ascii="仿宋" w:hAnsi="仿宋" w:eastAsia="仿宋" w:cs="仿宋"/>
                <w:sz w:val="21"/>
                <w:szCs w:val="21"/>
              </w:rPr>
              <w:t>（3）熟悉幼儿园课程目标的制订依据和表述要点</w:t>
            </w:r>
          </w:p>
          <w:p w14:paraId="50DBD255">
            <w:pPr>
              <w:rPr>
                <w:rFonts w:hint="eastAsia" w:ascii="仿宋" w:hAnsi="仿宋" w:eastAsia="仿宋" w:cs="仿宋"/>
                <w:sz w:val="21"/>
                <w:szCs w:val="21"/>
              </w:rPr>
            </w:pPr>
            <w:r>
              <w:rPr>
                <w:rFonts w:hint="eastAsia" w:ascii="仿宋" w:hAnsi="仿宋" w:eastAsia="仿宋" w:cs="仿宋"/>
                <w:sz w:val="21"/>
                <w:szCs w:val="21"/>
              </w:rPr>
              <w:t>（4）了解幼儿园课程内容的含义</w:t>
            </w:r>
          </w:p>
          <w:p w14:paraId="3522FB77">
            <w:pPr>
              <w:rPr>
                <w:rFonts w:hint="eastAsia" w:ascii="仿宋" w:hAnsi="仿宋" w:eastAsia="仿宋" w:cs="仿宋"/>
                <w:sz w:val="21"/>
                <w:szCs w:val="21"/>
              </w:rPr>
            </w:pPr>
            <w:r>
              <w:rPr>
                <w:rFonts w:hint="eastAsia" w:ascii="仿宋" w:hAnsi="仿宋" w:eastAsia="仿宋" w:cs="仿宋"/>
                <w:sz w:val="21"/>
                <w:szCs w:val="21"/>
              </w:rPr>
              <w:t>（5）掌握选择和组织幼儿园课程内容的方法</w:t>
            </w:r>
          </w:p>
          <w:p w14:paraId="4DD96ACC">
            <w:pPr>
              <w:rPr>
                <w:rFonts w:hint="eastAsia" w:ascii="仿宋" w:hAnsi="仿宋" w:eastAsia="仿宋" w:cs="仿宋"/>
                <w:sz w:val="21"/>
                <w:szCs w:val="21"/>
              </w:rPr>
            </w:pPr>
            <w:r>
              <w:rPr>
                <w:rFonts w:hint="eastAsia" w:ascii="仿宋" w:hAnsi="仿宋" w:eastAsia="仿宋" w:cs="仿宋"/>
                <w:sz w:val="21"/>
                <w:szCs w:val="21"/>
              </w:rPr>
              <w:t>（6）能根据幼儿的身心发展特点，制订和表述幼儿园课程目标</w:t>
            </w:r>
          </w:p>
          <w:p w14:paraId="6184369F">
            <w:pPr>
              <w:rPr>
                <w:rFonts w:hint="eastAsia" w:ascii="仿宋" w:hAnsi="仿宋" w:eastAsia="仿宋" w:cs="仿宋"/>
                <w:bCs/>
                <w:sz w:val="21"/>
                <w:szCs w:val="21"/>
              </w:rPr>
            </w:pPr>
            <w:r>
              <w:rPr>
                <w:rFonts w:hint="eastAsia" w:ascii="仿宋" w:hAnsi="仿宋" w:eastAsia="仿宋" w:cs="仿宋"/>
                <w:sz w:val="21"/>
                <w:szCs w:val="21"/>
              </w:rPr>
              <w:t>（7）能分析幼儿园课程内容的合理性，并根据实际情况做出调整</w:t>
            </w:r>
          </w:p>
        </w:tc>
        <w:tc>
          <w:tcPr>
            <w:tcW w:w="682" w:type="dxa"/>
            <w:tcBorders>
              <w:left w:val="single" w:color="auto" w:sz="4" w:space="0"/>
              <w:right w:val="single" w:color="auto" w:sz="4" w:space="0"/>
            </w:tcBorders>
            <w:vAlign w:val="center"/>
          </w:tcPr>
          <w:p w14:paraId="28305DCF">
            <w:pPr>
              <w:jc w:val="center"/>
              <w:rPr>
                <w:rFonts w:hint="eastAsia" w:ascii="仿宋" w:hAnsi="仿宋" w:eastAsia="仿宋" w:cs="仿宋"/>
                <w:sz w:val="21"/>
                <w:szCs w:val="21"/>
              </w:rPr>
            </w:pPr>
            <w:r>
              <w:rPr>
                <w:rFonts w:hint="eastAsia" w:ascii="仿宋" w:hAnsi="仿宋" w:eastAsia="仿宋" w:cs="仿宋"/>
                <w:sz w:val="21"/>
                <w:szCs w:val="21"/>
              </w:rPr>
              <w:t>4</w:t>
            </w:r>
          </w:p>
        </w:tc>
        <w:tc>
          <w:tcPr>
            <w:tcW w:w="765" w:type="dxa"/>
            <w:tcBorders>
              <w:left w:val="single" w:color="auto" w:sz="4" w:space="0"/>
            </w:tcBorders>
            <w:vAlign w:val="center"/>
          </w:tcPr>
          <w:p w14:paraId="628BA530">
            <w:pPr>
              <w:widowControl/>
              <w:jc w:val="center"/>
              <w:rPr>
                <w:rFonts w:hint="eastAsia" w:ascii="仿宋" w:hAnsi="仿宋" w:eastAsia="仿宋" w:cs="仿宋"/>
                <w:sz w:val="21"/>
                <w:szCs w:val="21"/>
              </w:rPr>
            </w:pPr>
            <w:r>
              <w:rPr>
                <w:rFonts w:hint="eastAsia" w:ascii="仿宋" w:hAnsi="仿宋" w:eastAsia="仿宋" w:cs="仿宋"/>
                <w:sz w:val="21"/>
                <w:szCs w:val="21"/>
              </w:rPr>
              <w:t>2</w:t>
            </w:r>
          </w:p>
        </w:tc>
      </w:tr>
      <w:tr w14:paraId="0EE1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709" w:type="dxa"/>
            <w:vMerge w:val="continue"/>
            <w:tcBorders>
              <w:left w:val="single" w:color="auto" w:sz="4" w:space="0"/>
              <w:right w:val="single" w:color="auto" w:sz="4" w:space="0"/>
            </w:tcBorders>
            <w:vAlign w:val="center"/>
          </w:tcPr>
          <w:p w14:paraId="4157C665">
            <w:pPr>
              <w:widowControl/>
              <w:jc w:val="left"/>
              <w:rPr>
                <w:rFonts w:hint="eastAsia" w:ascii="仿宋" w:hAnsi="仿宋" w:eastAsia="仿宋" w:cs="仿宋"/>
                <w:sz w:val="21"/>
                <w:szCs w:val="21"/>
              </w:rPr>
            </w:pPr>
          </w:p>
        </w:tc>
        <w:tc>
          <w:tcPr>
            <w:tcW w:w="2155" w:type="dxa"/>
            <w:tcBorders>
              <w:left w:val="single" w:color="auto" w:sz="4" w:space="0"/>
              <w:right w:val="single" w:color="auto" w:sz="4" w:space="0"/>
            </w:tcBorders>
            <w:vAlign w:val="center"/>
          </w:tcPr>
          <w:p w14:paraId="72BD95B4">
            <w:pPr>
              <w:widowControl/>
              <w:jc w:val="center"/>
              <w:rPr>
                <w:rFonts w:hint="eastAsia" w:ascii="仿宋" w:hAnsi="仿宋" w:eastAsia="仿宋" w:cs="仿宋"/>
                <w:sz w:val="21"/>
                <w:szCs w:val="21"/>
              </w:rPr>
            </w:pPr>
            <w:r>
              <w:rPr>
                <w:rFonts w:hint="eastAsia" w:ascii="仿宋" w:hAnsi="仿宋" w:eastAsia="仿宋" w:cs="仿宋"/>
                <w:sz w:val="21"/>
                <w:szCs w:val="21"/>
              </w:rPr>
              <w:t>有条不紊—幼儿园课程的实施</w:t>
            </w:r>
          </w:p>
        </w:tc>
        <w:tc>
          <w:tcPr>
            <w:tcW w:w="1645" w:type="dxa"/>
            <w:tcBorders>
              <w:top w:val="single" w:color="auto" w:sz="4" w:space="0"/>
              <w:left w:val="single" w:color="auto" w:sz="4" w:space="0"/>
              <w:right w:val="single" w:color="auto" w:sz="4" w:space="0"/>
            </w:tcBorders>
            <w:vAlign w:val="center"/>
          </w:tcPr>
          <w:p w14:paraId="361A8C23">
            <w:pPr>
              <w:rPr>
                <w:rFonts w:hint="eastAsia" w:ascii="仿宋" w:hAnsi="仿宋" w:eastAsia="仿宋" w:cs="仿宋"/>
                <w:bCs/>
                <w:sz w:val="21"/>
                <w:szCs w:val="21"/>
              </w:rPr>
            </w:pPr>
            <w:r>
              <w:rPr>
                <w:rFonts w:hint="eastAsia" w:ascii="仿宋" w:hAnsi="仿宋" w:eastAsia="仿宋" w:cs="仿宋"/>
                <w:bCs/>
                <w:sz w:val="21"/>
                <w:szCs w:val="21"/>
              </w:rPr>
              <w:t>（1）学习幼儿园课程实施的基本知识</w:t>
            </w:r>
          </w:p>
          <w:p w14:paraId="6E40622E">
            <w:pPr>
              <w:rPr>
                <w:rFonts w:hint="eastAsia" w:ascii="仿宋" w:hAnsi="仿宋" w:eastAsia="仿宋" w:cs="仿宋"/>
                <w:bCs/>
                <w:sz w:val="21"/>
                <w:szCs w:val="21"/>
              </w:rPr>
            </w:pPr>
            <w:r>
              <w:rPr>
                <w:rFonts w:hint="eastAsia" w:ascii="仿宋" w:hAnsi="仿宋" w:eastAsia="仿宋" w:cs="仿宋"/>
                <w:bCs/>
                <w:sz w:val="21"/>
                <w:szCs w:val="21"/>
              </w:rPr>
              <w:t>（2）组织和实施幼儿园课程</w:t>
            </w:r>
          </w:p>
        </w:tc>
        <w:tc>
          <w:tcPr>
            <w:tcW w:w="2862" w:type="dxa"/>
            <w:tcBorders>
              <w:top w:val="single" w:color="auto" w:sz="4" w:space="0"/>
              <w:left w:val="single" w:color="auto" w:sz="4" w:space="0"/>
              <w:right w:val="single" w:color="auto" w:sz="4" w:space="0"/>
            </w:tcBorders>
          </w:tcPr>
          <w:p w14:paraId="24D915EB">
            <w:pPr>
              <w:rPr>
                <w:rFonts w:hint="eastAsia" w:ascii="仿宋" w:hAnsi="仿宋" w:eastAsia="仿宋" w:cs="仿宋"/>
                <w:sz w:val="21"/>
                <w:szCs w:val="21"/>
              </w:rPr>
            </w:pPr>
            <w:r>
              <w:rPr>
                <w:rFonts w:hint="eastAsia" w:ascii="仿宋" w:hAnsi="仿宋" w:eastAsia="仿宋" w:cs="仿宋"/>
                <w:sz w:val="21"/>
                <w:szCs w:val="21"/>
              </w:rPr>
              <w:t>（1）了解幼儿园课程实施的含义和取向</w:t>
            </w:r>
          </w:p>
          <w:p w14:paraId="372A90B8">
            <w:pPr>
              <w:rPr>
                <w:rFonts w:hint="eastAsia" w:ascii="仿宋" w:hAnsi="仿宋" w:eastAsia="仿宋" w:cs="仿宋"/>
                <w:sz w:val="21"/>
                <w:szCs w:val="21"/>
              </w:rPr>
            </w:pPr>
            <w:r>
              <w:rPr>
                <w:rFonts w:hint="eastAsia" w:ascii="仿宋" w:hAnsi="仿宋" w:eastAsia="仿宋" w:cs="仿宋"/>
                <w:sz w:val="21"/>
                <w:szCs w:val="21"/>
              </w:rPr>
              <w:t>（2）熟悉影响幼儿园课程实施的因素</w:t>
            </w:r>
          </w:p>
          <w:p w14:paraId="76FEAD18">
            <w:pPr>
              <w:rPr>
                <w:rFonts w:hint="eastAsia" w:ascii="仿宋" w:hAnsi="仿宋" w:eastAsia="仿宋" w:cs="仿宋"/>
                <w:sz w:val="21"/>
                <w:szCs w:val="21"/>
              </w:rPr>
            </w:pPr>
            <w:r>
              <w:rPr>
                <w:rFonts w:hint="eastAsia" w:ascii="仿宋" w:hAnsi="仿宋" w:eastAsia="仿宋" w:cs="仿宋"/>
                <w:sz w:val="21"/>
                <w:szCs w:val="21"/>
              </w:rPr>
              <w:t>（3）掌握幼儿园课程实施的途径</w:t>
            </w:r>
          </w:p>
          <w:p w14:paraId="27DF07BB">
            <w:pPr>
              <w:rPr>
                <w:rFonts w:hint="eastAsia" w:ascii="仿宋" w:hAnsi="仿宋" w:eastAsia="仿宋" w:cs="仿宋"/>
                <w:sz w:val="21"/>
                <w:szCs w:val="21"/>
              </w:rPr>
            </w:pPr>
            <w:r>
              <w:rPr>
                <w:rFonts w:hint="eastAsia" w:ascii="仿宋" w:hAnsi="仿宋" w:eastAsia="仿宋" w:cs="仿宋"/>
                <w:sz w:val="21"/>
                <w:szCs w:val="21"/>
              </w:rPr>
              <w:t>（4）掌握组织和实施幼儿园课程的方法</w:t>
            </w:r>
          </w:p>
          <w:p w14:paraId="32384F0D">
            <w:pPr>
              <w:rPr>
                <w:rFonts w:hint="eastAsia" w:ascii="仿宋" w:hAnsi="仿宋" w:eastAsia="仿宋" w:cs="仿宋"/>
                <w:sz w:val="21"/>
                <w:szCs w:val="21"/>
              </w:rPr>
            </w:pPr>
            <w:r>
              <w:rPr>
                <w:rFonts w:hint="eastAsia" w:ascii="仿宋" w:hAnsi="仿宋" w:eastAsia="仿宋" w:cs="仿宋"/>
                <w:sz w:val="21"/>
                <w:szCs w:val="21"/>
              </w:rPr>
              <w:t>（5）能根据课程设计方案和幼儿的特点组织不同的教育活动</w:t>
            </w:r>
          </w:p>
          <w:p w14:paraId="6E252109">
            <w:pPr>
              <w:rPr>
                <w:rFonts w:hint="eastAsia" w:ascii="仿宋" w:hAnsi="仿宋" w:eastAsia="仿宋" w:cs="仿宋"/>
                <w:bCs/>
                <w:sz w:val="21"/>
                <w:szCs w:val="21"/>
              </w:rPr>
            </w:pPr>
            <w:r>
              <w:rPr>
                <w:rFonts w:hint="eastAsia" w:ascii="仿宋" w:hAnsi="仿宋" w:eastAsia="仿宋" w:cs="仿宋"/>
                <w:sz w:val="21"/>
                <w:szCs w:val="21"/>
              </w:rPr>
              <w:t>（6）能从经典幼儿园课程方案中吸取精华用于实践</w:t>
            </w:r>
          </w:p>
        </w:tc>
        <w:tc>
          <w:tcPr>
            <w:tcW w:w="682" w:type="dxa"/>
            <w:tcBorders>
              <w:left w:val="single" w:color="auto" w:sz="4" w:space="0"/>
              <w:right w:val="single" w:color="auto" w:sz="4" w:space="0"/>
            </w:tcBorders>
            <w:vAlign w:val="center"/>
          </w:tcPr>
          <w:p w14:paraId="21713FD8">
            <w:pPr>
              <w:widowControl/>
              <w:jc w:val="center"/>
              <w:rPr>
                <w:rFonts w:hint="eastAsia" w:ascii="仿宋" w:hAnsi="仿宋" w:eastAsia="仿宋" w:cs="仿宋"/>
                <w:sz w:val="21"/>
                <w:szCs w:val="21"/>
              </w:rPr>
            </w:pPr>
            <w:r>
              <w:rPr>
                <w:rFonts w:hint="eastAsia" w:ascii="仿宋" w:hAnsi="仿宋" w:eastAsia="仿宋" w:cs="仿宋"/>
                <w:sz w:val="21"/>
                <w:szCs w:val="21"/>
              </w:rPr>
              <w:t>4</w:t>
            </w:r>
          </w:p>
        </w:tc>
        <w:tc>
          <w:tcPr>
            <w:tcW w:w="765" w:type="dxa"/>
            <w:tcBorders>
              <w:left w:val="single" w:color="auto" w:sz="4" w:space="0"/>
            </w:tcBorders>
            <w:vAlign w:val="center"/>
          </w:tcPr>
          <w:p w14:paraId="10AB18C3">
            <w:pPr>
              <w:widowControl/>
              <w:jc w:val="center"/>
              <w:rPr>
                <w:rFonts w:hint="eastAsia" w:ascii="仿宋" w:hAnsi="仿宋" w:eastAsia="仿宋" w:cs="仿宋"/>
                <w:sz w:val="21"/>
                <w:szCs w:val="21"/>
              </w:rPr>
            </w:pPr>
            <w:r>
              <w:rPr>
                <w:rFonts w:hint="eastAsia" w:ascii="仿宋" w:hAnsi="仿宋" w:eastAsia="仿宋" w:cs="仿宋"/>
                <w:sz w:val="21"/>
                <w:szCs w:val="21"/>
              </w:rPr>
              <w:t>2</w:t>
            </w:r>
          </w:p>
        </w:tc>
      </w:tr>
      <w:tr w14:paraId="1FE4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709" w:type="dxa"/>
            <w:vMerge w:val="continue"/>
            <w:tcBorders>
              <w:left w:val="single" w:color="auto" w:sz="4" w:space="0"/>
              <w:right w:val="single" w:color="auto" w:sz="4" w:space="0"/>
            </w:tcBorders>
            <w:vAlign w:val="center"/>
          </w:tcPr>
          <w:p w14:paraId="1BD4F3DB">
            <w:pPr>
              <w:widowControl/>
              <w:jc w:val="left"/>
              <w:rPr>
                <w:rFonts w:hint="eastAsia" w:ascii="仿宋" w:hAnsi="仿宋" w:eastAsia="仿宋" w:cs="仿宋"/>
                <w:sz w:val="21"/>
                <w:szCs w:val="21"/>
              </w:rPr>
            </w:pPr>
          </w:p>
        </w:tc>
        <w:tc>
          <w:tcPr>
            <w:tcW w:w="2155" w:type="dxa"/>
            <w:tcBorders>
              <w:top w:val="single" w:color="auto" w:sz="4" w:space="0"/>
              <w:left w:val="single" w:color="auto" w:sz="4" w:space="0"/>
              <w:right w:val="single" w:color="auto" w:sz="4" w:space="0"/>
            </w:tcBorders>
            <w:vAlign w:val="center"/>
          </w:tcPr>
          <w:p w14:paraId="1C1FF93C">
            <w:pPr>
              <w:jc w:val="center"/>
              <w:rPr>
                <w:rFonts w:hint="eastAsia" w:ascii="仿宋" w:hAnsi="仿宋" w:eastAsia="仿宋" w:cs="仿宋"/>
                <w:sz w:val="21"/>
                <w:szCs w:val="21"/>
              </w:rPr>
            </w:pPr>
            <w:r>
              <w:rPr>
                <w:rFonts w:hint="eastAsia" w:ascii="仿宋" w:hAnsi="仿宋" w:eastAsia="仿宋" w:cs="仿宋"/>
                <w:sz w:val="21"/>
                <w:szCs w:val="21"/>
              </w:rPr>
              <w:t>有始有终—幼儿园课程的评价</w:t>
            </w:r>
          </w:p>
        </w:tc>
        <w:tc>
          <w:tcPr>
            <w:tcW w:w="1645" w:type="dxa"/>
            <w:tcBorders>
              <w:top w:val="single" w:color="auto" w:sz="4" w:space="0"/>
              <w:left w:val="single" w:color="auto" w:sz="4" w:space="0"/>
              <w:right w:val="single" w:color="auto" w:sz="4" w:space="0"/>
            </w:tcBorders>
            <w:vAlign w:val="center"/>
          </w:tcPr>
          <w:p w14:paraId="6C97F5FE">
            <w:pPr>
              <w:rPr>
                <w:rFonts w:hint="eastAsia" w:ascii="仿宋" w:hAnsi="仿宋" w:eastAsia="仿宋" w:cs="仿宋"/>
                <w:bCs/>
                <w:sz w:val="21"/>
                <w:szCs w:val="21"/>
              </w:rPr>
            </w:pPr>
            <w:r>
              <w:rPr>
                <w:rFonts w:hint="eastAsia" w:ascii="仿宋" w:hAnsi="仿宋" w:eastAsia="仿宋" w:cs="仿宋"/>
                <w:bCs/>
                <w:sz w:val="21"/>
                <w:szCs w:val="21"/>
              </w:rPr>
              <w:t>（1）了解幼儿园课程评价的基本原理</w:t>
            </w:r>
          </w:p>
          <w:p w14:paraId="292143CA">
            <w:pPr>
              <w:rPr>
                <w:rFonts w:hint="eastAsia" w:ascii="仿宋" w:hAnsi="仿宋" w:eastAsia="仿宋" w:cs="仿宋"/>
                <w:bCs/>
                <w:sz w:val="21"/>
                <w:szCs w:val="21"/>
              </w:rPr>
            </w:pPr>
            <w:r>
              <w:rPr>
                <w:rFonts w:hint="eastAsia" w:ascii="仿宋" w:hAnsi="仿宋" w:eastAsia="仿宋" w:cs="仿宋"/>
                <w:bCs/>
                <w:sz w:val="21"/>
                <w:szCs w:val="21"/>
              </w:rPr>
              <w:t>（2）开展幼儿园课程评价</w:t>
            </w:r>
          </w:p>
        </w:tc>
        <w:tc>
          <w:tcPr>
            <w:tcW w:w="2862" w:type="dxa"/>
            <w:tcBorders>
              <w:top w:val="single" w:color="auto" w:sz="4" w:space="0"/>
              <w:left w:val="single" w:color="auto" w:sz="4" w:space="0"/>
              <w:right w:val="single" w:color="auto" w:sz="4" w:space="0"/>
            </w:tcBorders>
          </w:tcPr>
          <w:p w14:paraId="37804619">
            <w:pPr>
              <w:rPr>
                <w:rFonts w:hint="eastAsia" w:ascii="仿宋" w:hAnsi="仿宋" w:eastAsia="仿宋" w:cs="仿宋"/>
                <w:sz w:val="21"/>
                <w:szCs w:val="21"/>
              </w:rPr>
            </w:pPr>
            <w:r>
              <w:rPr>
                <w:rFonts w:hint="eastAsia" w:ascii="仿宋" w:hAnsi="仿宋" w:eastAsia="仿宋" w:cs="仿宋"/>
                <w:sz w:val="21"/>
                <w:szCs w:val="21"/>
              </w:rPr>
              <w:t>（1）了解幼儿园课程评价的含义、作用、要素和类型</w:t>
            </w:r>
          </w:p>
          <w:p w14:paraId="4F0DFA7B">
            <w:pPr>
              <w:rPr>
                <w:rFonts w:hint="eastAsia" w:ascii="仿宋" w:hAnsi="仿宋" w:eastAsia="仿宋" w:cs="仿宋"/>
                <w:sz w:val="21"/>
                <w:szCs w:val="21"/>
              </w:rPr>
            </w:pPr>
            <w:r>
              <w:rPr>
                <w:rFonts w:hint="eastAsia" w:ascii="仿宋" w:hAnsi="仿宋" w:eastAsia="仿宋" w:cs="仿宋"/>
                <w:sz w:val="21"/>
                <w:szCs w:val="21"/>
              </w:rPr>
              <w:t>（2）掌握幼儿园课程评价的原则和基本流程</w:t>
            </w:r>
          </w:p>
          <w:p w14:paraId="075F8E53">
            <w:pPr>
              <w:rPr>
                <w:rFonts w:hint="eastAsia" w:ascii="仿宋" w:hAnsi="仿宋" w:eastAsia="仿宋" w:cs="仿宋"/>
                <w:sz w:val="21"/>
                <w:szCs w:val="21"/>
              </w:rPr>
            </w:pPr>
            <w:r>
              <w:rPr>
                <w:rFonts w:hint="eastAsia" w:ascii="仿宋" w:hAnsi="仿宋" w:eastAsia="仿宋" w:cs="仿宋"/>
                <w:sz w:val="21"/>
                <w:szCs w:val="21"/>
              </w:rPr>
              <w:t>（3）掌握开展幼儿园课程评价的方法</w:t>
            </w:r>
          </w:p>
          <w:p w14:paraId="6E9E6690">
            <w:pPr>
              <w:rPr>
                <w:rFonts w:hint="eastAsia" w:ascii="仿宋" w:hAnsi="仿宋" w:eastAsia="仿宋" w:cs="仿宋"/>
                <w:sz w:val="21"/>
                <w:szCs w:val="21"/>
              </w:rPr>
            </w:pPr>
            <w:r>
              <w:rPr>
                <w:rFonts w:hint="eastAsia" w:ascii="仿宋" w:hAnsi="仿宋" w:eastAsia="仿宋" w:cs="仿宋"/>
                <w:sz w:val="21"/>
                <w:szCs w:val="21"/>
              </w:rPr>
              <w:t>（4）能运用观察、访谈、调查等多种评价方法进行幼儿园课程评价</w:t>
            </w:r>
          </w:p>
          <w:p w14:paraId="11A93D5B">
            <w:pPr>
              <w:rPr>
                <w:rFonts w:hint="eastAsia" w:ascii="仿宋" w:hAnsi="仿宋" w:eastAsia="仿宋" w:cs="仿宋"/>
                <w:bCs/>
                <w:sz w:val="21"/>
                <w:szCs w:val="21"/>
              </w:rPr>
            </w:pPr>
            <w:r>
              <w:rPr>
                <w:rFonts w:hint="eastAsia" w:ascii="仿宋" w:hAnsi="仿宋" w:eastAsia="仿宋" w:cs="仿宋"/>
                <w:sz w:val="21"/>
                <w:szCs w:val="21"/>
              </w:rPr>
              <w:t>（5）能正确看待和利用评价结果，并推动幼儿园课程的持续优化</w:t>
            </w:r>
          </w:p>
        </w:tc>
        <w:tc>
          <w:tcPr>
            <w:tcW w:w="682" w:type="dxa"/>
            <w:tcBorders>
              <w:top w:val="single" w:color="auto" w:sz="4" w:space="0"/>
              <w:left w:val="single" w:color="auto" w:sz="4" w:space="0"/>
              <w:right w:val="single" w:color="auto" w:sz="4" w:space="0"/>
            </w:tcBorders>
            <w:vAlign w:val="center"/>
          </w:tcPr>
          <w:p w14:paraId="24A37545">
            <w:pPr>
              <w:jc w:val="center"/>
              <w:rPr>
                <w:rFonts w:hint="eastAsia" w:ascii="仿宋" w:hAnsi="仿宋" w:eastAsia="仿宋" w:cs="仿宋"/>
                <w:sz w:val="21"/>
                <w:szCs w:val="21"/>
              </w:rPr>
            </w:pPr>
            <w:r>
              <w:rPr>
                <w:rFonts w:hint="eastAsia" w:ascii="仿宋" w:hAnsi="仿宋" w:eastAsia="仿宋" w:cs="仿宋"/>
                <w:sz w:val="21"/>
                <w:szCs w:val="21"/>
              </w:rPr>
              <w:t>4</w:t>
            </w:r>
          </w:p>
        </w:tc>
        <w:tc>
          <w:tcPr>
            <w:tcW w:w="765" w:type="dxa"/>
            <w:tcBorders>
              <w:left w:val="single" w:color="auto" w:sz="4" w:space="0"/>
            </w:tcBorders>
            <w:vAlign w:val="center"/>
          </w:tcPr>
          <w:p w14:paraId="2DD6AE29">
            <w:pPr>
              <w:widowControl/>
              <w:jc w:val="center"/>
              <w:rPr>
                <w:rFonts w:hint="eastAsia" w:ascii="仿宋" w:hAnsi="仿宋" w:eastAsia="仿宋" w:cs="仿宋"/>
                <w:sz w:val="21"/>
                <w:szCs w:val="21"/>
              </w:rPr>
            </w:pPr>
            <w:r>
              <w:rPr>
                <w:rFonts w:hint="eastAsia" w:ascii="仿宋" w:hAnsi="仿宋" w:eastAsia="仿宋" w:cs="仿宋"/>
                <w:sz w:val="21"/>
                <w:szCs w:val="21"/>
              </w:rPr>
              <w:t>2</w:t>
            </w:r>
          </w:p>
        </w:tc>
      </w:tr>
      <w:tr w14:paraId="1A992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709" w:type="dxa"/>
            <w:vMerge w:val="continue"/>
            <w:tcBorders>
              <w:left w:val="single" w:color="auto" w:sz="4" w:space="0"/>
              <w:right w:val="single" w:color="auto" w:sz="4" w:space="0"/>
            </w:tcBorders>
            <w:vAlign w:val="center"/>
          </w:tcPr>
          <w:p w14:paraId="17AF8571">
            <w:pPr>
              <w:widowControl/>
              <w:jc w:val="left"/>
              <w:rPr>
                <w:rFonts w:hint="eastAsia" w:ascii="仿宋" w:hAnsi="仿宋" w:eastAsia="仿宋" w:cs="仿宋"/>
                <w:sz w:val="21"/>
                <w:szCs w:val="21"/>
              </w:rPr>
            </w:pPr>
          </w:p>
        </w:tc>
        <w:tc>
          <w:tcPr>
            <w:tcW w:w="2155" w:type="dxa"/>
            <w:tcBorders>
              <w:top w:val="single" w:color="auto" w:sz="4" w:space="0"/>
              <w:left w:val="single" w:color="auto" w:sz="4" w:space="0"/>
              <w:bottom w:val="single" w:color="auto" w:sz="4" w:space="0"/>
              <w:right w:val="single" w:color="auto" w:sz="4" w:space="0"/>
            </w:tcBorders>
            <w:vAlign w:val="center"/>
          </w:tcPr>
          <w:p w14:paraId="464A18B0">
            <w:pPr>
              <w:jc w:val="center"/>
              <w:rPr>
                <w:rFonts w:hint="eastAsia" w:ascii="仿宋" w:hAnsi="仿宋" w:eastAsia="仿宋" w:cs="仿宋"/>
                <w:sz w:val="21"/>
                <w:szCs w:val="21"/>
              </w:rPr>
            </w:pPr>
            <w:r>
              <w:rPr>
                <w:rFonts w:hint="eastAsia" w:ascii="仿宋" w:hAnsi="仿宋" w:eastAsia="仿宋" w:cs="仿宋"/>
                <w:sz w:val="21"/>
                <w:szCs w:val="21"/>
              </w:rPr>
              <w:t>开拓创新—幼儿园特色课程的开发</w:t>
            </w:r>
          </w:p>
        </w:tc>
        <w:tc>
          <w:tcPr>
            <w:tcW w:w="1645" w:type="dxa"/>
            <w:tcBorders>
              <w:top w:val="single" w:color="auto" w:sz="4" w:space="0"/>
              <w:left w:val="single" w:color="auto" w:sz="4" w:space="0"/>
              <w:bottom w:val="single" w:color="auto" w:sz="4" w:space="0"/>
              <w:right w:val="single" w:color="auto" w:sz="4" w:space="0"/>
            </w:tcBorders>
            <w:vAlign w:val="center"/>
          </w:tcPr>
          <w:p w14:paraId="705AC7AB">
            <w:pPr>
              <w:rPr>
                <w:rFonts w:hint="eastAsia" w:ascii="仿宋" w:hAnsi="仿宋" w:eastAsia="仿宋" w:cs="仿宋"/>
                <w:bCs/>
                <w:sz w:val="21"/>
                <w:szCs w:val="21"/>
              </w:rPr>
            </w:pPr>
            <w:r>
              <w:rPr>
                <w:rFonts w:hint="eastAsia" w:ascii="仿宋" w:hAnsi="仿宋" w:eastAsia="仿宋" w:cs="仿宋"/>
                <w:bCs/>
                <w:sz w:val="21"/>
                <w:szCs w:val="21"/>
              </w:rPr>
              <w:t>（1）开发园本课程</w:t>
            </w:r>
          </w:p>
          <w:p w14:paraId="2AA3191E">
            <w:pPr>
              <w:rPr>
                <w:rFonts w:hint="eastAsia" w:ascii="仿宋" w:hAnsi="仿宋" w:eastAsia="仿宋" w:cs="仿宋"/>
                <w:bCs/>
                <w:sz w:val="21"/>
                <w:szCs w:val="21"/>
              </w:rPr>
            </w:pPr>
            <w:r>
              <w:rPr>
                <w:rFonts w:hint="eastAsia" w:ascii="仿宋" w:hAnsi="仿宋" w:eastAsia="仿宋" w:cs="仿宋"/>
                <w:bCs/>
                <w:sz w:val="21"/>
                <w:szCs w:val="21"/>
              </w:rPr>
              <w:t>（2）开发班本课程</w:t>
            </w:r>
          </w:p>
        </w:tc>
        <w:tc>
          <w:tcPr>
            <w:tcW w:w="2862" w:type="dxa"/>
            <w:tcBorders>
              <w:top w:val="single" w:color="auto" w:sz="4" w:space="0"/>
              <w:left w:val="single" w:color="auto" w:sz="4" w:space="0"/>
              <w:bottom w:val="single" w:color="auto" w:sz="4" w:space="0"/>
              <w:right w:val="single" w:color="auto" w:sz="4" w:space="0"/>
            </w:tcBorders>
            <w:vAlign w:val="center"/>
          </w:tcPr>
          <w:p w14:paraId="195ECA57">
            <w:pPr>
              <w:rPr>
                <w:rFonts w:hint="eastAsia" w:ascii="仿宋" w:hAnsi="仿宋" w:eastAsia="仿宋" w:cs="仿宋"/>
                <w:sz w:val="21"/>
                <w:szCs w:val="21"/>
              </w:rPr>
            </w:pPr>
            <w:r>
              <w:rPr>
                <w:rFonts w:hint="eastAsia" w:ascii="仿宋" w:hAnsi="仿宋" w:eastAsia="仿宋" w:cs="仿宋"/>
                <w:sz w:val="21"/>
                <w:szCs w:val="21"/>
              </w:rPr>
              <w:t>（1）了解园本课程的含义和类型</w:t>
            </w:r>
          </w:p>
          <w:p w14:paraId="6485236D">
            <w:pPr>
              <w:rPr>
                <w:rFonts w:hint="eastAsia" w:ascii="仿宋" w:hAnsi="仿宋" w:eastAsia="仿宋" w:cs="仿宋"/>
                <w:sz w:val="21"/>
                <w:szCs w:val="21"/>
              </w:rPr>
            </w:pPr>
            <w:r>
              <w:rPr>
                <w:rFonts w:hint="eastAsia" w:ascii="仿宋" w:hAnsi="仿宋" w:eastAsia="仿宋" w:cs="仿宋"/>
                <w:sz w:val="21"/>
                <w:szCs w:val="21"/>
              </w:rPr>
              <w:t>（2）了解园本课程的开发思路和流程</w:t>
            </w:r>
          </w:p>
          <w:p w14:paraId="1FEB7306">
            <w:pPr>
              <w:rPr>
                <w:rFonts w:hint="eastAsia" w:ascii="仿宋" w:hAnsi="仿宋" w:eastAsia="仿宋" w:cs="仿宋"/>
                <w:sz w:val="21"/>
                <w:szCs w:val="21"/>
              </w:rPr>
            </w:pPr>
            <w:r>
              <w:rPr>
                <w:rFonts w:hint="eastAsia" w:ascii="仿宋" w:hAnsi="仿宋" w:eastAsia="仿宋" w:cs="仿宋"/>
                <w:sz w:val="21"/>
                <w:szCs w:val="21"/>
              </w:rPr>
              <w:t>（3）了解班本课程的含义、开发思路和流程</w:t>
            </w:r>
          </w:p>
          <w:p w14:paraId="6AB0AA41">
            <w:pPr>
              <w:rPr>
                <w:rFonts w:hint="eastAsia" w:ascii="仿宋" w:hAnsi="仿宋" w:eastAsia="仿宋" w:cs="仿宋"/>
                <w:sz w:val="21"/>
                <w:szCs w:val="21"/>
              </w:rPr>
            </w:pPr>
            <w:r>
              <w:rPr>
                <w:rFonts w:hint="eastAsia" w:ascii="仿宋" w:hAnsi="仿宋" w:eastAsia="仿宋" w:cs="仿宋"/>
                <w:sz w:val="21"/>
                <w:szCs w:val="21"/>
              </w:rPr>
              <w:t>（4）能从实际出发，正确分析幼儿的需求和幼儿园的资源条件</w:t>
            </w:r>
          </w:p>
          <w:p w14:paraId="23A1E005">
            <w:pPr>
              <w:rPr>
                <w:rFonts w:hint="eastAsia" w:ascii="仿宋" w:hAnsi="仿宋" w:eastAsia="仿宋" w:cs="仿宋"/>
                <w:bCs/>
                <w:sz w:val="21"/>
                <w:szCs w:val="21"/>
              </w:rPr>
            </w:pPr>
            <w:r>
              <w:rPr>
                <w:rFonts w:hint="eastAsia" w:ascii="仿宋" w:hAnsi="仿宋" w:eastAsia="仿宋" w:cs="仿宋"/>
                <w:sz w:val="21"/>
                <w:szCs w:val="21"/>
              </w:rPr>
              <w:t>（5）能有效利用各种资源开发幼儿园特色课程</w:t>
            </w:r>
          </w:p>
        </w:tc>
        <w:tc>
          <w:tcPr>
            <w:tcW w:w="682" w:type="dxa"/>
            <w:tcBorders>
              <w:top w:val="single" w:color="auto" w:sz="4" w:space="0"/>
              <w:left w:val="single" w:color="auto" w:sz="4" w:space="0"/>
              <w:bottom w:val="single" w:color="auto" w:sz="4" w:space="0"/>
              <w:right w:val="single" w:color="auto" w:sz="4" w:space="0"/>
            </w:tcBorders>
            <w:vAlign w:val="center"/>
          </w:tcPr>
          <w:p w14:paraId="141BEF9E">
            <w:pPr>
              <w:jc w:val="center"/>
              <w:rPr>
                <w:rFonts w:hint="eastAsia" w:ascii="仿宋" w:hAnsi="仿宋" w:eastAsia="仿宋" w:cs="仿宋"/>
                <w:color w:val="FF0000"/>
                <w:sz w:val="21"/>
                <w:szCs w:val="21"/>
              </w:rPr>
            </w:pPr>
            <w:r>
              <w:rPr>
                <w:rFonts w:hint="eastAsia" w:ascii="仿宋" w:hAnsi="仿宋" w:eastAsia="仿宋" w:cs="仿宋"/>
                <w:sz w:val="21"/>
                <w:szCs w:val="21"/>
              </w:rPr>
              <w:t>4</w:t>
            </w:r>
          </w:p>
        </w:tc>
        <w:tc>
          <w:tcPr>
            <w:tcW w:w="765" w:type="dxa"/>
            <w:tcBorders>
              <w:left w:val="single" w:color="auto" w:sz="4" w:space="0"/>
            </w:tcBorders>
            <w:vAlign w:val="center"/>
          </w:tcPr>
          <w:p w14:paraId="0EC44509">
            <w:pPr>
              <w:widowControl/>
              <w:jc w:val="center"/>
              <w:rPr>
                <w:rFonts w:hint="eastAsia" w:ascii="仿宋" w:hAnsi="仿宋" w:eastAsia="仿宋" w:cs="仿宋"/>
                <w:sz w:val="21"/>
                <w:szCs w:val="21"/>
              </w:rPr>
            </w:pPr>
            <w:r>
              <w:rPr>
                <w:rFonts w:hint="eastAsia" w:ascii="仿宋" w:hAnsi="仿宋" w:eastAsia="仿宋" w:cs="仿宋"/>
                <w:sz w:val="21"/>
                <w:szCs w:val="21"/>
              </w:rPr>
              <w:t>2</w:t>
            </w:r>
          </w:p>
        </w:tc>
      </w:tr>
      <w:tr w14:paraId="4456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709" w:type="dxa"/>
            <w:vMerge w:val="continue"/>
            <w:tcBorders>
              <w:left w:val="single" w:color="auto" w:sz="4" w:space="0"/>
              <w:right w:val="single" w:color="auto" w:sz="4" w:space="0"/>
            </w:tcBorders>
            <w:vAlign w:val="center"/>
          </w:tcPr>
          <w:p w14:paraId="3DAD41C2">
            <w:pPr>
              <w:widowControl/>
              <w:jc w:val="left"/>
              <w:rPr>
                <w:rFonts w:hint="eastAsia" w:ascii="仿宋" w:hAnsi="仿宋" w:eastAsia="仿宋" w:cs="仿宋"/>
                <w:sz w:val="21"/>
                <w:szCs w:val="21"/>
              </w:rPr>
            </w:pPr>
          </w:p>
        </w:tc>
        <w:tc>
          <w:tcPr>
            <w:tcW w:w="6662" w:type="dxa"/>
            <w:gridSpan w:val="3"/>
            <w:tcBorders>
              <w:top w:val="single" w:color="auto" w:sz="4" w:space="0"/>
              <w:left w:val="single" w:color="auto" w:sz="4" w:space="0"/>
              <w:right w:val="single" w:color="auto" w:sz="4" w:space="0"/>
            </w:tcBorders>
            <w:vAlign w:val="center"/>
          </w:tcPr>
          <w:p w14:paraId="3AC088A4">
            <w:pPr>
              <w:jc w:val="center"/>
              <w:rPr>
                <w:rFonts w:hint="default" w:ascii="仿宋" w:hAnsi="仿宋" w:eastAsia="仿宋" w:cs="仿宋"/>
                <w:bCs/>
                <w:sz w:val="21"/>
                <w:szCs w:val="21"/>
                <w:lang w:val="en-US" w:eastAsia="zh-CN"/>
              </w:rPr>
            </w:pPr>
            <w:r>
              <w:rPr>
                <w:rFonts w:hint="eastAsia" w:ascii="仿宋" w:hAnsi="仿宋" w:eastAsia="仿宋" w:cs="仿宋"/>
                <w:bCs/>
                <w:sz w:val="21"/>
                <w:szCs w:val="21"/>
                <w:lang w:val="en-US" w:eastAsia="zh-CN"/>
              </w:rPr>
              <w:t>专项学习</w:t>
            </w:r>
          </w:p>
        </w:tc>
        <w:tc>
          <w:tcPr>
            <w:tcW w:w="1447" w:type="dxa"/>
            <w:gridSpan w:val="2"/>
            <w:tcBorders>
              <w:top w:val="single" w:color="auto" w:sz="4" w:space="0"/>
              <w:left w:val="single" w:color="auto" w:sz="4" w:space="0"/>
            </w:tcBorders>
            <w:vAlign w:val="center"/>
          </w:tcPr>
          <w:p w14:paraId="0746DB44">
            <w:pPr>
              <w:widowControl/>
              <w:jc w:val="center"/>
              <w:rPr>
                <w:rFonts w:hint="eastAsia" w:ascii="仿宋" w:hAnsi="仿宋" w:eastAsia="仿宋" w:cs="仿宋"/>
                <w:sz w:val="21"/>
                <w:szCs w:val="21"/>
                <w:lang w:eastAsia="zh-CN"/>
              </w:rPr>
            </w:pPr>
            <w:r>
              <w:rPr>
                <w:rFonts w:hint="eastAsia" w:ascii="仿宋" w:hAnsi="仿宋" w:eastAsia="仿宋" w:cs="仿宋"/>
                <w:sz w:val="21"/>
                <w:szCs w:val="21"/>
                <w:lang w:val="en-US" w:eastAsia="zh-CN"/>
              </w:rPr>
              <w:t>6</w:t>
            </w:r>
          </w:p>
        </w:tc>
      </w:tr>
      <w:tr w14:paraId="7381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709" w:type="dxa"/>
            <w:vMerge w:val="continue"/>
            <w:tcBorders>
              <w:left w:val="single" w:color="auto" w:sz="4" w:space="0"/>
              <w:right w:val="single" w:color="auto" w:sz="4" w:space="0"/>
            </w:tcBorders>
            <w:vAlign w:val="center"/>
          </w:tcPr>
          <w:p w14:paraId="6FCA9161">
            <w:pPr>
              <w:widowControl/>
              <w:jc w:val="left"/>
              <w:rPr>
                <w:rFonts w:hint="eastAsia" w:ascii="仿宋" w:hAnsi="仿宋" w:eastAsia="仿宋" w:cs="仿宋"/>
                <w:sz w:val="21"/>
                <w:szCs w:val="21"/>
              </w:rPr>
            </w:pPr>
          </w:p>
        </w:tc>
        <w:tc>
          <w:tcPr>
            <w:tcW w:w="6662" w:type="dxa"/>
            <w:gridSpan w:val="3"/>
            <w:tcBorders>
              <w:top w:val="single" w:color="auto" w:sz="4" w:space="0"/>
              <w:left w:val="single" w:color="auto" w:sz="4" w:space="0"/>
              <w:right w:val="single" w:color="auto" w:sz="4" w:space="0"/>
            </w:tcBorders>
            <w:vAlign w:val="center"/>
          </w:tcPr>
          <w:p w14:paraId="0820D1C1">
            <w:pPr>
              <w:jc w:val="center"/>
              <w:rPr>
                <w:rFonts w:hint="eastAsia" w:ascii="仿宋" w:hAnsi="仿宋" w:eastAsia="仿宋" w:cs="仿宋"/>
                <w:bCs/>
                <w:sz w:val="21"/>
                <w:szCs w:val="21"/>
              </w:rPr>
            </w:pPr>
            <w:r>
              <w:rPr>
                <w:rFonts w:hint="eastAsia" w:ascii="仿宋" w:hAnsi="仿宋" w:eastAsia="仿宋" w:cs="仿宋"/>
                <w:bCs/>
                <w:sz w:val="21"/>
                <w:szCs w:val="21"/>
              </w:rPr>
              <w:t>合计</w:t>
            </w:r>
          </w:p>
        </w:tc>
        <w:tc>
          <w:tcPr>
            <w:tcW w:w="1447" w:type="dxa"/>
            <w:gridSpan w:val="2"/>
            <w:tcBorders>
              <w:top w:val="single" w:color="auto" w:sz="4" w:space="0"/>
              <w:left w:val="single" w:color="auto" w:sz="4" w:space="0"/>
            </w:tcBorders>
            <w:vAlign w:val="center"/>
          </w:tcPr>
          <w:p w14:paraId="34C48DCF">
            <w:pPr>
              <w:widowControl/>
              <w:jc w:val="center"/>
              <w:rPr>
                <w:rFonts w:hint="eastAsia" w:ascii="仿宋" w:hAnsi="仿宋" w:eastAsia="仿宋" w:cs="仿宋"/>
                <w:sz w:val="21"/>
                <w:szCs w:val="21"/>
                <w:lang w:eastAsia="zh-CN"/>
              </w:rPr>
            </w:pPr>
            <w:r>
              <w:rPr>
                <w:rFonts w:hint="eastAsia" w:ascii="仿宋" w:hAnsi="仿宋" w:eastAsia="仿宋" w:cs="仿宋"/>
                <w:sz w:val="21"/>
                <w:szCs w:val="21"/>
              </w:rPr>
              <w:t>3</w:t>
            </w:r>
            <w:r>
              <w:rPr>
                <w:rFonts w:hint="eastAsia" w:ascii="仿宋" w:hAnsi="仿宋" w:eastAsia="仿宋" w:cs="仿宋"/>
                <w:sz w:val="21"/>
                <w:szCs w:val="21"/>
                <w:lang w:val="en-US" w:eastAsia="zh-CN"/>
              </w:rPr>
              <w:t>6</w:t>
            </w:r>
          </w:p>
        </w:tc>
      </w:tr>
    </w:tbl>
    <w:p w14:paraId="36150E3F">
      <w:pPr>
        <w:keepNext w:val="0"/>
        <w:keepLines w:val="0"/>
        <w:pageBreakBefore w:val="0"/>
        <w:widowControl w:val="0"/>
        <w:numPr>
          <w:numId w:val="0"/>
        </w:numPr>
        <w:kinsoku/>
        <w:wordWrap/>
        <w:overflowPunct/>
        <w:topLinePunct w:val="0"/>
        <w:autoSpaceDE/>
        <w:autoSpaceDN/>
        <w:bidi w:val="0"/>
        <w:adjustRightInd w:val="0"/>
        <w:snapToGrid w:val="0"/>
        <w:spacing w:line="360" w:lineRule="auto"/>
        <w:jc w:val="center"/>
        <w:textAlignment w:val="auto"/>
        <w:rPr>
          <w:rFonts w:hint="eastAsia" w:ascii="仿宋" w:hAnsi="仿宋" w:eastAsia="仿宋" w:cs="仿宋"/>
          <w:b w:val="0"/>
          <w:bCs w:val="0"/>
          <w:sz w:val="32"/>
          <w:szCs w:val="32"/>
          <w:lang w:val="en-US" w:eastAsia="zh-CN"/>
        </w:rPr>
      </w:pPr>
    </w:p>
    <w:p w14:paraId="024AA718">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教学实施的建议</w:t>
      </w:r>
    </w:p>
    <w:p w14:paraId="7F134972">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教材选用和编写建议</w:t>
      </w:r>
    </w:p>
    <w:p w14:paraId="00D3C326">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教材编写原则与要求：</w:t>
      </w:r>
    </w:p>
    <w:p w14:paraId="60D3E36E">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（1）科学性原则，内容须符合学前教育学、儿童心理学等学科理论，确保概念准确、逻辑严谨。课程案例需基于实证研究，避免主观臆断。  </w:t>
      </w:r>
    </w:p>
    <w:p w14:paraId="54363554">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（2）实践导向原则  </w:t>
      </w:r>
    </w:p>
    <w:p w14:paraId="37775BEA">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理论阐述与幼儿园实际紧密结合，每章配置真实教学案例（如教案、幼儿活动视频片段）。设计“问题讨论”“实训任务”等栏目，促进知识向能力转化。  </w:t>
      </w:r>
    </w:p>
    <w:p w14:paraId="78849816">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（3）发展适宜性原则  </w:t>
      </w:r>
    </w:p>
    <w:p w14:paraId="619CBD3D">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内容深度匹配高职层次学生认知水平，避免过度学术化或浅表化。体现幼儿园课程改革最新动态（如STEM教育、生成课程等趋势）。  </w:t>
      </w:r>
    </w:p>
    <w:p w14:paraId="7715471D">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（4）思政融合原则  </w:t>
      </w:r>
    </w:p>
    <w:p w14:paraId="015CB686">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隐性渗透社会主义核心价值观、中华优秀传统文化（如专设“传统文化课程开发”章节）。通过案例展现师德典范，强调儿童权利保护意识。  </w:t>
      </w:r>
    </w:p>
    <w:p w14:paraId="7CA3E9E3">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教材、教学参考资料使用建议：</w:t>
      </w:r>
    </w:p>
    <w:p w14:paraId="50F8238D">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推荐教材：吴向丽、刘芳、王光雄，《幼儿园课程概论》，首都师范大学出版社。</w:t>
      </w:r>
    </w:p>
    <w:p w14:paraId="05D95A44">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教学建议</w:t>
      </w:r>
    </w:p>
    <w:p w14:paraId="694593D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师资条件：学院拥有一支经验丰富、专业素质高的师资队伍，涵盖学前教育理论、课程设计与实践等多领域的专家和教师。他们不仅在教学中提供高质量的指导，还能针对课程目标进行课程开发和创新，为学生的全面发展提供保障。</w:t>
      </w:r>
    </w:p>
    <w:p w14:paraId="4BF4EFA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2、教学设施：学院注重教学设施的完善和专业化建设，为《幼儿园课程概论》的教学提供了充分的硬件支持，包括：</w:t>
      </w:r>
    </w:p>
    <w:p w14:paraId="48AC35C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（1）多媒体教室：配备先进的投影设备和音视频系统，用于课程的多样化展示和教学；</w:t>
      </w:r>
    </w:p>
    <w:p w14:paraId="3C2FC96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（2）活动室：用于情景模拟和教学实践活动，培养学生的实际操作能力；</w:t>
      </w:r>
    </w:p>
    <w:p w14:paraId="61E9479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（3）网络教学平台：提供丰富的在线学习资源，支持随堂测试、作业提交和课程互动；</w:t>
      </w:r>
    </w:p>
    <w:p w14:paraId="3E55A96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（4）网络数据库：为学生提供课程相关的学术文献、研究成果和案例资料。</w:t>
      </w:r>
    </w:p>
    <w:p w14:paraId="330D614B">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课程资源开发与利用</w:t>
      </w:r>
    </w:p>
    <w:p w14:paraId="0753D7DA">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1、课程资源开发原则  </w:t>
      </w:r>
    </w:p>
    <w:p w14:paraId="0973266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教育性原则：资源应符合幼儿园课程目标，促进幼儿全面发展。  </w:t>
      </w:r>
    </w:p>
    <w:p w14:paraId="450BB0D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适宜性原则：资源需匹配幼儿年龄特点、认知水平和兴趣需求。  </w:t>
      </w:r>
    </w:p>
    <w:p w14:paraId="07090F9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多样性原则：整合文本、实物、数字化及社区资源，丰富课程形式。  </w:t>
      </w:r>
    </w:p>
    <w:p w14:paraId="758149A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开放性原则：鼓励师幼共同开发资源，支持生成性课程。  </w:t>
      </w:r>
    </w:p>
    <w:p w14:paraId="1E72E591">
      <w:pPr>
        <w:jc w:val="center"/>
        <w:rPr>
          <w:rFonts w:hint="eastAsia" w:ascii="仿宋" w:hAnsi="仿宋" w:eastAsia="仿宋" w:cs="仿宋"/>
          <w:sz w:val="32"/>
          <w:szCs w:val="32"/>
        </w:rPr>
      </w:pPr>
      <w:r>
        <w:rPr>
          <w:rFonts w:hint="eastAsia" w:ascii="仿宋" w:hAnsi="仿宋" w:eastAsia="仿宋" w:cs="仿宋"/>
          <w:sz w:val="32"/>
          <w:szCs w:val="32"/>
        </w:rPr>
        <w:t>主要课程资源类型及利用策略表</w:t>
      </w:r>
    </w:p>
    <w:tbl>
      <w:tblPr>
        <w:tblW w:w="5000" w:type="pct"/>
        <w:tblInd w:w="0" w:type="dxa"/>
        <w:tblLayout w:type="autofit"/>
        <w:tblCellMar>
          <w:top w:w="0" w:type="dxa"/>
          <w:left w:w="0" w:type="dxa"/>
          <w:bottom w:w="0" w:type="dxa"/>
          <w:right w:w="0" w:type="dxa"/>
        </w:tblCellMar>
      </w:tblPr>
      <w:tblGrid>
        <w:gridCol w:w="1263"/>
        <w:gridCol w:w="4733"/>
        <w:gridCol w:w="3202"/>
      </w:tblGrid>
      <w:tr w14:paraId="4D314615">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A8BA6A1">
            <w:pPr>
              <w:jc w:val="center"/>
              <w:rPr>
                <w:rFonts w:hint="eastAsia" w:ascii="仿宋" w:hAnsi="仿宋" w:eastAsia="仿宋" w:cs="仿宋"/>
                <w:b/>
              </w:rPr>
            </w:pPr>
            <w:r>
              <w:rPr>
                <w:rFonts w:hint="eastAsia" w:ascii="仿宋" w:hAnsi="仿宋" w:eastAsia="仿宋" w:cs="仿宋"/>
                <w:b/>
              </w:rPr>
              <w:t>资源类型</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86E8E42">
            <w:pPr>
              <w:jc w:val="center"/>
              <w:rPr>
                <w:rFonts w:hint="eastAsia" w:ascii="仿宋" w:hAnsi="仿宋" w:eastAsia="仿宋" w:cs="仿宋"/>
                <w:b/>
              </w:rPr>
            </w:pPr>
            <w:r>
              <w:rPr>
                <w:rFonts w:hint="eastAsia" w:ascii="仿宋" w:hAnsi="仿宋" w:eastAsia="仿宋" w:cs="仿宋"/>
                <w:b/>
              </w:rPr>
              <w:t>开发要点</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DE84BDF">
            <w:pPr>
              <w:jc w:val="center"/>
              <w:rPr>
                <w:rFonts w:hint="eastAsia" w:ascii="仿宋" w:hAnsi="仿宋" w:eastAsia="仿宋" w:cs="仿宋"/>
                <w:b/>
              </w:rPr>
            </w:pPr>
            <w:r>
              <w:rPr>
                <w:rFonts w:hint="eastAsia" w:ascii="仿宋" w:hAnsi="仿宋" w:eastAsia="仿宋" w:cs="仿宋"/>
                <w:b/>
              </w:rPr>
              <w:t>教学应用示例</w:t>
            </w:r>
          </w:p>
        </w:tc>
      </w:tr>
      <w:tr w14:paraId="3CCFF055">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F69830B">
            <w:pPr>
              <w:jc w:val="left"/>
              <w:rPr>
                <w:rFonts w:hint="eastAsia" w:ascii="仿宋" w:hAnsi="仿宋" w:eastAsia="仿宋" w:cs="仿宋"/>
              </w:rPr>
            </w:pPr>
            <w:r>
              <w:rPr>
                <w:rFonts w:hint="eastAsia" w:ascii="仿宋" w:hAnsi="仿宋" w:eastAsia="仿宋" w:cs="仿宋"/>
              </w:rPr>
              <w:t>教材与理论资源</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C383CF4">
            <w:pPr>
              <w:jc w:val="left"/>
              <w:rPr>
                <w:rFonts w:hint="eastAsia" w:ascii="仿宋" w:hAnsi="仿宋" w:eastAsia="仿宋" w:cs="仿宋"/>
              </w:rPr>
            </w:pPr>
            <w:r>
              <w:rPr>
                <w:rFonts w:hint="eastAsia" w:ascii="仿宋" w:hAnsi="仿宋" w:eastAsia="仿宋" w:cs="仿宋"/>
              </w:rPr>
              <w:t xml:space="preserve"> 以吴向丽《幼儿园课程概论》为核心教材</w:t>
            </w:r>
            <w:r>
              <w:rPr>
                <w:rFonts w:hint="eastAsia" w:ascii="仿宋" w:hAnsi="仿宋" w:eastAsia="仿宋" w:cs="仿宋"/>
              </w:rPr>
              <w:br w:type="textWrapping"/>
            </w:r>
            <w:r>
              <w:rPr>
                <w:rFonts w:hint="eastAsia" w:ascii="仿宋" w:hAnsi="仿宋" w:eastAsia="仿宋" w:cs="仿宋"/>
              </w:rPr>
              <w:t xml:space="preserve"> 补充《幼儿园教育指导纲要》《36岁儿童学习与发展指南》等政策文件</w:t>
            </w:r>
            <w:r>
              <w:rPr>
                <w:rFonts w:hint="eastAsia" w:ascii="仿宋" w:hAnsi="仿宋" w:eastAsia="仿宋" w:cs="仿宋"/>
              </w:rPr>
              <w:br w:type="textWrapping"/>
            </w:r>
            <w:r>
              <w:rPr>
                <w:rFonts w:hint="eastAsia" w:ascii="仿宋" w:hAnsi="仿宋" w:eastAsia="仿宋" w:cs="仿宋"/>
              </w:rPr>
              <w:t xml:space="preserve"> 引入蒙台梭利、高瞻课程等经典理论文献</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7D36922">
            <w:pPr>
              <w:jc w:val="left"/>
              <w:rPr>
                <w:rFonts w:hint="eastAsia" w:ascii="仿宋" w:hAnsi="仿宋" w:eastAsia="仿宋" w:cs="仿宋"/>
              </w:rPr>
            </w:pPr>
            <w:r>
              <w:rPr>
                <w:rFonts w:hint="eastAsia" w:ascii="仿宋" w:hAnsi="仿宋" w:eastAsia="仿宋" w:cs="仿宋"/>
              </w:rPr>
              <w:t xml:space="preserve"> 对比分析不同理论对课程设计的影响</w:t>
            </w:r>
            <w:r>
              <w:rPr>
                <w:rFonts w:hint="eastAsia" w:ascii="仿宋" w:hAnsi="仿宋" w:eastAsia="仿宋" w:cs="仿宋"/>
              </w:rPr>
              <w:br w:type="textWrapping"/>
            </w:r>
            <w:r>
              <w:rPr>
                <w:rFonts w:hint="eastAsia" w:ascii="仿宋" w:hAnsi="仿宋" w:eastAsia="仿宋" w:cs="仿宋"/>
              </w:rPr>
              <w:t xml:space="preserve"> 结合政策文件讨论课程目标制定依据</w:t>
            </w:r>
          </w:p>
        </w:tc>
      </w:tr>
      <w:tr w14:paraId="1EBCECC6">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39F29B7">
            <w:pPr>
              <w:jc w:val="left"/>
              <w:rPr>
                <w:rFonts w:hint="eastAsia" w:ascii="仿宋" w:hAnsi="仿宋" w:eastAsia="仿宋" w:cs="仿宋"/>
              </w:rPr>
            </w:pPr>
            <w:r>
              <w:rPr>
                <w:rFonts w:hint="eastAsia" w:ascii="仿宋" w:hAnsi="仿宋" w:eastAsia="仿宋" w:cs="仿宋"/>
              </w:rPr>
              <w:t>幼儿园实践案例</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ABEC205">
            <w:pPr>
              <w:jc w:val="left"/>
              <w:rPr>
                <w:rFonts w:hint="eastAsia" w:ascii="仿宋" w:hAnsi="仿宋" w:eastAsia="仿宋" w:cs="仿宋"/>
              </w:rPr>
            </w:pPr>
            <w:r>
              <w:rPr>
                <w:rFonts w:hint="eastAsia" w:ascii="仿宋" w:hAnsi="仿宋" w:eastAsia="仿宋" w:cs="仿宋"/>
              </w:rPr>
              <w:t xml:space="preserve"> 收集优秀幼儿园课程方案（主题课程、项目活动等）</w:t>
            </w:r>
            <w:r>
              <w:rPr>
                <w:rFonts w:hint="eastAsia" w:ascii="仿宋" w:hAnsi="仿宋" w:eastAsia="仿宋" w:cs="仿宋"/>
              </w:rPr>
              <w:br w:type="textWrapping"/>
            </w:r>
            <w:r>
              <w:rPr>
                <w:rFonts w:hint="eastAsia" w:ascii="仿宋" w:hAnsi="仿宋" w:eastAsia="仿宋" w:cs="仿宋"/>
              </w:rPr>
              <w:t xml:space="preserve"> 录制一线教师课程实施视频片段</w:t>
            </w:r>
            <w:r>
              <w:rPr>
                <w:rFonts w:hint="eastAsia" w:ascii="仿宋" w:hAnsi="仿宋" w:eastAsia="仿宋" w:cs="仿宋"/>
              </w:rPr>
              <w:br w:type="textWrapping"/>
            </w:r>
            <w:r>
              <w:rPr>
                <w:rFonts w:hint="eastAsia" w:ascii="仿宋" w:hAnsi="仿宋" w:eastAsia="仿宋" w:cs="仿宋"/>
              </w:rPr>
              <w:t xml:space="preserve"> 整理课程评价的观察记录表、幼儿作品等真实材料</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54DAC03">
            <w:pPr>
              <w:jc w:val="left"/>
              <w:rPr>
                <w:rFonts w:hint="eastAsia" w:ascii="仿宋" w:hAnsi="仿宋" w:eastAsia="仿宋" w:cs="仿宋"/>
              </w:rPr>
            </w:pPr>
            <w:r>
              <w:rPr>
                <w:rFonts w:hint="eastAsia" w:ascii="仿宋" w:hAnsi="仿宋" w:eastAsia="仿宋" w:cs="仿宋"/>
              </w:rPr>
              <w:t xml:space="preserve"> 案例研讨：分析课程设计的优缺点</w:t>
            </w:r>
            <w:r>
              <w:rPr>
                <w:rFonts w:hint="eastAsia" w:ascii="仿宋" w:hAnsi="仿宋" w:eastAsia="仿宋" w:cs="仿宋"/>
              </w:rPr>
              <w:br w:type="textWrapping"/>
            </w:r>
            <w:r>
              <w:rPr>
                <w:rFonts w:hint="eastAsia" w:ascii="仿宋" w:hAnsi="仿宋" w:eastAsia="仿宋" w:cs="仿宋"/>
              </w:rPr>
              <w:t xml:space="preserve"> 模拟练习：根据案例改编课程目标</w:t>
            </w:r>
          </w:p>
        </w:tc>
      </w:tr>
      <w:tr w14:paraId="6643DA0E">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D22D5B">
            <w:pPr>
              <w:jc w:val="left"/>
              <w:rPr>
                <w:rFonts w:hint="eastAsia" w:ascii="仿宋" w:hAnsi="仿宋" w:eastAsia="仿宋" w:cs="仿宋"/>
              </w:rPr>
            </w:pPr>
            <w:r>
              <w:rPr>
                <w:rFonts w:hint="eastAsia" w:ascii="仿宋" w:hAnsi="仿宋" w:eastAsia="仿宋" w:cs="仿宋"/>
              </w:rPr>
              <w:t>数字化资源</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247D1ED">
            <w:pPr>
              <w:jc w:val="left"/>
              <w:rPr>
                <w:rFonts w:hint="eastAsia" w:ascii="仿宋" w:hAnsi="仿宋" w:eastAsia="仿宋" w:cs="仿宋"/>
              </w:rPr>
            </w:pPr>
            <w:r>
              <w:rPr>
                <w:rFonts w:hint="eastAsia" w:ascii="仿宋" w:hAnsi="仿宋" w:eastAsia="仿宋" w:cs="仿宋"/>
              </w:rPr>
              <w:t xml:space="preserve"> 建设课程资源库（PPT、微课、动画）</w:t>
            </w:r>
            <w:r>
              <w:rPr>
                <w:rFonts w:hint="eastAsia" w:ascii="仿宋" w:hAnsi="仿宋" w:eastAsia="仿宋" w:cs="仿宋"/>
              </w:rPr>
              <w:br w:type="textWrapping"/>
            </w:r>
            <w:r>
              <w:rPr>
                <w:rFonts w:hint="eastAsia" w:ascii="仿宋" w:hAnsi="仿宋" w:eastAsia="仿宋" w:cs="仿宋"/>
              </w:rPr>
              <w:t xml:space="preserve"> 推荐国家级精品课（如中国大学MOOC相关课程）</w:t>
            </w:r>
            <w:r>
              <w:rPr>
                <w:rFonts w:hint="eastAsia" w:ascii="仿宋" w:hAnsi="仿宋" w:eastAsia="仿宋" w:cs="仿宋"/>
              </w:rPr>
              <w:br w:type="textWrapping"/>
            </w:r>
            <w:r>
              <w:rPr>
                <w:rFonts w:hint="eastAsia" w:ascii="仿宋" w:hAnsi="仿宋" w:eastAsia="仿宋" w:cs="仿宋"/>
              </w:rPr>
              <w:t xml:space="preserve"> 利用幼教APP（如“幼师口袋”“亿童网”）获取活动设计模板</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8930538">
            <w:pPr>
              <w:jc w:val="left"/>
              <w:rPr>
                <w:rFonts w:hint="eastAsia" w:ascii="仿宋" w:hAnsi="仿宋" w:eastAsia="仿宋" w:cs="仿宋"/>
              </w:rPr>
            </w:pPr>
            <w:r>
              <w:rPr>
                <w:rFonts w:hint="eastAsia" w:ascii="仿宋" w:hAnsi="仿宋" w:eastAsia="仿宋" w:cs="仿宋"/>
              </w:rPr>
              <w:t xml:space="preserve"> 线上自主学习：观看微课后完成思维导图作业</w:t>
            </w:r>
            <w:r>
              <w:rPr>
                <w:rFonts w:hint="eastAsia" w:ascii="仿宋" w:hAnsi="仿宋" w:eastAsia="仿宋" w:cs="仿宋"/>
              </w:rPr>
              <w:br w:type="textWrapping"/>
            </w:r>
            <w:r>
              <w:rPr>
                <w:rFonts w:hint="eastAsia" w:ascii="仿宋" w:hAnsi="仿宋" w:eastAsia="仿宋" w:cs="仿宋"/>
              </w:rPr>
              <w:t xml:space="preserve"> 使用APP资源设计一日活动流程</w:t>
            </w:r>
          </w:p>
        </w:tc>
      </w:tr>
      <w:tr w14:paraId="1FD24E4E">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257BB29">
            <w:pPr>
              <w:jc w:val="left"/>
              <w:rPr>
                <w:rFonts w:hint="eastAsia" w:ascii="仿宋" w:hAnsi="仿宋" w:eastAsia="仿宋" w:cs="仿宋"/>
              </w:rPr>
            </w:pPr>
            <w:r>
              <w:rPr>
                <w:rFonts w:hint="eastAsia" w:ascii="仿宋" w:hAnsi="仿宋" w:eastAsia="仿宋" w:cs="仿宋"/>
              </w:rPr>
              <w:t>社区与自然环境</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15B92C1">
            <w:pPr>
              <w:jc w:val="left"/>
              <w:rPr>
                <w:rFonts w:hint="eastAsia" w:ascii="仿宋" w:hAnsi="仿宋" w:eastAsia="仿宋" w:cs="仿宋"/>
              </w:rPr>
            </w:pPr>
            <w:r>
              <w:rPr>
                <w:rFonts w:hint="eastAsia" w:ascii="仿宋" w:hAnsi="仿宋" w:eastAsia="仿宋" w:cs="仿宋"/>
              </w:rPr>
              <w:t xml:space="preserve"> 开发社区资源（博物馆、公园、超市等社会实践基地）</w:t>
            </w:r>
            <w:r>
              <w:rPr>
                <w:rFonts w:hint="eastAsia" w:ascii="仿宋" w:hAnsi="仿宋" w:eastAsia="仿宋" w:cs="仿宋"/>
              </w:rPr>
              <w:br w:type="textWrapping"/>
            </w:r>
            <w:r>
              <w:rPr>
                <w:rFonts w:hint="eastAsia" w:ascii="仿宋" w:hAnsi="仿宋" w:eastAsia="仿宋" w:cs="仿宋"/>
              </w:rPr>
              <w:t xml:space="preserve"> 收集自然材料（树叶、石子等）用于课程教具制作</w:t>
            </w:r>
            <w:r>
              <w:rPr>
                <w:rFonts w:hint="eastAsia" w:ascii="仿宋" w:hAnsi="仿宋" w:eastAsia="仿宋" w:cs="仿宋"/>
              </w:rPr>
              <w:br w:type="textWrapping"/>
            </w:r>
            <w:r>
              <w:rPr>
                <w:rFonts w:hint="eastAsia" w:ascii="仿宋" w:hAnsi="仿宋" w:eastAsia="仿宋" w:cs="仿宋"/>
              </w:rPr>
              <w:t xml:space="preserve"> 邀请家长志愿者参与课程资源提供（如职业体验）</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F589B70">
            <w:pPr>
              <w:jc w:val="left"/>
              <w:rPr>
                <w:rFonts w:hint="eastAsia" w:ascii="仿宋" w:hAnsi="仿宋" w:eastAsia="仿宋" w:cs="仿宋"/>
              </w:rPr>
            </w:pPr>
            <w:r>
              <w:rPr>
                <w:rFonts w:hint="eastAsia" w:ascii="仿宋" w:hAnsi="仿宋" w:eastAsia="仿宋" w:cs="仿宋"/>
              </w:rPr>
              <w:t xml:space="preserve"> 设计“社区职业探索”主题课程</w:t>
            </w:r>
            <w:r>
              <w:rPr>
                <w:rFonts w:hint="eastAsia" w:ascii="仿宋" w:hAnsi="仿宋" w:eastAsia="仿宋" w:cs="仿宋"/>
              </w:rPr>
              <w:br w:type="textWrapping"/>
            </w:r>
            <w:r>
              <w:rPr>
                <w:rFonts w:hint="eastAsia" w:ascii="仿宋" w:hAnsi="仿宋" w:eastAsia="仿宋" w:cs="仿宋"/>
              </w:rPr>
              <w:t xml:space="preserve"> 利用自然材料开展STEAM项目活动</w:t>
            </w:r>
          </w:p>
        </w:tc>
      </w:tr>
      <w:tr w14:paraId="50C5767F">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DEECB54">
            <w:pPr>
              <w:jc w:val="left"/>
              <w:rPr>
                <w:rFonts w:hint="eastAsia" w:ascii="仿宋" w:hAnsi="仿宋" w:eastAsia="仿宋" w:cs="仿宋"/>
              </w:rPr>
            </w:pPr>
            <w:r>
              <w:rPr>
                <w:rFonts w:hint="eastAsia" w:ascii="仿宋" w:hAnsi="仿宋" w:eastAsia="仿宋" w:cs="仿宋"/>
              </w:rPr>
              <w:t>师幼生成性资源</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54ABC6D">
            <w:pPr>
              <w:jc w:val="left"/>
              <w:rPr>
                <w:rFonts w:hint="eastAsia" w:ascii="仿宋" w:hAnsi="仿宋" w:eastAsia="仿宋" w:cs="仿宋"/>
              </w:rPr>
            </w:pPr>
            <w:r>
              <w:rPr>
                <w:rFonts w:hint="eastAsia" w:ascii="仿宋" w:hAnsi="仿宋" w:eastAsia="仿宋" w:cs="仿宋"/>
              </w:rPr>
              <w:t xml:space="preserve"> 记录幼儿在活动中的提问与兴趣点</w:t>
            </w:r>
            <w:r>
              <w:rPr>
                <w:rFonts w:hint="eastAsia" w:ascii="仿宋" w:hAnsi="仿宋" w:eastAsia="仿宋" w:cs="仿宋"/>
              </w:rPr>
              <w:br w:type="textWrapping"/>
            </w:r>
            <w:r>
              <w:rPr>
                <w:rFonts w:hint="eastAsia" w:ascii="仿宋" w:hAnsi="仿宋" w:eastAsia="仿宋" w:cs="仿宋"/>
              </w:rPr>
              <w:t xml:space="preserve"> 保存幼儿课程参与的过程性作品（绘画、建构照片）</w:t>
            </w:r>
            <w:r>
              <w:rPr>
                <w:rFonts w:hint="eastAsia" w:ascii="仿宋" w:hAnsi="仿宋" w:eastAsia="仿宋" w:cs="仿宋"/>
              </w:rPr>
              <w:br w:type="textWrapping"/>
            </w:r>
            <w:r>
              <w:rPr>
                <w:rFonts w:hint="eastAsia" w:ascii="仿宋" w:hAnsi="仿宋" w:eastAsia="仿宋" w:cs="仿宋"/>
              </w:rPr>
              <w:t xml:space="preserve"> 整理教师反思日志中的课程调整经验</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937918D">
            <w:pPr>
              <w:jc w:val="left"/>
              <w:rPr>
                <w:rFonts w:hint="eastAsia" w:ascii="仿宋" w:hAnsi="仿宋" w:eastAsia="仿宋" w:cs="仿宋"/>
              </w:rPr>
            </w:pPr>
            <w:r>
              <w:rPr>
                <w:rFonts w:hint="eastAsia" w:ascii="仿宋" w:hAnsi="仿宋" w:eastAsia="仿宋" w:cs="仿宋"/>
              </w:rPr>
              <w:t xml:space="preserve"> 基于幼儿兴趣生成新的课程主题</w:t>
            </w:r>
            <w:r>
              <w:rPr>
                <w:rFonts w:hint="eastAsia" w:ascii="仿宋" w:hAnsi="仿宋" w:eastAsia="仿宋" w:cs="仿宋"/>
              </w:rPr>
              <w:br w:type="textWrapping"/>
            </w:r>
            <w:r>
              <w:rPr>
                <w:rFonts w:hint="eastAsia" w:ascii="仿宋" w:hAnsi="仿宋" w:eastAsia="仿宋" w:cs="仿宋"/>
              </w:rPr>
              <w:t xml:space="preserve"> 通过作品分析评价课程效果</w:t>
            </w:r>
          </w:p>
        </w:tc>
      </w:tr>
    </w:tbl>
    <w:p w14:paraId="05F2EDFA">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p>
    <w:p w14:paraId="170F4702">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其他说明</w:t>
      </w:r>
    </w:p>
    <w:p w14:paraId="72C2226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具体教学方法建议：</w:t>
      </w:r>
    </w:p>
    <w:p w14:paraId="732B2CD1">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本课程遵循“教师引导，学生为主”的原则，采用讲解、探究式学习、案例教学法、情景模拟法、翻转课堂等多种方法，努力为学生创设更多知识应用的机会。</w:t>
      </w:r>
    </w:p>
    <w:p w14:paraId="328C1495">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1、讲解法</w:t>
      </w:r>
    </w:p>
    <w:p w14:paraId="719CCA4C">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主要用于讲授幼儿园课程基础知识、课程设计、课程实施等理论性较强的知识。</w:t>
      </w:r>
    </w:p>
    <w:p w14:paraId="234CFE11">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2、探究式学习</w:t>
      </w:r>
    </w:p>
    <w:p w14:paraId="018BE7BC">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提出“幼儿园课程与小学课程的区别”“幼儿园课程整合性的体现”等问题，引导学生通过自主查阅文献和小组讨论进行探究；通过课程特点的分析，启发学生比较不同阶段课程的设计思路。</w:t>
      </w:r>
    </w:p>
    <w:p w14:paraId="61F8870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3、案例教学法</w:t>
      </w:r>
    </w:p>
    <w:p w14:paraId="24296164">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提供国内外幼儿园课程设计的案例，让学生分析课程特点、目标与实际实施效果；通过真实案例的分析与讨论，启发学生思考幼儿园课程在实际情境中的应用与调整。</w:t>
      </w:r>
    </w:p>
    <w:p w14:paraId="5925913A">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4、情景模拟法</w:t>
      </w:r>
    </w:p>
    <w:p w14:paraId="3BF71210">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模拟幼儿园一日活动流程，分组扮演教师和幼儿，完成课程实施的具体任务；针对隐性课程设计模拟场景，让学生发现课程中潜在的教育价值。</w:t>
      </w:r>
    </w:p>
    <w:p w14:paraId="4535791B">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5、翻转课堂法</w:t>
      </w:r>
    </w:p>
    <w:p w14:paraId="545BF670">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学生课前阅读指定材料，如“幼儿园课程的基础性与启蒙性”“课程评价方法”等；课堂中由学生轮流进行知识点讲解，教师适时补充并点评，引导深入理解。</w:t>
      </w:r>
    </w:p>
    <w:p w14:paraId="4CA7FDE5">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教学评价和考核要求</w:t>
      </w:r>
    </w:p>
    <w:p w14:paraId="4FDC50D5">
      <w:pPr>
        <w:keepNext w:val="0"/>
        <w:keepLines w:val="0"/>
        <w:pageBreakBefore w:val="0"/>
        <w:widowControl w:val="0"/>
        <w:numPr>
          <w:ilvl w:val="0"/>
          <w:numId w:val="8"/>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考核方式：课程的教学评价由形成性测评（40%）和终结性测评（60%）组成。</w:t>
      </w:r>
    </w:p>
    <w:p w14:paraId="70CBA6A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（二）评价标准</w:t>
      </w:r>
    </w:p>
    <w:p w14:paraId="4F5B013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1、形成性测评</w:t>
      </w:r>
    </w:p>
    <w:p w14:paraId="2A24D56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形成性测评考核学生在学习本课程过程中的学习情况和实际应用能力的发展情况，包括出勤考核（10%）、课堂参与程度考核（10%）、作业完成质量考核（20%）等。</w:t>
      </w:r>
    </w:p>
    <w:p w14:paraId="215C15A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（1）出勤考核</w:t>
      </w:r>
    </w:p>
    <w:p w14:paraId="2B4E879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本项考核通过课前点名考核学生的课堂出勤率。迟到15分钟以内每次扣1分，迟到15分钟以上或无故缺勤一节课每次扣2分，该项考核累计最多扣10分。</w:t>
      </w:r>
    </w:p>
    <w:p w14:paraId="0355221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（2）课堂参与程度考核</w:t>
      </w:r>
    </w:p>
    <w:p w14:paraId="77A5C05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项考核主要通过课堂提问和课堂积极发言来评判学生的学习态度、学习主动性、课堂参与程度，以及学生的思辨能力、问题解决能力及其对课堂教学知识的掌握情况等。只要学生能按时上课听讲，即可获得5分的基本分。学生上课发言一次，即可另外获得0.5分，课堂发言最多可得5分。学生的最后成绩为“5+课堂发言得分”。</w:t>
      </w:r>
    </w:p>
    <w:p w14:paraId="39C09A7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（3）作业完成质量考核</w:t>
      </w:r>
    </w:p>
    <w:p w14:paraId="4E42A99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项考核主要通过学生作业来检测其对教学主体内容的掌握与理解程度、实际应用知识的能力、自主学习能力、信息收集与处理能力等。每次作业成绩按照相应标准而定，学生作业质量划分为优秀（10分）、良好（8分）、中等（7分）、及格（6分）和不及格（0分）五个档次。最后的作业成绩为学生作业完成质量成绩的平均数。</w:t>
      </w:r>
    </w:p>
    <w:p w14:paraId="7F8480E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2、终结性测评</w:t>
      </w:r>
    </w:p>
    <w:p w14:paraId="612C558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终结性测评主要考核学生在学完本课程后所达到的水平，通过期末考试进行考核。期末考试由闭卷笔试（60%）组成，主要评估学生对本门课程基本知识的掌握情况与综合运用能力。</w:t>
      </w:r>
    </w:p>
    <w:p w14:paraId="5F957E7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课程思政元素融入</w:t>
      </w:r>
    </w:p>
    <w:p w14:paraId="464848D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以“立德树人”为根本任务，将社会主义核心价值观、中华优秀传统文化、职业伦理教育等内容有机融入课程教学，培养具有家国情怀、科学儿童观和师德素养的幼儿园教师。  </w:t>
      </w:r>
    </w:p>
    <w:p w14:paraId="747DF77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center"/>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分章节思政元素融入设计</w:t>
      </w:r>
    </w:p>
    <w:tbl>
      <w:tblPr>
        <w:tblW w:w="5000" w:type="pct"/>
        <w:tblInd w:w="0" w:type="dxa"/>
        <w:tblLayout w:type="autofit"/>
        <w:tblCellMar>
          <w:top w:w="0" w:type="dxa"/>
          <w:left w:w="0" w:type="dxa"/>
          <w:bottom w:w="0" w:type="dxa"/>
          <w:right w:w="0" w:type="dxa"/>
        </w:tblCellMar>
      </w:tblPr>
      <w:tblGrid>
        <w:gridCol w:w="1493"/>
        <w:gridCol w:w="1376"/>
        <w:gridCol w:w="4491"/>
        <w:gridCol w:w="1838"/>
      </w:tblGrid>
      <w:tr w14:paraId="4E791660">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0357B91">
            <w:pPr>
              <w:jc w:val="center"/>
              <w:rPr>
                <w:rFonts w:hint="eastAsia" w:ascii="仿宋" w:hAnsi="仿宋" w:eastAsia="仿宋" w:cs="仿宋"/>
                <w:b/>
              </w:rPr>
            </w:pPr>
            <w:r>
              <w:rPr>
                <w:rFonts w:hint="eastAsia" w:ascii="仿宋" w:hAnsi="仿宋" w:eastAsia="仿宋" w:cs="仿宋"/>
                <w:b/>
              </w:rPr>
              <w:t>章节</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998329F">
            <w:pPr>
              <w:jc w:val="center"/>
              <w:rPr>
                <w:rFonts w:hint="eastAsia" w:ascii="仿宋" w:hAnsi="仿宋" w:eastAsia="仿宋" w:cs="仿宋"/>
                <w:b/>
              </w:rPr>
            </w:pPr>
            <w:r>
              <w:rPr>
                <w:rFonts w:hint="eastAsia" w:ascii="仿宋" w:hAnsi="仿宋" w:eastAsia="仿宋" w:cs="仿宋"/>
                <w:b/>
              </w:rPr>
              <w:t>思政主题</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8BBD2B4">
            <w:pPr>
              <w:jc w:val="center"/>
              <w:rPr>
                <w:rFonts w:hint="eastAsia" w:ascii="仿宋" w:hAnsi="仿宋" w:eastAsia="仿宋" w:cs="仿宋"/>
                <w:b/>
              </w:rPr>
            </w:pPr>
            <w:r>
              <w:rPr>
                <w:rFonts w:hint="eastAsia" w:ascii="仿宋" w:hAnsi="仿宋" w:eastAsia="仿宋" w:cs="仿宋"/>
                <w:b/>
              </w:rPr>
              <w:t>具体融入方式</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A47B3B3">
            <w:pPr>
              <w:jc w:val="center"/>
              <w:rPr>
                <w:rFonts w:hint="eastAsia" w:ascii="仿宋" w:hAnsi="仿宋" w:eastAsia="仿宋" w:cs="仿宋"/>
                <w:b/>
              </w:rPr>
            </w:pPr>
            <w:r>
              <w:rPr>
                <w:rFonts w:hint="eastAsia" w:ascii="仿宋" w:hAnsi="仿宋" w:eastAsia="仿宋" w:cs="仿宋"/>
                <w:b/>
              </w:rPr>
              <w:t>预期成效</w:t>
            </w:r>
          </w:p>
        </w:tc>
      </w:tr>
      <w:tr w14:paraId="44410BDD">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BF65F10">
            <w:pPr>
              <w:jc w:val="left"/>
              <w:rPr>
                <w:rFonts w:hint="eastAsia" w:ascii="仿宋" w:hAnsi="仿宋" w:eastAsia="仿宋" w:cs="仿宋"/>
              </w:rPr>
            </w:pPr>
            <w:r>
              <w:rPr>
                <w:rFonts w:hint="eastAsia" w:ascii="仿宋" w:hAnsi="仿宋" w:eastAsia="仿宋" w:cs="仿宋"/>
              </w:rPr>
              <w:t>第一章：幼儿园课程概述</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1DC298E">
            <w:pPr>
              <w:jc w:val="left"/>
              <w:rPr>
                <w:rFonts w:hint="eastAsia" w:ascii="仿宋" w:hAnsi="仿宋" w:eastAsia="仿宋" w:cs="仿宋"/>
              </w:rPr>
            </w:pPr>
            <w:r>
              <w:rPr>
                <w:rFonts w:hint="eastAsia" w:ascii="仿宋" w:hAnsi="仿宋" w:eastAsia="仿宋" w:cs="仿宋"/>
              </w:rPr>
              <w:t>文化自信与理论自觉</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122D88">
            <w:pPr>
              <w:jc w:val="left"/>
              <w:rPr>
                <w:rFonts w:hint="eastAsia" w:ascii="仿宋" w:hAnsi="仿宋" w:eastAsia="仿宋" w:cs="仿宋"/>
              </w:rPr>
            </w:pPr>
            <w:r>
              <w:rPr>
                <w:rFonts w:hint="eastAsia" w:ascii="仿宋" w:hAnsi="仿宋" w:eastAsia="仿宋" w:cs="仿宋"/>
              </w:rPr>
              <w:t xml:space="preserve"> 对比中外课程模式，强调中华优秀传统文化在幼儿园课程中的价值（如节气课程、民间游戏）</w:t>
            </w:r>
            <w:r>
              <w:rPr>
                <w:rFonts w:hint="eastAsia" w:ascii="仿宋" w:hAnsi="仿宋" w:eastAsia="仿宋" w:cs="仿宋"/>
              </w:rPr>
              <w:br w:type="textWrapping"/>
            </w:r>
            <w:r>
              <w:rPr>
                <w:rFonts w:hint="eastAsia" w:ascii="仿宋" w:hAnsi="仿宋" w:eastAsia="仿宋" w:cs="仿宋"/>
              </w:rPr>
              <w:t xml:space="preserve"> 结合《指南》分析中国幼儿园课程的本土化发展</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F771CD5">
            <w:pPr>
              <w:jc w:val="left"/>
              <w:rPr>
                <w:rFonts w:hint="eastAsia" w:ascii="仿宋" w:hAnsi="仿宋" w:eastAsia="仿宋" w:cs="仿宋"/>
              </w:rPr>
            </w:pPr>
            <w:r>
              <w:rPr>
                <w:rFonts w:hint="eastAsia" w:ascii="仿宋" w:hAnsi="仿宋" w:eastAsia="仿宋" w:cs="仿宋"/>
              </w:rPr>
              <w:t>增强学生对本土课程文化的认同感</w:t>
            </w:r>
          </w:p>
        </w:tc>
      </w:tr>
      <w:tr w14:paraId="4CABEEEA">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9D74609">
            <w:pPr>
              <w:jc w:val="left"/>
              <w:rPr>
                <w:rFonts w:hint="eastAsia" w:ascii="仿宋" w:hAnsi="仿宋" w:eastAsia="仿宋" w:cs="仿宋"/>
              </w:rPr>
            </w:pPr>
            <w:r>
              <w:rPr>
                <w:rFonts w:hint="eastAsia" w:ascii="仿宋" w:hAnsi="仿宋" w:eastAsia="仿宋" w:cs="仿宋"/>
              </w:rPr>
              <w:t>第二章：幼儿园课程设计</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5D522F3">
            <w:pPr>
              <w:jc w:val="left"/>
              <w:rPr>
                <w:rFonts w:hint="eastAsia" w:ascii="仿宋" w:hAnsi="仿宋" w:eastAsia="仿宋" w:cs="仿宋"/>
              </w:rPr>
            </w:pPr>
            <w:r>
              <w:rPr>
                <w:rFonts w:hint="eastAsia" w:ascii="仿宋" w:hAnsi="仿宋" w:eastAsia="仿宋" w:cs="仿宋"/>
              </w:rPr>
              <w:t>社会主义核心价值观启蒙</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CB57E0F">
            <w:pPr>
              <w:jc w:val="left"/>
              <w:rPr>
                <w:rFonts w:hint="eastAsia" w:ascii="仿宋" w:hAnsi="仿宋" w:eastAsia="仿宋" w:cs="仿宋"/>
              </w:rPr>
            </w:pPr>
            <w:r>
              <w:rPr>
                <w:rFonts w:hint="eastAsia" w:ascii="仿宋" w:hAnsi="仿宋" w:eastAsia="仿宋" w:cs="仿宋"/>
              </w:rPr>
              <w:t xml:space="preserve"> 在课程目标设计中融入“友善”“诚信”等核心价值观（如设计“分享”主题活动）</w:t>
            </w:r>
            <w:r>
              <w:rPr>
                <w:rFonts w:hint="eastAsia" w:ascii="仿宋" w:hAnsi="仿宋" w:eastAsia="仿宋" w:cs="仿宋"/>
              </w:rPr>
              <w:br w:type="textWrapping"/>
            </w:r>
            <w:r>
              <w:rPr>
                <w:rFonts w:hint="eastAsia" w:ascii="仿宋" w:hAnsi="仿宋" w:eastAsia="仿宋" w:cs="仿宋"/>
              </w:rPr>
              <w:t xml:space="preserve"> 通过绘本、游戏等载体渗透爱国主义教育</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8AAD335">
            <w:pPr>
              <w:jc w:val="left"/>
              <w:rPr>
                <w:rFonts w:hint="eastAsia" w:ascii="仿宋" w:hAnsi="仿宋" w:eastAsia="仿宋" w:cs="仿宋"/>
              </w:rPr>
            </w:pPr>
            <w:r>
              <w:rPr>
                <w:rFonts w:hint="eastAsia" w:ascii="仿宋" w:hAnsi="仿宋" w:eastAsia="仿宋" w:cs="仿宋"/>
              </w:rPr>
              <w:t>学会在课程中自然渗透价值引导</w:t>
            </w:r>
          </w:p>
        </w:tc>
      </w:tr>
      <w:tr w14:paraId="5B4C01FF">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2BA4F44">
            <w:pPr>
              <w:jc w:val="left"/>
              <w:rPr>
                <w:rFonts w:hint="eastAsia" w:ascii="仿宋" w:hAnsi="仿宋" w:eastAsia="仿宋" w:cs="仿宋"/>
              </w:rPr>
            </w:pPr>
            <w:r>
              <w:rPr>
                <w:rFonts w:hint="eastAsia" w:ascii="仿宋" w:hAnsi="仿宋" w:eastAsia="仿宋" w:cs="仿宋"/>
              </w:rPr>
              <w:t>第三章：课程实施</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E2AA0BE">
            <w:pPr>
              <w:jc w:val="left"/>
              <w:rPr>
                <w:rFonts w:hint="eastAsia" w:ascii="仿宋" w:hAnsi="仿宋" w:eastAsia="仿宋" w:cs="仿宋"/>
              </w:rPr>
            </w:pPr>
            <w:r>
              <w:rPr>
                <w:rFonts w:hint="eastAsia" w:ascii="仿宋" w:hAnsi="仿宋" w:eastAsia="仿宋" w:cs="仿宋"/>
              </w:rPr>
              <w:t>师德修养与儿童权利保护</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C41E811">
            <w:pPr>
              <w:jc w:val="left"/>
              <w:rPr>
                <w:rFonts w:hint="eastAsia" w:ascii="仿宋" w:hAnsi="仿宋" w:eastAsia="仿宋" w:cs="仿宋"/>
              </w:rPr>
            </w:pPr>
            <w:r>
              <w:rPr>
                <w:rFonts w:hint="eastAsia" w:ascii="仿宋" w:hAnsi="仿宋" w:eastAsia="仿宋" w:cs="仿宋"/>
              </w:rPr>
              <w:t xml:space="preserve"> 分析教师角色时强调“以幼儿为本”的伦理观</w:t>
            </w:r>
            <w:r>
              <w:rPr>
                <w:rFonts w:hint="eastAsia" w:ascii="仿宋" w:hAnsi="仿宋" w:eastAsia="仿宋" w:cs="仿宋"/>
              </w:rPr>
              <w:br w:type="textWrapping"/>
            </w:r>
            <w:r>
              <w:rPr>
                <w:rFonts w:hint="eastAsia" w:ascii="仿宋" w:hAnsi="仿宋" w:eastAsia="仿宋" w:cs="仿宋"/>
              </w:rPr>
              <w:t xml:space="preserve"> 通过案例讨论尊重幼儿隐私、拒绝“小学化”等职业操守</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F7DD4BC">
            <w:pPr>
              <w:jc w:val="left"/>
              <w:rPr>
                <w:rFonts w:hint="eastAsia" w:ascii="仿宋" w:hAnsi="仿宋" w:eastAsia="仿宋" w:cs="仿宋"/>
              </w:rPr>
            </w:pPr>
            <w:r>
              <w:rPr>
                <w:rFonts w:hint="eastAsia" w:ascii="仿宋" w:hAnsi="仿宋" w:eastAsia="仿宋" w:cs="仿宋"/>
              </w:rPr>
              <w:t>树立科学的儿童观和教育观</w:t>
            </w:r>
          </w:p>
        </w:tc>
      </w:tr>
      <w:tr w14:paraId="65C9E544">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0F4CFCA">
            <w:pPr>
              <w:jc w:val="left"/>
              <w:rPr>
                <w:rFonts w:hint="eastAsia" w:ascii="仿宋" w:hAnsi="仿宋" w:eastAsia="仿宋" w:cs="仿宋"/>
              </w:rPr>
            </w:pPr>
            <w:r>
              <w:rPr>
                <w:rFonts w:hint="eastAsia" w:ascii="仿宋" w:hAnsi="仿宋" w:eastAsia="仿宋" w:cs="仿宋"/>
              </w:rPr>
              <w:t>第四章：课程评价</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B48958C">
            <w:pPr>
              <w:jc w:val="left"/>
              <w:rPr>
                <w:rFonts w:hint="eastAsia" w:ascii="仿宋" w:hAnsi="仿宋" w:eastAsia="仿宋" w:cs="仿宋"/>
              </w:rPr>
            </w:pPr>
            <w:r>
              <w:rPr>
                <w:rFonts w:hint="eastAsia" w:ascii="仿宋" w:hAnsi="仿宋" w:eastAsia="仿宋" w:cs="仿宋"/>
              </w:rPr>
              <w:t>科学精神与公平意识</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951F13F">
            <w:pPr>
              <w:jc w:val="left"/>
              <w:rPr>
                <w:rFonts w:hint="eastAsia" w:ascii="仿宋" w:hAnsi="仿宋" w:eastAsia="仿宋" w:cs="仿宋"/>
              </w:rPr>
            </w:pPr>
            <w:r>
              <w:rPr>
                <w:rFonts w:hint="eastAsia" w:ascii="仿宋" w:hAnsi="仿宋" w:eastAsia="仿宋" w:cs="仿宋"/>
              </w:rPr>
              <w:t xml:space="preserve"> 在评价工具设计中体现过程性、发展性评价理念</w:t>
            </w:r>
            <w:r>
              <w:rPr>
                <w:rFonts w:hint="eastAsia" w:ascii="仿宋" w:hAnsi="仿宋" w:eastAsia="仿宋" w:cs="仿宋"/>
              </w:rPr>
              <w:br w:type="textWrapping"/>
            </w:r>
            <w:r>
              <w:rPr>
                <w:rFonts w:hint="eastAsia" w:ascii="仿宋" w:hAnsi="仿宋" w:eastAsia="仿宋" w:cs="仿宋"/>
              </w:rPr>
              <w:t xml:space="preserve"> 讨论如何通过评价关注特殊需求幼儿的成长</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8969674">
            <w:pPr>
              <w:jc w:val="left"/>
              <w:rPr>
                <w:rFonts w:hint="eastAsia" w:ascii="仿宋" w:hAnsi="仿宋" w:eastAsia="仿宋" w:cs="仿宋"/>
              </w:rPr>
            </w:pPr>
            <w:r>
              <w:rPr>
                <w:rFonts w:hint="eastAsia" w:ascii="仿宋" w:hAnsi="仿宋" w:eastAsia="仿宋" w:cs="仿宋"/>
              </w:rPr>
              <w:t>培养客观公正的评价态度和人文关怀</w:t>
            </w:r>
          </w:p>
        </w:tc>
      </w:tr>
      <w:tr w14:paraId="462DFE66">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9F98BC2">
            <w:pPr>
              <w:jc w:val="left"/>
              <w:rPr>
                <w:rFonts w:hint="eastAsia" w:ascii="仿宋" w:hAnsi="仿宋" w:eastAsia="仿宋" w:cs="仿宋"/>
              </w:rPr>
            </w:pPr>
            <w:r>
              <w:rPr>
                <w:rFonts w:hint="eastAsia" w:ascii="仿宋" w:hAnsi="仿宋" w:eastAsia="仿宋" w:cs="仿宋"/>
              </w:rPr>
              <w:t>第五章：特色课程开发</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E33D63E">
            <w:pPr>
              <w:jc w:val="left"/>
              <w:rPr>
                <w:rFonts w:hint="eastAsia" w:ascii="仿宋" w:hAnsi="仿宋" w:eastAsia="仿宋" w:cs="仿宋"/>
              </w:rPr>
            </w:pPr>
            <w:r>
              <w:rPr>
                <w:rFonts w:hint="eastAsia" w:ascii="仿宋" w:hAnsi="仿宋" w:eastAsia="仿宋" w:cs="仿宋"/>
              </w:rPr>
              <w:t>家国情怀与创新精神</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9281C00">
            <w:pPr>
              <w:jc w:val="left"/>
              <w:rPr>
                <w:rFonts w:hint="eastAsia" w:ascii="仿宋" w:hAnsi="仿宋" w:eastAsia="仿宋" w:cs="仿宋"/>
              </w:rPr>
            </w:pPr>
            <w:r>
              <w:rPr>
                <w:rFonts w:hint="eastAsia" w:ascii="仿宋" w:hAnsi="仿宋" w:eastAsia="仿宋" w:cs="仿宋"/>
              </w:rPr>
              <w:t xml:space="preserve"> 开发“红色文化”“非遗传承”等特色课程案例</w:t>
            </w:r>
            <w:r>
              <w:rPr>
                <w:rFonts w:hint="eastAsia" w:ascii="仿宋" w:hAnsi="仿宋" w:eastAsia="仿宋" w:cs="仿宋"/>
              </w:rPr>
              <w:br w:type="textWrapping"/>
            </w:r>
            <w:r>
              <w:rPr>
                <w:rFonts w:hint="eastAsia" w:ascii="仿宋" w:hAnsi="仿宋" w:eastAsia="仿宋" w:cs="仿宋"/>
              </w:rPr>
              <w:t xml:space="preserve"> 鼓励学生结合家乡资源设计园本课程（如方言童谣）</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85C901A">
            <w:pPr>
              <w:jc w:val="left"/>
              <w:rPr>
                <w:rFonts w:hint="eastAsia" w:ascii="仿宋" w:hAnsi="仿宋" w:eastAsia="仿宋" w:cs="仿宋"/>
              </w:rPr>
            </w:pPr>
            <w:r>
              <w:rPr>
                <w:rFonts w:hint="eastAsia" w:ascii="仿宋" w:hAnsi="仿宋" w:eastAsia="仿宋" w:cs="仿宋"/>
              </w:rPr>
              <w:t>激发文化传承意识和社会责任感</w:t>
            </w:r>
          </w:p>
        </w:tc>
      </w:tr>
    </w:tbl>
    <w:p w14:paraId="68D4047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特色思政实践活动设计： </w:t>
      </w:r>
    </w:p>
    <w:p w14:paraId="1BAD96F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1、“课程中的中国”工作坊  </w:t>
      </w:r>
    </w:p>
    <w:p w14:paraId="20B60C8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任务：小组合作设计一个融合中华文化的微型课程（如“二十四节气食育”）。  </w:t>
      </w:r>
    </w:p>
    <w:p w14:paraId="508A786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思政点：文化传承与创新。  </w:t>
      </w:r>
    </w:p>
    <w:p w14:paraId="78774B2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58875DF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2、师德情境模拟  </w:t>
      </w:r>
    </w:p>
    <w:p w14:paraId="05D36CB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案例：面对家长“提前教拼音”的要求，如何基于课程理论理性沟通。  </w:t>
      </w:r>
    </w:p>
    <w:p w14:paraId="16C9F77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思政点：职业伦理与科学育人观。  </w:t>
      </w:r>
    </w:p>
    <w:p w14:paraId="091C1D8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3、乡村振兴主题调研  </w:t>
      </w:r>
    </w:p>
    <w:p w14:paraId="6F81311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要求：分析乡村幼儿园课程资源开发困境，提出解决方案。  </w:t>
      </w:r>
    </w:p>
    <w:p w14:paraId="414A12E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思政点：教育公平与社会责任。  </w:t>
      </w:r>
    </w:p>
    <w:p w14:paraId="42F244D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编制依据</w:t>
      </w:r>
    </w:p>
    <w:p w14:paraId="17D04A6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课程标准的编制以《幼儿园教育指导纲要》《3-6岁儿童学习与发展指南》等国家政策文件为根本遵循，对接《幼儿园教师专业标准（试行）》和《教师教育课程标准》对学前教育人才的核心能力要求，同时紧密结合吴向丽主编教材的理论框架与高职院校应用型人才培养定位。在内容设计上，注重理论知识与实践能力的有机统</w:t>
      </w:r>
      <w:bookmarkStart w:id="0" w:name="_GoBack"/>
      <w:bookmarkEnd w:id="0"/>
      <w:r>
        <w:rPr>
          <w:rFonts w:hint="eastAsia" w:ascii="仿宋" w:hAnsi="仿宋" w:eastAsia="仿宋" w:cs="仿宋"/>
          <w:b w:val="0"/>
          <w:bCs w:val="0"/>
          <w:sz w:val="32"/>
          <w:szCs w:val="32"/>
          <w:lang w:val="en-US" w:eastAsia="zh-CN"/>
        </w:rPr>
        <w:t>一，融入课程思政元素与职业伦理要求，并参考国内外幼儿园课程研究的最新成果（如STEM教育、生成课程等前沿趋势），确保课程标准既符合学前教育规律，又体现时代性与中国特色。</w:t>
      </w:r>
    </w:p>
    <w:sectPr>
      <w:footerReference r:id="rId3"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D5518ECE-C47C-4CBB-8509-A2925978C42F}"/>
  </w:font>
  <w:font w:name="方正小标宋简体">
    <w:panose1 w:val="02010600010101010101"/>
    <w:charset w:val="86"/>
    <w:family w:val="auto"/>
    <w:pitch w:val="default"/>
    <w:sig w:usb0="00000001" w:usb1="080E0000" w:usb2="00000000" w:usb3="00000000" w:csb0="00040000" w:csb1="00000000"/>
    <w:embedRegular r:id="rId2" w:fontKey="{E24C2DBB-5CA3-4289-9ADB-442B311CB262}"/>
  </w:font>
  <w:font w:name="仿宋">
    <w:panose1 w:val="02010609060101010101"/>
    <w:charset w:val="86"/>
    <w:family w:val="auto"/>
    <w:pitch w:val="default"/>
    <w:sig w:usb0="800002BF" w:usb1="38CF7CFA" w:usb2="00000016" w:usb3="00000000" w:csb0="00040001" w:csb1="00000000"/>
    <w:embedRegular r:id="rId3" w:fontKey="{8E99CCFB-71E4-47F9-A572-F9F3B8B5749F}"/>
  </w:font>
  <w:font w:name="方正黑体简体">
    <w:altName w:val="微软雅黑"/>
    <w:panose1 w:val="02010601030101010101"/>
    <w:charset w:val="86"/>
    <w:family w:val="auto"/>
    <w:pitch w:val="default"/>
    <w:sig w:usb0="00000000" w:usb1="00000000" w:usb2="00000000" w:usb3="00000000" w:csb0="00040000" w:csb1="00000000"/>
    <w:embedRegular r:id="rId4" w:fontKey="{FE4DF350-A28D-479E-92C1-0EED520837F6}"/>
  </w:font>
  <w:font w:name="微软雅黑">
    <w:panose1 w:val="020B0503020204020204"/>
    <w:charset w:val="86"/>
    <w:family w:val="auto"/>
    <w:pitch w:val="default"/>
    <w:sig w:usb0="80000287" w:usb1="2ACF3C50" w:usb2="00000016" w:usb3="00000000" w:csb0="0004001F" w:csb1="00000000"/>
  </w:font>
  <w:font w:name="汉仪铸字美心体简">
    <w:panose1 w:val="00020600040101010101"/>
    <w:charset w:val="86"/>
    <w:family w:val="auto"/>
    <w:pitch w:val="default"/>
    <w:sig w:usb0="8000003F" w:usb1="0ACB7C5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406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AE20F4">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BAE20F4">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17ED1"/>
    <w:multiLevelType w:val="singleLevel"/>
    <w:tmpl w:val="D1317ED1"/>
    <w:lvl w:ilvl="0" w:tentative="0">
      <w:start w:val="1"/>
      <w:numFmt w:val="chineseCounting"/>
      <w:suff w:val="nothing"/>
      <w:lvlText w:val="（%1）"/>
      <w:lvlJc w:val="left"/>
      <w:rPr>
        <w:rFonts w:hint="eastAsia"/>
      </w:rPr>
    </w:lvl>
  </w:abstractNum>
  <w:abstractNum w:abstractNumId="1">
    <w:nsid w:val="D5D798E7"/>
    <w:multiLevelType w:val="singleLevel"/>
    <w:tmpl w:val="D5D798E7"/>
    <w:lvl w:ilvl="0" w:tentative="0">
      <w:start w:val="1"/>
      <w:numFmt w:val="chineseCounting"/>
      <w:suff w:val="nothing"/>
      <w:lvlText w:val="（%1）"/>
      <w:lvlJc w:val="left"/>
      <w:rPr>
        <w:rFonts w:hint="eastAsia"/>
      </w:rPr>
    </w:lvl>
  </w:abstractNum>
  <w:abstractNum w:abstractNumId="2">
    <w:nsid w:val="E4D66174"/>
    <w:multiLevelType w:val="singleLevel"/>
    <w:tmpl w:val="E4D66174"/>
    <w:lvl w:ilvl="0" w:tentative="0">
      <w:start w:val="1"/>
      <w:numFmt w:val="decimal"/>
      <w:suff w:val="nothing"/>
      <w:lvlText w:val="%1、"/>
      <w:lvlJc w:val="left"/>
    </w:lvl>
  </w:abstractNum>
  <w:abstractNum w:abstractNumId="3">
    <w:nsid w:val="E908EB13"/>
    <w:multiLevelType w:val="singleLevel"/>
    <w:tmpl w:val="E908EB13"/>
    <w:lvl w:ilvl="0" w:tentative="0">
      <w:start w:val="1"/>
      <w:numFmt w:val="chineseCounting"/>
      <w:suff w:val="nothing"/>
      <w:lvlText w:val="（%1）"/>
      <w:lvlJc w:val="left"/>
      <w:rPr>
        <w:rFonts w:hint="eastAsia"/>
      </w:rPr>
    </w:lvl>
  </w:abstractNum>
  <w:abstractNum w:abstractNumId="4">
    <w:nsid w:val="03ECAC19"/>
    <w:multiLevelType w:val="singleLevel"/>
    <w:tmpl w:val="03ECAC19"/>
    <w:lvl w:ilvl="0" w:tentative="0">
      <w:start w:val="1"/>
      <w:numFmt w:val="chineseCounting"/>
      <w:suff w:val="nothing"/>
      <w:lvlText w:val="%1、"/>
      <w:lvlJc w:val="left"/>
      <w:rPr>
        <w:rFonts w:hint="eastAsia"/>
      </w:rPr>
    </w:lvl>
  </w:abstractNum>
  <w:abstractNum w:abstractNumId="5">
    <w:nsid w:val="37A7B3DD"/>
    <w:multiLevelType w:val="singleLevel"/>
    <w:tmpl w:val="37A7B3DD"/>
    <w:lvl w:ilvl="0" w:tentative="0">
      <w:start w:val="1"/>
      <w:numFmt w:val="chineseCounting"/>
      <w:suff w:val="nothing"/>
      <w:lvlText w:val="（%1）"/>
      <w:lvlJc w:val="left"/>
      <w:rPr>
        <w:rFonts w:hint="eastAsia"/>
      </w:rPr>
    </w:lvl>
  </w:abstractNum>
  <w:abstractNum w:abstractNumId="6">
    <w:nsid w:val="65B68748"/>
    <w:multiLevelType w:val="singleLevel"/>
    <w:tmpl w:val="65B68748"/>
    <w:lvl w:ilvl="0" w:tentative="0">
      <w:start w:val="1"/>
      <w:numFmt w:val="chineseCounting"/>
      <w:suff w:val="nothing"/>
      <w:lvlText w:val="（%1）"/>
      <w:lvlJc w:val="left"/>
      <w:rPr>
        <w:rFonts w:hint="eastAsia"/>
      </w:rPr>
    </w:lvl>
  </w:abstractNum>
  <w:abstractNum w:abstractNumId="7">
    <w:nsid w:val="75E9C6B8"/>
    <w:multiLevelType w:val="singleLevel"/>
    <w:tmpl w:val="75E9C6B8"/>
    <w:lvl w:ilvl="0" w:tentative="0">
      <w:start w:val="1"/>
      <w:numFmt w:val="decimal"/>
      <w:suff w:val="nothing"/>
      <w:lvlText w:val="%1、"/>
      <w:lvlJc w:val="left"/>
    </w:lvl>
  </w:abstractNum>
  <w:num w:numId="1">
    <w:abstractNumId w:val="4"/>
  </w:num>
  <w:num w:numId="2">
    <w:abstractNumId w:val="5"/>
  </w:num>
  <w:num w:numId="3">
    <w:abstractNumId w:val="0"/>
  </w:num>
  <w:num w:numId="4">
    <w:abstractNumId w:val="7"/>
  </w:num>
  <w:num w:numId="5">
    <w:abstractNumId w:val="1"/>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932D97"/>
    <w:rsid w:val="03AC6ED5"/>
    <w:rsid w:val="0A586566"/>
    <w:rsid w:val="14133D11"/>
    <w:rsid w:val="266320C3"/>
    <w:rsid w:val="2853062B"/>
    <w:rsid w:val="3EC3774B"/>
    <w:rsid w:val="51932D97"/>
    <w:rsid w:val="613A3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303</Words>
  <Characters>303</Characters>
  <Lines>0</Lines>
  <Paragraphs>0</Paragraphs>
  <TotalTime>35</TotalTime>
  <ScaleCrop>false</ScaleCrop>
  <LinksUpToDate>false</LinksUpToDate>
  <CharactersWithSpaces>389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2025-07-10T04:44:00Z</dcterms:created>
  <dc:creator>罗吉良</dc:creator>
  <cp:lastModifiedBy>景玉梦云</cp:lastModifiedBy>
  <dcterms:modified xsi:type="dcterms:W3CDTF">2025-08-18T08:23:01Z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67E55EB3CD7540E08FD4C5CD9902922E_13</vt:lpwstr>
  </property>
  <property fmtid="{D5CDD505-2E9C-101B-9397-08002B2CF9AE}" pid="4" name="KSOTemplateDocerSaveRecord">
    <vt:lpwstr>eyJoZGlkIjoiZGI0ZjI0NDJkOGQ4ODFlM2RmMTkzNjgzNDBlZmUzN2YiLCJ1c2VySWQiOiIxNTk5NDU5MTM5In0=</vt:lpwstr>
  </property>
</Properties>
</file>