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2F8F6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A2产教融合及社会</w:t>
      </w:r>
      <w:bookmarkStart w:id="0" w:name="_GoBack"/>
      <w:bookmarkEnd w:id="0"/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服务持续改进说明</w:t>
      </w:r>
    </w:p>
    <w:p w14:paraId="2BD59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学校多维度推进合作与服务，为学生发展与地方建设赋能。实习实训方面，与当地幼儿园建立长期合作，近期新增 4 家优质单位，拓宽学生实践平台。</w:t>
      </w:r>
    </w:p>
    <w:p w14:paraId="55001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产教融合上，邀请行业专家深度参与，修订人才培养方案与课程体系并直接授课，实现教育与行业实践精准对接；同时加入德宏片区自由贸易试验区产教联合体，推动 “教育链、人才链、产业链、创新链” 深度融合。</w:t>
      </w:r>
    </w:p>
    <w:p w14:paraId="7E3CB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校企合作机制持续完善，通过多层级管理机制审定合作规划、解决重大问题；去年与 13 家企业签实习就业协议，今年新增 4 家，提供 601 个实习岗位。今年 601 名毕业生中，407 人留滇就业，130 人服务本地，有效缓解当地学前教育资源缺口，提升教育服务质量。</w:t>
      </w:r>
    </w:p>
    <w:p w14:paraId="37BC0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社会服务领域，学校规范运行机制以保障质量、优化效能，63 名师生参与 2025 年芒市泼水节活动，组建暑期 “三下乡” 儿童心理健康帮扶团，既提升学生专业能力，又深化服务地方经济文化的路径。</w:t>
      </w:r>
    </w:p>
    <w:p w14:paraId="2C9DE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国际交流方面，结合发展定位制定制度，依托专业优势与泰国格乐大学、缅甸迈扎央弘扬汉语学校、孟加拉锡尔赫特农业大学合作，推进人才培养国际化，丰富师生交流渠道。</w:t>
      </w:r>
    </w:p>
    <w:p w14:paraId="68969922">
      <w:pP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F95BE3"/>
    <w:rsid w:val="1D672547"/>
    <w:rsid w:val="35094B1B"/>
    <w:rsid w:val="64785DE4"/>
    <w:rsid w:val="6D10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2024-11-03T03:25:00Z</dcterms:created>
  <dc:creator>Administrator</dc:creator>
  <cp:lastModifiedBy>张锦鹏</cp:lastModifiedBy>
  <dcterms:modified xsi:type="dcterms:W3CDTF">2025-09-07T07:20:04Z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7397EDDE14DF485A84097085F590BED7_12</vt:lpwstr>
  </property>
</Properties>
</file>