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B428">
      <w:pPr>
        <w:ind w:left="3600" w:hanging="5280" w:hangingChars="1200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关于系统性完善三年制学前教育专业实习</w:t>
      </w:r>
    </w:p>
    <w:p w14:paraId="7C1F8EC7">
      <w:pPr>
        <w:ind w:left="3600" w:hanging="5280" w:hangingChars="1200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实训监督与评估机的专业建议</w:t>
      </w:r>
    </w:p>
    <w:p w14:paraId="64FC5B77">
      <w:pPr>
        <w:ind w:firstLine="480" w:firstLineChars="200"/>
        <w:rPr>
          <w:rFonts w:hint="eastAsia"/>
          <w:sz w:val="24"/>
          <w:szCs w:val="24"/>
        </w:rPr>
      </w:pPr>
    </w:p>
    <w:p w14:paraId="06BBA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对于三年制学制而言，时间成本高昂，因此，构建一个科学、高效、闭环的质量保障体系迫在眉睫。本建议旨在超越零散的修补，提出一个以“标准为基、过程为要、数据驱动、持续改进”为核心的全面解决方案。</w:t>
      </w:r>
    </w:p>
    <w:p w14:paraId="4B1C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一、 体系重构：构建“四维一体”的全过程质量监控生态系统</w:t>
      </w:r>
    </w:p>
    <w:p w14:paraId="47B75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改变以往松散的监督模式，构建一个融合制度维、执行维、技术维、文化维的立体化生态系统。</w:t>
      </w:r>
    </w:p>
    <w:p w14:paraId="0004A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1. 制度维：顶层设计与标准化建设</w:t>
      </w:r>
    </w:p>
    <w:p w14:paraId="7FDE0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制定《学前教育专业实习实训标准手册》：这本手册应是实习的“宪法”，明确规定各阶段的目标、内容、职责、流程与评价标准。内容需极其细化，例如：</w:t>
      </w:r>
    </w:p>
    <w:p w14:paraId="417B5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阶段化目标：将实习分解为“见习感知（第一年）→跟岗辅助（第二年）→顶岗实践（第三年）”三个阶段，每个阶段都有对应的“能力素养达成矩阵”。</w:t>
      </w:r>
    </w:p>
    <w:p w14:paraId="7391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任务清单：提供“必做任务清单”（如独立组织一次餐后活动、完成5名幼儿的个案观察记录）和“选做任务清单”（如参与幼儿园教研活动、设计一个主题墙），兼顾统一性与个性化。</w:t>
      </w:r>
    </w:p>
    <w:p w14:paraId="45A21539">
      <w:pPr>
        <w:ind w:firstLine="480" w:firstLineChars="20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-354965</wp:posOffset>
            </wp:positionH>
            <wp:positionV relativeFrom="paragraph">
              <wp:posOffset>8890</wp:posOffset>
            </wp:positionV>
            <wp:extent cx="6142355" cy="3950335"/>
            <wp:effectExtent l="0" t="0" r="1270" b="2540"/>
            <wp:wrapSquare wrapText="bothSides"/>
            <wp:docPr id="1" name="图片 1" descr="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17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权责协议：与实习基地签订《合作培养协议》，明确约定园方提供“实践导师”的资质、每周指导时长、其工作量的认定与报酬支付方式，从制度上保障园方投入的积极性与规范性。</w:t>
      </w:r>
    </w:p>
    <w:p w14:paraId="7A88B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2. 执行维：“双导师制”的精细化运作与协同</w:t>
      </w:r>
    </w:p>
    <w:p w14:paraId="162FE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导师的遴选与培训：校内导师： 应优先选派具有幼儿园实践经历或深入研究的“双师型”教师。定期组织校内导师赴优质幼儿园进行短期驻园研修，保持其对一线实践的敏感度。</w:t>
      </w:r>
    </w:p>
    <w:p w14:paraId="5E0B2A89">
      <w:pPr>
        <w:ind w:firstLine="480" w:firstLineChars="20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4445</wp:posOffset>
            </wp:positionV>
            <wp:extent cx="6156960" cy="3950335"/>
            <wp:effectExtent l="0" t="0" r="5715" b="2540"/>
            <wp:wrapSquare wrapText="bothSides"/>
            <wp:docPr id="8" name="图片 8" descr="图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六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1F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实践导师：建立认证制度，须具备5年以上教龄、中级以上职称，并接受高校提供的“实习生指导技巧”专项培训，学习如何观察、记录、反馈和激励学生。</w:t>
      </w:r>
    </w:p>
    <w:p w14:paraId="66D8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协同机制的制度化：</w:t>
      </w:r>
    </w:p>
    <w:p w14:paraId="4C3D2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共同备课：在实习开始前，双导师共同研讨实习计划，确保校-园要求无缝对接。</w:t>
      </w:r>
    </w:p>
    <w:p w14:paraId="47BCE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定期磋商：建立固定的“双导师例会制”（每两周一次线上会议），使用结构化的《学生进展会商表》进行沟通，聚焦具体问题，共商指导策略。</w:t>
      </w:r>
    </w:p>
    <w:p w14:paraId="3671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联合考核：最终成绩必须由双导师共同签字确认，任何一方有重大异议，则需启动复核程序。</w:t>
      </w:r>
    </w:p>
    <w:p w14:paraId="6AAAC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3. 技术维：数字化平台的赋能与数据沉淀</w:t>
      </w:r>
    </w:p>
    <w:p w14:paraId="002A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引入专业的实习管理云平台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平台应具备以下模块：</w:t>
      </w:r>
    </w:p>
    <w:p w14:paraId="40AF7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任务管理模块：系统自动推送阶段性任务，学生上传证明材料（视频、文案、图片）。</w:t>
      </w:r>
    </w:p>
    <w:p w14:paraId="6A7BF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过程记录模块：集成“实习电子档案袋”，记录学生的每一次活动设计、反思日志、导师评语。</w:t>
      </w:r>
    </w:p>
    <w:p w14:paraId="3A789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沟通协作模块：支持师生、生生之间的即时交流、小组讨论和视频会议。</w:t>
      </w:r>
    </w:p>
    <w:p w14:paraId="4520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评估考核模块：在线评分系统，双导师、学生自评、同伴互评均在线完成，数据自动汇总分析。</w:t>
      </w:r>
    </w:p>
    <w:p w14:paraId="4EE90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大数据分析用于预警与决策：平台可自动分析数据，如发现某学生反思日志提交延迟、或某项目评分持续偏低，系统可向导师和学生本人发送预警信号，实现早期干预。管理者可宏观查看各基地、各导师的指导情况，为决策提供数据支持。</w:t>
      </w:r>
    </w:p>
    <w:p w14:paraId="270B1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4. 文化维：培育“反思性实践者”的专业成长文化</w:t>
      </w:r>
    </w:p>
    <w:p w14:paraId="18D51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-489585</wp:posOffset>
            </wp:positionH>
            <wp:positionV relativeFrom="paragraph">
              <wp:posOffset>577850</wp:posOffset>
            </wp:positionV>
            <wp:extent cx="6080760" cy="3646170"/>
            <wp:effectExtent l="0" t="0" r="5715" b="1905"/>
            <wp:wrapTight wrapText="bothSides">
              <wp:wrapPolygon>
                <wp:start x="0" y="0"/>
                <wp:lineTo x="0" y="21555"/>
                <wp:lineTo x="21553" y="21555"/>
                <wp:lineTo x="21553" y="0"/>
                <wp:lineTo x="0" y="0"/>
              </wp:wrapPolygon>
            </wp:wrapTight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将“观察-实践-反思”作为实习的核心行为模式，贯穿始终。通过制度设计，将这种模式内化为学生的专业习惯。</w:t>
      </w:r>
    </w:p>
    <w:p w14:paraId="0F463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鼓励建立“实践共同体”，不仅是学生与导师，也包括实习生之间的学习社群，定期开展线上线下的“案例研讨会”，分享成功经验、剖析失败教训，在集体智慧中共同成长。</w:t>
      </w:r>
    </w:p>
    <w:p w14:paraId="5D236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二、评估深化：开发基于“能力本位”的形成性评估模型</w:t>
      </w:r>
    </w:p>
    <w:p w14:paraId="28D07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评估的核心应从“证明”转向“改进”，从“评分”转向“促学”。</w:t>
      </w:r>
    </w:p>
    <w:p w14:paraId="25F3B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1. 建立融合理念的评估指标体系：</w:t>
      </w:r>
    </w:p>
    <w:p w14:paraId="1F1E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借鉴“能力-成果-评估”模型，设计多维度、多等级的评估量表。该量表不仅是打分工具，更是学生学习的“导航图”。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859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C6A6C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一级指标</w:t>
            </w:r>
          </w:p>
        </w:tc>
        <w:tc>
          <w:tcPr>
            <w:tcW w:w="1704" w:type="dxa"/>
          </w:tcPr>
          <w:p w14:paraId="6488222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二级指标（示例）</w:t>
            </w:r>
          </w:p>
        </w:tc>
        <w:tc>
          <w:tcPr>
            <w:tcW w:w="1704" w:type="dxa"/>
          </w:tcPr>
          <w:p w14:paraId="662F4CF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优秀（4分）</w:t>
            </w:r>
          </w:p>
        </w:tc>
        <w:tc>
          <w:tcPr>
            <w:tcW w:w="1705" w:type="dxa"/>
          </w:tcPr>
          <w:p w14:paraId="7F6F7AD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合格（3分）</w:t>
            </w:r>
          </w:p>
        </w:tc>
        <w:tc>
          <w:tcPr>
            <w:tcW w:w="1705" w:type="dxa"/>
          </w:tcPr>
          <w:p w14:paraId="751700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待改进（2分）</w:t>
            </w:r>
          </w:p>
        </w:tc>
      </w:tr>
      <w:tr w14:paraId="05D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31A0ED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专业精神与态度</w:t>
            </w:r>
          </w:p>
        </w:tc>
        <w:tc>
          <w:tcPr>
            <w:tcW w:w="1704" w:type="dxa"/>
          </w:tcPr>
          <w:p w14:paraId="7807CF3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职业认同与责任感</w:t>
            </w:r>
          </w:p>
        </w:tc>
        <w:tc>
          <w:tcPr>
            <w:tcW w:w="1704" w:type="dxa"/>
          </w:tcPr>
          <w:p w14:paraId="56FB485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能深刻理解工作价值，主动承担责任，充满热情</w:t>
            </w:r>
          </w:p>
        </w:tc>
        <w:tc>
          <w:tcPr>
            <w:tcW w:w="1705" w:type="dxa"/>
          </w:tcPr>
          <w:p w14:paraId="5D670E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能完成份内工作，态度端正</w:t>
            </w:r>
          </w:p>
        </w:tc>
        <w:tc>
          <w:tcPr>
            <w:tcW w:w="1705" w:type="dxa"/>
          </w:tcPr>
          <w:p w14:paraId="4FAACBD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工作消极，需不断督促</w:t>
            </w:r>
          </w:p>
        </w:tc>
      </w:tr>
      <w:tr w14:paraId="652D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4E740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保育实践能力</w:t>
            </w:r>
          </w:p>
        </w:tc>
        <w:tc>
          <w:tcPr>
            <w:tcW w:w="1704" w:type="dxa"/>
          </w:tcPr>
          <w:p w14:paraId="50B591E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生活活动的组织与指导</w:t>
            </w:r>
          </w:p>
        </w:tc>
        <w:tc>
          <w:tcPr>
            <w:tcW w:w="1704" w:type="dxa"/>
          </w:tcPr>
          <w:p w14:paraId="299302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能科学、有序、充满关爱地组织环节，能预见并处理问题</w:t>
            </w:r>
          </w:p>
        </w:tc>
        <w:tc>
          <w:tcPr>
            <w:tcW w:w="1705" w:type="dxa"/>
          </w:tcPr>
          <w:p w14:paraId="7D63B7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能按流程完成组织，幼儿安全健康</w:t>
            </w:r>
          </w:p>
        </w:tc>
        <w:tc>
          <w:tcPr>
            <w:tcW w:w="1705" w:type="dxa"/>
          </w:tcPr>
          <w:p w14:paraId="5A8A096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流程不熟，需他人协助</w:t>
            </w:r>
          </w:p>
        </w:tc>
      </w:tr>
      <w:tr w14:paraId="4B62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9322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教育实践能力</w:t>
            </w:r>
          </w:p>
        </w:tc>
        <w:tc>
          <w:tcPr>
            <w:tcW w:w="1704" w:type="dxa"/>
          </w:tcPr>
          <w:p w14:paraId="56E0574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活动设计与实施</w:t>
            </w:r>
          </w:p>
        </w:tc>
        <w:tc>
          <w:tcPr>
            <w:tcW w:w="1704" w:type="dxa"/>
          </w:tcPr>
          <w:p w14:paraId="45A437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目标清晰、过程流畅、互动高效、能灵活调整策略</w:t>
            </w:r>
          </w:p>
        </w:tc>
        <w:tc>
          <w:tcPr>
            <w:tcW w:w="1705" w:type="dxa"/>
          </w:tcPr>
          <w:p w14:paraId="4ACA753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能完成教学，基本达成目标</w:t>
            </w:r>
          </w:p>
        </w:tc>
        <w:tc>
          <w:tcPr>
            <w:tcW w:w="1705" w:type="dxa"/>
          </w:tcPr>
          <w:p w14:paraId="615BACB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依赖教案，缺乏互动与应变</w:t>
            </w:r>
          </w:p>
        </w:tc>
      </w:tr>
    </w:tbl>
    <w:p w14:paraId="5AC1AB0A">
      <w:pPr>
        <w:rPr>
          <w:rFonts w:hint="eastAsia" w:eastAsiaTheme="minorEastAsia"/>
          <w:sz w:val="24"/>
          <w:szCs w:val="24"/>
          <w:lang w:eastAsia="zh-CN"/>
        </w:rPr>
      </w:pPr>
    </w:p>
    <w:p w14:paraId="35BEF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幼儿观察与评价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ab/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能运用多种方法记录，分析深入，能有效支持幼儿发展能记录幼儿行为，并进行简单分类观察记录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-7413625</wp:posOffset>
            </wp:positionV>
            <wp:extent cx="5423535" cy="3435985"/>
            <wp:effectExtent l="0" t="0" r="5715" b="12065"/>
            <wp:wrapTight wrapText="bothSides">
              <wp:wrapPolygon>
                <wp:start x="0" y="0"/>
                <wp:lineTo x="0" y="21436"/>
                <wp:lineTo x="21547" y="21436"/>
                <wp:lineTo x="21547" y="0"/>
                <wp:lineTo x="0" y="0"/>
              </wp:wrapPolygon>
            </wp:wrapTight>
            <wp:docPr id="3" name="图片 3" descr="18e2a7b6-f7c7-4e1c-b108-3964f1287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8e2a7b6-f7c7-4e1c-b108-3964f1287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不客观、不完整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t>。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沟通与合作能力与导师、同事的沟通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主动沟通，能清晰表达想法并虚心求教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能进行必要的工作沟通</w:t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ab/>
      </w: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缺乏沟通或沟通无效</w:t>
      </w:r>
    </w:p>
    <w:p w14:paraId="529B6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2. 实施“证据导向”的多元化评估：</w:t>
      </w:r>
    </w:p>
    <w:p w14:paraId="0BF23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绩效评估： 直接评估学生的实践产出，如对其组织的半日活动进行录像，由双导师基于评估量表进行背对背评分。</w:t>
      </w:r>
    </w:p>
    <w:p w14:paraId="3E9FF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档案袋评估： 综合评估学生的“实习电子档案袋”，看重其成长轨迹和反思深度。</w:t>
      </w:r>
    </w:p>
    <w:p w14:paraId="57182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情境测试： 在实习中后期设置模拟情境（如幼儿突发争吵、家长质疑），考察学生的应急处理能力和专业素养。</w:t>
      </w:r>
    </w:p>
    <w:p w14:paraId="22AA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3. 强化评估结果的反馈与指导功能：</w:t>
      </w:r>
    </w:p>
    <w:p w14:paraId="32103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“三明治”反馈法制度化： 要求导师在给予反馈时，必须遵循“肯定优点—指出问题并提供具体改进策略—给予鼓励和期望”的模式。</w:t>
      </w:r>
    </w:p>
    <w:p w14:paraId="6FB25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召开发展性评估会议： 在实习中期，由学生主持，双导师参加，共同审视其档案袋中的证据，一起分析优势与不足，共同制定个性化的后续学习计划。</w:t>
      </w:r>
    </w:p>
    <w:p w14:paraId="6D1B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三、 保障升级：夯实人、财、物支持的基石</w:t>
      </w:r>
    </w:p>
    <w:p w14:paraId="7122B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1. 师资保障： 设立“实习导师专项基金”，用于支付实践导师的劳务报酬和校内导师的差旅、课时补贴。将指导实习的质量作为教师职称评定、评优评先的重要依据。</w:t>
      </w:r>
    </w:p>
    <w:p w14:paraId="697C0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2. 基地建设： 实施“星级实习基地”评选动态管理，对投入度高、培养质量佳的基地给予招生宣传、课程共建、教师培训等优先权，形成优质优酬的良性循环。</w:t>
      </w:r>
    </w:p>
    <w:p w14:paraId="18024819">
      <w:pPr>
        <w:ind w:firstLine="480" w:firstLineChars="20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-217805</wp:posOffset>
            </wp:positionH>
            <wp:positionV relativeFrom="paragraph">
              <wp:posOffset>61595</wp:posOffset>
            </wp:positionV>
            <wp:extent cx="5932805" cy="3195320"/>
            <wp:effectExtent l="0" t="0" r="1270" b="5080"/>
            <wp:wrapTopAndBottom/>
            <wp:docPr id="9" name="图片 9" descr="da20827b56e33d095822f9e6dacb8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a20827b56e33d095822f9e6dacb84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36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3. 学生支持： 编写《实习生指南》，包含常见问题解答、紧急情况处理流程、心理健康调适方法等。为学生购买实习期间专属意外伤害险，解除后顾之忧。</w:t>
      </w:r>
    </w:p>
    <w:p w14:paraId="3601C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四、借鉴质量管理中的“计划-执行-检查-处理”循环，确保该机制能自我进化。</w:t>
      </w:r>
    </w:p>
    <w:p w14:paraId="252C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计划： 基于上年度的总结，制定本年度实习方案。</w:t>
      </w:r>
    </w:p>
    <w:p w14:paraId="26B2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执行： 按本方案组织实施实习。</w:t>
      </w:r>
    </w:p>
    <w:p w14:paraId="6649E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检查： 通过平台数据、问卷调查（面向学生和导师）、座谈会等多种渠道，全面收集过程与结果数据。</w:t>
      </w:r>
    </w:p>
    <w:p w14:paraId="3A49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处理： 成立由专业负责人、教师代表、园方代表组成的“实习工作委员会”，年度核心任务就是分析检查阶段的数据，诊断问题根源，并修订下一年度的《实习实训标准手册》，从而开启新的循环。</w:t>
      </w:r>
    </w:p>
    <w:p w14:paraId="2B9C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完善实习实训的监督与评估机制，是一项复杂的系统工程，绝非一蹴而就。它要求我们从管理理念、运行模式、技术工具和评价文化上进行一次深刻的变革。本文所提出的“四维一体”监控生态系统，旨在为三年制学前教育专业提供一条标准化、流程化、数据化、人性化的质量提升路径。通过这种精细化的专业治理，我们方能确保每一位准幼师都能在实践的熔炉中得到最有效的淬炼，为其终身专业发展奠定坚实的基石，</w:t>
      </w:r>
      <w:bookmarkStart w:id="0" w:name="_GoBack"/>
      <w:bookmarkEnd w:id="0"/>
      <w:r>
        <w:rPr>
          <w:rFonts w:hint="eastAsia" w:ascii="方正仿宋_GB18030" w:hAnsi="方正仿宋_GB18030" w:eastAsia="方正仿宋_GB18030" w:cs="方正仿宋_GB18030"/>
          <w:b w:val="0"/>
          <w:bCs w:val="0"/>
          <w:sz w:val="32"/>
          <w:szCs w:val="32"/>
        </w:rPr>
        <w:t>最终造福于广大儿童及其家庭。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E9C8F526-8CF0-4F8A-807D-0A16B4B27BC8}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8B447F27-DE17-4EEB-926C-643EB1D9FBDD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3" w:fontKey="{44B79EF8-0243-423A-A346-AD78878B1F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17054"/>
    <w:rsid w:val="12A67527"/>
    <w:rsid w:val="19DD532D"/>
    <w:rsid w:val="4101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2652</Words>
  <Characters>2662</Characters>
  <Lines>0</Lines>
  <Paragraphs>0</Paragraphs>
  <TotalTime>45</TotalTime>
  <ScaleCrop>false</ScaleCrop>
  <LinksUpToDate>false</LinksUpToDate>
  <CharactersWithSpaces>2719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2025-09-03T07:11:00Z</dcterms:created>
  <dc:creator>.</dc:creator>
  <cp:lastModifiedBy>春风十里不如你</cp:lastModifiedBy>
  <dcterms:modified xsi:type="dcterms:W3CDTF">2025-09-08T02:39:14Z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B120DE690B62421C9C2E36D64DE3A06B_13</vt:lpwstr>
  </property>
  <property fmtid="{D5CDD505-2E9C-101B-9397-08002B2CF9AE}" pid="4" name="KSOTemplateDocerSaveRecord">
    <vt:lpwstr>eyJoZGlkIjoiMGFiNmU4Y2I5NTA3ZDYyMDc0MGU2ZThjYTE1ODljM2MiLCJ1c2VySWQiOiIzNjY0MDExMTgifQ==</vt:lpwstr>
  </property>
</Properties>
</file>