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kinsoku w:val="0"/>
        <w:wordWrap/>
        <w:overflowPunct/>
        <w:topLinePunct w:val="0"/>
        <w:autoSpaceDE w:val="0"/>
        <w:autoSpaceDN w:val="0"/>
        <w:bidi w:val="0"/>
        <w:adjustRightInd w:val="0"/>
        <w:snapToGrid w:val="0"/>
        <w:spacing w:line="600" w:lineRule="exact"/>
        <w:jc w:val="center"/>
        <w:textAlignment w:val="baseline"/>
        <w:rPr>
          <w:rFonts w:hint="eastAsia" w:ascii="方正小标宋_GBK" w:hAnsi="方正小标宋_GBK" w:eastAsia="方正小标宋_GBK" w:cs="方正小标宋_GBK"/>
          <w:spacing w:val="26"/>
          <w:sz w:val="43"/>
          <w:szCs w:val="43"/>
        </w:rPr>
      </w:pPr>
      <w:r>
        <w:rPr>
          <w:rFonts w:hint="eastAsia" w:ascii="方正小标宋_GBK" w:hAnsi="方正小标宋_GBK" w:eastAsia="方正小标宋_GBK" w:cs="方正小标宋_GBK"/>
          <w:sz w:val="43"/>
          <w:szCs w:val="43"/>
          <w:lang w:val="en-US" w:eastAsia="zh-CN"/>
        </w:rPr>
        <w:t>婴幼儿托育服务与管理专业《婴幼儿照护</w:t>
      </w:r>
      <w:bookmarkStart w:id="0" w:name="_GoBack"/>
      <w:bookmarkEnd w:id="0"/>
      <w:r>
        <w:rPr>
          <w:rFonts w:hint="eastAsia" w:ascii="方正小标宋_GBK" w:hAnsi="方正小标宋_GBK" w:eastAsia="方正小标宋_GBK" w:cs="方正小标宋_GBK"/>
          <w:sz w:val="43"/>
          <w:szCs w:val="43"/>
          <w:lang w:val="en-US" w:eastAsia="zh-CN"/>
        </w:rPr>
        <w:t>》</w:t>
      </w:r>
      <w:r>
        <w:rPr>
          <w:rFonts w:hint="eastAsia" w:ascii="方正小标宋_GBK" w:hAnsi="方正小标宋_GBK" w:eastAsia="方正小标宋_GBK" w:cs="方正小标宋_GBK"/>
          <w:spacing w:val="26"/>
          <w:sz w:val="43"/>
          <w:szCs w:val="43"/>
        </w:rPr>
        <w:t>课程设计方案</w:t>
      </w:r>
    </w:p>
    <w:p>
      <w:pPr>
        <w:pStyle w:val="2"/>
        <w:keepNext w:val="0"/>
        <w:keepLines w:val="0"/>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eastAsia" w:ascii="方正黑体_GBK" w:hAnsi="方正黑体_GBK" w:eastAsia="方正黑体_GBK" w:cs="方正黑体_GBK"/>
          <w:b w:val="0"/>
          <w:bCs w:val="0"/>
          <w:sz w:val="32"/>
          <w:szCs w:val="32"/>
        </w:rPr>
      </w:pPr>
      <w:r>
        <w:rPr>
          <w:rFonts w:hint="eastAsia" w:ascii="方正黑体_GBK" w:hAnsi="方正黑体_GBK" w:eastAsia="方正黑体_GBK" w:cs="方正黑体_GBK"/>
          <w:b w:val="0"/>
          <w:bCs w:val="0"/>
          <w:sz w:val="32"/>
          <w:szCs w:val="32"/>
        </w:rPr>
        <w:t>一、课程目标</w:t>
      </w:r>
    </w:p>
    <w:p>
      <w:pPr>
        <w:pStyle w:val="3"/>
        <w:keepNext w:val="0"/>
        <w:keepLines w:val="0"/>
        <w:pageBreakBefore w:val="0"/>
        <w:widowControl/>
        <w:kinsoku/>
        <w:wordWrap/>
        <w:overflowPunct/>
        <w:topLinePunct w:val="0"/>
        <w:autoSpaceDE/>
        <w:autoSpaceDN/>
        <w:bidi w:val="0"/>
        <w:adjustRightInd/>
        <w:snapToGrid/>
        <w:spacing w:before="0" w:after="0" w:line="600" w:lineRule="exact"/>
        <w:ind w:firstLine="640" w:firstLineChars="200"/>
        <w:jc w:val="both"/>
        <w:textAlignment w:val="auto"/>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lang w:val="en-US" w:eastAsia="zh-CN"/>
          <w14:textFill>
            <w14:solidFill>
              <w14:schemeClr w14:val="tx1"/>
            </w14:solidFill>
          </w14:textFill>
        </w:rPr>
        <w:t>一</w:t>
      </w: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知识目标</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使学生了解婴幼儿托育服务中劳动教育的内涵、价值与意义。</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熟悉婴幼儿托育各环节中的劳动规范、流程和标准。</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掌握劳动教育融入婴幼儿日常照料、活动组织、环境创设等方面的理论知识。</w:t>
      </w:r>
    </w:p>
    <w:p>
      <w:pPr>
        <w:pStyle w:val="3"/>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lang w:val="en-US" w:eastAsia="zh-CN"/>
          <w14:textFill>
            <w14:solidFill>
              <w14:schemeClr w14:val="tx1"/>
            </w14:solidFill>
          </w14:textFill>
        </w:rPr>
        <w:t>二</w:t>
      </w: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技能目标</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能够在模拟或真实托育场景中，熟练且规范地完成婴幼儿生活照料的各项劳动任务，如喂养、护理、清洁等。</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具备根据婴幼儿发展阶段设计并组织劳动教育活动的能力，引导婴幼儿初步形成正确的劳动意识和习惯 。</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学会运用劳动技能进行托育机构环境创设与维护，包括空间规划、教具制作、卫生消毒等。</w:t>
      </w:r>
    </w:p>
    <w:p>
      <w:pPr>
        <w:pStyle w:val="3"/>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lang w:val="en-US" w:eastAsia="zh-CN"/>
          <w14:textFill>
            <w14:solidFill>
              <w14:schemeClr w14:val="tx1"/>
            </w14:solidFill>
          </w14:textFill>
        </w:rPr>
        <w:t>三</w:t>
      </w: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素质目标</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培养学生热爱婴幼儿托育事业，树立尊重劳动、服务婴幼儿的职业精神。</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增强学生的责任心与耐心，在劳动中关注婴幼儿的需求与安全。</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提升学生的团队协作能力，在托育劳动中与同事、家长有效沟通合作 。</w:t>
      </w:r>
    </w:p>
    <w:p>
      <w:pPr>
        <w:pStyle w:val="2"/>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黑体_GBK" w:hAnsi="方正黑体_GBK" w:eastAsia="方正黑体_GBK" w:cs="方正黑体_GBK"/>
          <w:b w:val="0"/>
          <w:bCs w:val="0"/>
          <w:color w:val="000000" w:themeColor="text1"/>
          <w:sz w:val="32"/>
          <w:szCs w:val="32"/>
          <w14:textFill>
            <w14:solidFill>
              <w14:schemeClr w14:val="tx1"/>
            </w14:solidFill>
          </w14:textFill>
        </w:rPr>
      </w:pPr>
      <w:r>
        <w:rPr>
          <w:rFonts w:hint="eastAsia" w:ascii="方正黑体_GBK" w:hAnsi="方正黑体_GBK" w:eastAsia="方正黑体_GBK" w:cs="方正黑体_GBK"/>
          <w:b w:val="0"/>
          <w:bCs w:val="0"/>
          <w:color w:val="000000" w:themeColor="text1"/>
          <w:sz w:val="32"/>
          <w:szCs w:val="32"/>
          <w:lang w:val="en-US" w:eastAsia="zh-CN"/>
          <w14:textFill>
            <w14:solidFill>
              <w14:schemeClr w14:val="tx1"/>
            </w14:solidFill>
          </w14:textFill>
        </w:rPr>
        <w:t>二、</w:t>
      </w:r>
      <w:r>
        <w:rPr>
          <w:rFonts w:hint="eastAsia" w:ascii="方正黑体_GBK" w:hAnsi="方正黑体_GBK" w:eastAsia="方正黑体_GBK" w:cs="方正黑体_GBK"/>
          <w:b w:val="0"/>
          <w:bCs w:val="0"/>
          <w:color w:val="000000" w:themeColor="text1"/>
          <w:sz w:val="32"/>
          <w:szCs w:val="32"/>
          <w14:textFill>
            <w14:solidFill>
              <w14:schemeClr w14:val="tx1"/>
            </w14:solidFill>
          </w14:textFill>
        </w:rPr>
        <w:t>学情分析</w:t>
      </w:r>
    </w:p>
    <w:p>
      <w:pPr>
        <w:pStyle w:val="3"/>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（一）学生基础特点</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年龄与认知：</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我校婴幼儿托育服务与管理专业</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学生多为1</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7</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-20岁，处于职业认知形成期，对实践操作兴趣高，但理论理解深度不足，需结合具体场景强化知识转化。</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专业储备：已掌握婴幼儿生理心理发展、日常照料等基础理论，但缺乏劳动教育与专业融合的实践经验，需通过真实劳动场景培养“劳动+育幼”复合能力。</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能力倾向：动手能力较强，具备一定沟通协作意识，但面对婴幼儿突发状况时应急处理能力较弱，需在劳动实践中强化责任意识与细节把控。</w:t>
      </w:r>
    </w:p>
    <w:p>
      <w:pPr>
        <w:pStyle w:val="3"/>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（二）学习需求与痛点</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需求：渴望通过劳动实践提升职业技能，明确托育岗位劳动价值，增强就业竞争力。</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痛点：传统劳动教育易与专业脱节，需设计“贴合托育场景、融入育幼需求”的劳动任务，避免“为劳动而劳动”，解决“如何将劳动技能转化为托育服务能力”的核心问题。</w:t>
      </w:r>
    </w:p>
    <w:p>
      <w:pPr>
        <w:pStyle w:val="2"/>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黑体_GBK" w:hAnsi="方正黑体_GBK" w:eastAsia="方正黑体_GBK" w:cs="方正黑体_GBK"/>
          <w:b w:val="0"/>
          <w:bCs w:val="0"/>
          <w:color w:val="000000" w:themeColor="text1"/>
          <w:sz w:val="32"/>
          <w:szCs w:val="32"/>
          <w14:textFill>
            <w14:solidFill>
              <w14:schemeClr w14:val="tx1"/>
            </w14:solidFill>
          </w14:textFill>
        </w:rPr>
      </w:pPr>
      <w:r>
        <w:rPr>
          <w:rFonts w:hint="eastAsia" w:ascii="方正黑体_GBK" w:hAnsi="方正黑体_GBK" w:eastAsia="方正黑体_GBK" w:cs="方正黑体_GBK"/>
          <w:b w:val="0"/>
          <w:bCs w:val="0"/>
          <w:color w:val="000000" w:themeColor="text1"/>
          <w:sz w:val="32"/>
          <w:szCs w:val="32"/>
          <w:lang w:val="en-US" w:eastAsia="zh-CN"/>
          <w14:textFill>
            <w14:solidFill>
              <w14:schemeClr w14:val="tx1"/>
            </w14:solidFill>
          </w14:textFill>
        </w:rPr>
        <w:t>三</w:t>
      </w:r>
      <w:r>
        <w:rPr>
          <w:rFonts w:hint="eastAsia" w:ascii="方正黑体_GBK" w:hAnsi="方正黑体_GBK" w:eastAsia="方正黑体_GBK" w:cs="方正黑体_GBK"/>
          <w:b w:val="0"/>
          <w:bCs w:val="0"/>
          <w:color w:val="000000" w:themeColor="text1"/>
          <w:sz w:val="32"/>
          <w:szCs w:val="32"/>
          <w14:textFill>
            <w14:solidFill>
              <w14:schemeClr w14:val="tx1"/>
            </w14:solidFill>
          </w14:textFill>
        </w:rPr>
        <w:t>、劳动场景设计</w:t>
      </w:r>
    </w:p>
    <w:p>
      <w:pPr>
        <w:pStyle w:val="3"/>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（一）校内模拟场景</w:t>
      </w:r>
    </w:p>
    <w:p>
      <w:pPr>
        <w:pStyle w:val="4"/>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default" w:ascii="Times New Roman" w:hAnsi="Times New Roman" w:eastAsia="方正仿宋_GBK" w:cs="Times New Roman"/>
          <w:b w:val="0"/>
          <w:bCs w:val="0"/>
          <w:color w:val="000000" w:themeColor="text1"/>
          <w:sz w:val="32"/>
          <w:szCs w:val="32"/>
          <w14:textFill>
            <w14:solidFill>
              <w14:schemeClr w14:val="tx1"/>
            </w14:solidFill>
          </w14:textFill>
        </w:rPr>
        <w:t>1. 婴幼儿生活照料实训区</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场景设置：模拟家庭化托育室（含睡眠区、饮食区、清洁区），配备婴幼儿仿真教具、喂养设备、消毒工具等。</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劳动任务：按规范完成</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3-12月龄婴幼儿模拟喂养与餐具清洁</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如冲调奶粉、拍嗝、奶瓶消毒流程）；为</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患病婴幼儿</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设计个性化护理方案（如体温监测、衣物更换、卧室通风消毒），融入</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劳动中的责任心与细心</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培养。</w:t>
      </w:r>
    </w:p>
    <w:p>
      <w:pPr>
        <w:pStyle w:val="4"/>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default" w:ascii="Times New Roman" w:hAnsi="Times New Roman" w:eastAsia="方正仿宋_GBK" w:cs="Times New Roman"/>
          <w:b w:val="0"/>
          <w:bCs w:val="0"/>
          <w:color w:val="000000" w:themeColor="text1"/>
          <w:sz w:val="32"/>
          <w:szCs w:val="32"/>
          <w14:textFill>
            <w14:solidFill>
              <w14:schemeClr w14:val="tx1"/>
            </w14:solidFill>
          </w14:textFill>
        </w:rPr>
        <w:t>2. 托育环创工坊</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场景设置：材料区（废旧纸箱、布料、自然物等）、手工制作区、环创展示区。</w:t>
      </w:r>
    </w:p>
    <w:p>
      <w:pPr>
        <w:pStyle w:val="11"/>
        <w:keepNext w:val="0"/>
        <w:keepLines w:val="0"/>
        <w:pageBreakBefore w:val="0"/>
        <w:widowControl/>
        <w:numPr>
          <w:numId w:val="0"/>
        </w:numPr>
        <w:kinsoku/>
        <w:wordWrap/>
        <w:overflowPunct/>
        <w:topLinePunct w:val="0"/>
        <w:autoSpaceDE/>
        <w:autoSpaceDN/>
        <w:bidi w:val="0"/>
        <w:adjustRightInd/>
        <w:snapToGrid/>
        <w:spacing w:line="600" w:lineRule="exact"/>
        <w:ind w:leftChars="0" w:firstLine="640" w:firstLineChars="200"/>
        <w:jc w:val="both"/>
        <w:textAlignment w:val="auto"/>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劳动任务：以</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环保与教育结合</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为主题，用废旧材料制作婴幼儿感官教具（如触觉布书、可拼接积木）；分组完成托育机构</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节气主题互动墙</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创设（从素材收集、手工制作到墙面布置，融入传统文化与劳动美学）。</w:t>
      </w:r>
    </w:p>
    <w:p>
      <w:pPr>
        <w:pStyle w:val="3"/>
        <w:keepNext w:val="0"/>
        <w:keepLines w:val="0"/>
        <w:pageBreakBefore w:val="0"/>
        <w:widowControl/>
        <w:wordWrap/>
        <w:overflowPunct/>
        <w:topLinePunct w:val="0"/>
        <w:bidi w:val="0"/>
        <w:spacing w:line="600" w:lineRule="exact"/>
        <w:ind w:firstLine="640" w:firstLineChars="200"/>
        <w:jc w:val="both"/>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（二）校外真实场景</w:t>
      </w:r>
    </w:p>
    <w:p>
      <w:pPr>
        <w:pStyle w:val="4"/>
        <w:keepNext w:val="0"/>
        <w:keepLines w:val="0"/>
        <w:pageBreakBefore w:val="0"/>
        <w:widowControl/>
        <w:wordWrap/>
        <w:overflowPunct/>
        <w:topLinePunct w:val="0"/>
        <w:bidi w:val="0"/>
        <w:spacing w:line="600" w:lineRule="exact"/>
        <w:ind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default" w:ascii="Times New Roman" w:hAnsi="Times New Roman" w:eastAsia="方正仿宋_GBK" w:cs="Times New Roman"/>
          <w:b w:val="0"/>
          <w:bCs w:val="0"/>
          <w:color w:val="000000" w:themeColor="text1"/>
          <w:sz w:val="32"/>
          <w:szCs w:val="32"/>
          <w14:textFill>
            <w14:solidFill>
              <w14:schemeClr w14:val="tx1"/>
            </w14:solidFill>
          </w14:textFill>
        </w:rPr>
        <w:t>1. 托育机构实践基地</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场景设置：合作托育园的日常照料区、活动教室、户外场地。</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劳动任务：参与真实婴幼儿生活照料（如协助辅食制作、午睡巡视、衣物清洗消毒），记录</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劳动中的安全注意事项</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（如婴幼儿衣物单独洗涤、消毒剂配比规范）；组织</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小小值日生</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活动（引导2-3岁婴幼儿尝试摆放小水杯、整理绘本架），观察并记录婴幼儿劳动意识发展特点。</w:t>
      </w:r>
    </w:p>
    <w:p>
      <w:pPr>
        <w:pStyle w:val="4"/>
        <w:keepNext w:val="0"/>
        <w:keepLines w:val="0"/>
        <w:pageBreakBefore w:val="0"/>
        <w:widowControl/>
        <w:wordWrap/>
        <w:overflowPunct/>
        <w:topLinePunct w:val="0"/>
        <w:bidi w:val="0"/>
        <w:spacing w:line="600" w:lineRule="exact"/>
        <w:ind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default" w:ascii="Times New Roman" w:hAnsi="Times New Roman" w:eastAsia="方正仿宋_GBK" w:cs="Times New Roman"/>
          <w:b w:val="0"/>
          <w:bCs w:val="0"/>
          <w:color w:val="000000" w:themeColor="text1"/>
          <w:sz w:val="32"/>
          <w:szCs w:val="32"/>
          <w14:textFill>
            <w14:solidFill>
              <w14:schemeClr w14:val="tx1"/>
            </w14:solidFill>
          </w14:textFill>
        </w:rPr>
        <w:t>2. 社区亲子劳动驿站</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场景设置</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社区亲子活动中心、小区户外绿地。</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劳动任务</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策划</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亲子种植小课堂</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（带领家长和婴幼儿种植多肉植物、养护盆栽，讲解浇水、施肥等劳动步骤，培养</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爱护自然</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的劳动态度）；开展</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旧物改造亲子工坊</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（指导家长与婴幼儿用旧毛巾制作玩偶、纸箱搭建</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小超市</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，传递</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劳动创造价值</w:t>
      </w:r>
      <w:r>
        <w:rPr>
          <w:rFonts w:hint="eastAsia" w:ascii="Times New Roman" w:hAnsi="Times New Roman" w:eastAsia="方正仿宋_GBK" w:cs="Times New Roman"/>
          <w:b w:val="0"/>
          <w:bCs w:val="0"/>
          <w:color w:val="000000" w:themeColor="text1"/>
          <w:sz w:val="32"/>
          <w:szCs w:val="32"/>
          <w:lang w:eastAsia="zh-CN"/>
          <w14:textFill>
            <w14:solidFill>
              <w14:schemeClr w14:val="tx1"/>
            </w14:solidFill>
          </w14:textFill>
        </w:rPr>
        <w:t>”</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的理念）。</w:t>
      </w:r>
    </w:p>
    <w:p>
      <w:pPr>
        <w:pStyle w:val="2"/>
        <w:keepNext w:val="0"/>
        <w:keepLines w:val="0"/>
        <w:pageBreakBefore w:val="0"/>
        <w:widowControl/>
        <w:wordWrap/>
        <w:overflowPunct/>
        <w:topLinePunct w:val="0"/>
        <w:bidi w:val="0"/>
        <w:spacing w:line="600" w:lineRule="exact"/>
        <w:ind w:firstLine="640" w:firstLineChars="200"/>
        <w:jc w:val="both"/>
        <w:rPr>
          <w:rFonts w:hint="eastAsia" w:ascii="方正黑体_GBK" w:hAnsi="方正黑体_GBK" w:eastAsia="方正黑体_GBK" w:cs="方正黑体_GBK"/>
          <w:b w:val="0"/>
          <w:bCs w:val="0"/>
          <w:color w:val="000000" w:themeColor="text1"/>
          <w:sz w:val="32"/>
          <w:szCs w:val="32"/>
          <w14:textFill>
            <w14:solidFill>
              <w14:schemeClr w14:val="tx1"/>
            </w14:solidFill>
          </w14:textFill>
        </w:rPr>
      </w:pPr>
      <w:r>
        <w:rPr>
          <w:rFonts w:hint="eastAsia" w:ascii="方正黑体_GBK" w:hAnsi="方正黑体_GBK" w:eastAsia="方正黑体_GBK" w:cs="方正黑体_GBK"/>
          <w:b w:val="0"/>
          <w:bCs w:val="0"/>
          <w:color w:val="000000" w:themeColor="text1"/>
          <w:sz w:val="32"/>
          <w:szCs w:val="32"/>
          <w:lang w:val="en-US" w:eastAsia="zh-CN"/>
          <w14:textFill>
            <w14:solidFill>
              <w14:schemeClr w14:val="tx1"/>
            </w14:solidFill>
          </w14:textFill>
        </w:rPr>
        <w:t>四</w:t>
      </w:r>
      <w:r>
        <w:rPr>
          <w:rFonts w:hint="eastAsia" w:ascii="方正黑体_GBK" w:hAnsi="方正黑体_GBK" w:eastAsia="方正黑体_GBK" w:cs="方正黑体_GBK"/>
          <w:b w:val="0"/>
          <w:bCs w:val="0"/>
          <w:color w:val="000000" w:themeColor="text1"/>
          <w:sz w:val="32"/>
          <w:szCs w:val="32"/>
          <w14:textFill>
            <w14:solidFill>
              <w14:schemeClr w14:val="tx1"/>
            </w14:solidFill>
          </w14:textFill>
        </w:rPr>
        <w:t>、教学评价</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lang w:val="en-US" w:eastAsia="zh-CN"/>
          <w14:textFill>
            <w14:solidFill>
              <w14:schemeClr w14:val="tx1"/>
            </w14:solidFill>
          </w14:textFill>
        </w:rPr>
        <w:t>一</w:t>
      </w: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过程性评价（60%）</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课堂表现（20%）：包括出勤情况、课堂参与度（提问回答、小组讨论表现等）、学习态度等。</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实践操作（30%）：根据学生在实训基地或校外实习期间的劳动实践表现进行评价，如生活照料的规范性、活动组织的有效性、环境创设的质量等。</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3.</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作业与项目完成情况（10%）：对学生的课后作业、项目报告、劳动教育活动设计方案等进行评价，考察学生对知识的掌握与应用能力。</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eastAsia" w:ascii="方正楷体_GBK" w:hAnsi="方正楷体_GBK" w:eastAsia="方正楷体_GBK" w:cs="方正楷体_GBK"/>
          <w:b w:val="0"/>
          <w:bCs w:val="0"/>
          <w:color w:val="000000" w:themeColor="text1"/>
          <w:sz w:val="32"/>
          <w:szCs w:val="32"/>
          <w14:textFill>
            <w14:solidFill>
              <w14:schemeClr w14:val="tx1"/>
            </w14:solidFill>
          </w14:textFill>
        </w:rPr>
      </w:pP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lang w:val="en-US" w:eastAsia="zh-CN"/>
          <w14:textFill>
            <w14:solidFill>
              <w14:schemeClr w14:val="tx1"/>
            </w14:solidFill>
          </w14:textFill>
        </w:rPr>
        <w:t>二</w:t>
      </w:r>
      <w:r>
        <w:rPr>
          <w:rFonts w:hint="eastAsia" w:ascii="方正楷体_GBK" w:hAnsi="方正楷体_GBK" w:eastAsia="方正楷体_GBK" w:cs="方正楷体_GBK"/>
          <w:b w:val="0"/>
          <w:bCs w:val="0"/>
          <w:color w:val="000000" w:themeColor="text1"/>
          <w:sz w:val="32"/>
          <w:szCs w:val="32"/>
          <w:lang w:eastAsia="zh-CN"/>
          <w14:textFill>
            <w14:solidFill>
              <w14:schemeClr w14:val="tx1"/>
            </w14:solidFill>
          </w14:textFill>
        </w:rPr>
        <w:t>）</w:t>
      </w:r>
      <w:r>
        <w:rPr>
          <w:rFonts w:hint="eastAsia" w:ascii="方正楷体_GBK" w:hAnsi="方正楷体_GBK" w:eastAsia="方正楷体_GBK" w:cs="方正楷体_GBK"/>
          <w:b w:val="0"/>
          <w:bCs w:val="0"/>
          <w:color w:val="000000" w:themeColor="text1"/>
          <w:sz w:val="32"/>
          <w:szCs w:val="32"/>
          <w14:textFill>
            <w14:solidFill>
              <w14:schemeClr w14:val="tx1"/>
            </w14:solidFill>
          </w14:textFill>
        </w:rPr>
        <w:t>终结性评价（40%）</w:t>
      </w:r>
    </w:p>
    <w:p>
      <w:pPr>
        <w:pStyle w:val="11"/>
        <w:keepNext w:val="0"/>
        <w:keepLines w:val="0"/>
        <w:pageBreakBefore w:val="0"/>
        <w:widowControl/>
        <w:numPr>
          <w:numId w:val="0"/>
        </w:numPr>
        <w:wordWrap/>
        <w:overflowPunct/>
        <w:topLinePunct w:val="0"/>
        <w:bidi w:val="0"/>
        <w:spacing w:line="600" w:lineRule="exact"/>
        <w:ind w:leftChars="0" w:firstLine="640" w:firstLineChars="200"/>
        <w:jc w:val="both"/>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1.</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理论考试（30%）：采用闭卷考试形式，考查学生对婴幼儿托育服务与管理专业劳动教育的理论知识掌握程度。</w:t>
      </w:r>
    </w:p>
    <w:p>
      <w:pPr>
        <w:pStyle w:val="5"/>
        <w:keepNext w:val="0"/>
        <w:keepLines w:val="0"/>
        <w:pageBreakBefore w:val="0"/>
        <w:widowControl/>
        <w:kinsoku w:val="0"/>
        <w:wordWrap/>
        <w:overflowPunct/>
        <w:topLinePunct w:val="0"/>
        <w:autoSpaceDE w:val="0"/>
        <w:autoSpaceDN w:val="0"/>
        <w:bidi w:val="0"/>
        <w:adjustRightInd w:val="0"/>
        <w:snapToGrid w:val="0"/>
        <w:spacing w:before="144" w:line="600" w:lineRule="exact"/>
        <w:ind w:left="34" w:right="145" w:firstLine="640" w:firstLineChars="200"/>
        <w:jc w:val="both"/>
        <w:textAlignment w:val="baseline"/>
        <w:rPr>
          <w:rFonts w:hint="default" w:ascii="Times New Roman" w:hAnsi="Times New Roman" w:eastAsia="方正仿宋_GBK" w:cs="Times New Roman"/>
          <w:b w:val="0"/>
          <w:bCs w:val="0"/>
          <w:color w:val="000000" w:themeColor="text1"/>
          <w:sz w:val="32"/>
          <w:szCs w:val="32"/>
          <w14:textFill>
            <w14:solidFill>
              <w14:schemeClr w14:val="tx1"/>
            </w14:solidFill>
          </w14:textFill>
        </w:rPr>
      </w:pPr>
      <w:r>
        <w:rPr>
          <w:rFonts w:hint="eastAsia" w:ascii="Times New Roman" w:hAnsi="Times New Roman" w:eastAsia="方正仿宋_GBK" w:cs="Times New Roman"/>
          <w:b w:val="0"/>
          <w:bCs w:val="0"/>
          <w:color w:val="000000" w:themeColor="text1"/>
          <w:sz w:val="32"/>
          <w:szCs w:val="32"/>
          <w:lang w:val="en-US" w:eastAsia="zh-CN"/>
          <w14:textFill>
            <w14:solidFill>
              <w14:schemeClr w14:val="tx1"/>
            </w14:solidFill>
          </w14:textFill>
        </w:rPr>
        <w:t>2.</w:t>
      </w:r>
      <w:r>
        <w:rPr>
          <w:rFonts w:hint="default" w:ascii="Times New Roman" w:hAnsi="Times New Roman" w:eastAsia="方正仿宋_GBK" w:cs="Times New Roman"/>
          <w:b w:val="0"/>
          <w:bCs w:val="0"/>
          <w:color w:val="000000" w:themeColor="text1"/>
          <w:sz w:val="32"/>
          <w:szCs w:val="32"/>
          <w14:textFill>
            <w14:solidFill>
              <w14:schemeClr w14:val="tx1"/>
            </w14:solidFill>
          </w14:textFill>
        </w:rPr>
        <w:t>综合实践考核（10%）：在课程结束时，设置综合性的实践考核任务（如独立组织一次婴幼儿劳动教育活动并进行展示），全面考核学生的知识与技能水平。</w:t>
      </w:r>
    </w:p>
    <w:p>
      <w:pPr>
        <w:pStyle w:val="5"/>
        <w:keepNext w:val="0"/>
        <w:keepLines w:val="0"/>
        <w:pageBreakBefore w:val="0"/>
        <w:widowControl/>
        <w:kinsoku w:val="0"/>
        <w:wordWrap/>
        <w:overflowPunct/>
        <w:topLinePunct w:val="0"/>
        <w:autoSpaceDE w:val="0"/>
        <w:autoSpaceDN w:val="0"/>
        <w:bidi w:val="0"/>
        <w:adjustRightInd w:val="0"/>
        <w:snapToGrid w:val="0"/>
        <w:spacing w:before="144" w:line="600" w:lineRule="exact"/>
        <w:ind w:left="34" w:right="145" w:firstLine="636"/>
        <w:jc w:val="both"/>
        <w:textAlignment w:val="baseline"/>
        <w:rPr>
          <w:rFonts w:hint="default" w:ascii="Times New Roman" w:hAnsi="Times New Roman" w:cs="Times New Roman"/>
        </w:rPr>
      </w:pPr>
    </w:p>
    <w:sectPr>
      <w:footerReference r:id="rId5" w:type="default"/>
      <w:pgSz w:w="11906" w:h="16839"/>
      <w:pgMar w:top="1440" w:right="1803" w:bottom="1440" w:left="1803" w:header="0" w:footer="83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黑体_GBK">
    <w:panose1 w:val="03000509000000000000"/>
    <w:charset w:val="86"/>
    <w:family w:val="auto"/>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DIN Next LT Pro Light">
    <w:panose1 w:val="020B0303020203050203"/>
    <w:charset w:val="00"/>
    <w:family w:val="auto"/>
    <w:pitch w:val="default"/>
    <w:sig w:usb0="A00000AF" w:usb1="5000205B" w:usb2="00000000" w:usb3="00000000" w:csb0="20000093"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方正楷体_GBK">
    <w:panose1 w:val="03000509000000000000"/>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 w:line="185" w:lineRule="auto"/>
      <w:ind w:left="8172"/>
      <w:rPr>
        <w:rFonts w:ascii="Times New Roman" w:hAnsi="Times New Roman" w:eastAsia="Times New Roman" w:cs="Times New Roman"/>
        <w:sz w:val="31"/>
        <w:szCs w:val="31"/>
      </w:rPr>
    </w:pPr>
    <w:r>
      <w:rPr>
        <w:sz w:val="3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GJjOTA0NmVhYzhlNDA5YWMxYTAwN2I5MWIzZTg2YmIifQ=="/>
  </w:docVars>
  <w:rsids>
    <w:rsidRoot w:val="00000000"/>
    <w:rsid w:val="002B06D1"/>
    <w:rsid w:val="016043AA"/>
    <w:rsid w:val="026D6CB9"/>
    <w:rsid w:val="02D52B76"/>
    <w:rsid w:val="042F62B6"/>
    <w:rsid w:val="05740424"/>
    <w:rsid w:val="068E19BA"/>
    <w:rsid w:val="06D849E3"/>
    <w:rsid w:val="07966D78"/>
    <w:rsid w:val="07AD79A3"/>
    <w:rsid w:val="080C528C"/>
    <w:rsid w:val="08D30F11"/>
    <w:rsid w:val="09383E5F"/>
    <w:rsid w:val="0A11558B"/>
    <w:rsid w:val="0A51342A"/>
    <w:rsid w:val="0ABE2142"/>
    <w:rsid w:val="0B7D1FFD"/>
    <w:rsid w:val="0B865355"/>
    <w:rsid w:val="0D3A1F53"/>
    <w:rsid w:val="0E455054"/>
    <w:rsid w:val="0EAC50D3"/>
    <w:rsid w:val="0F0F11BE"/>
    <w:rsid w:val="0F1A64E0"/>
    <w:rsid w:val="0FC1695C"/>
    <w:rsid w:val="1021389E"/>
    <w:rsid w:val="10644A04"/>
    <w:rsid w:val="11671785"/>
    <w:rsid w:val="12445622"/>
    <w:rsid w:val="1276498D"/>
    <w:rsid w:val="12843C71"/>
    <w:rsid w:val="129B16E6"/>
    <w:rsid w:val="13D03611"/>
    <w:rsid w:val="1432607A"/>
    <w:rsid w:val="14F96B98"/>
    <w:rsid w:val="152359C3"/>
    <w:rsid w:val="164200CB"/>
    <w:rsid w:val="16AD7C3A"/>
    <w:rsid w:val="17171557"/>
    <w:rsid w:val="17EC02EE"/>
    <w:rsid w:val="18736C61"/>
    <w:rsid w:val="19EA4C66"/>
    <w:rsid w:val="1A400DC5"/>
    <w:rsid w:val="1AF916A0"/>
    <w:rsid w:val="1B5C578B"/>
    <w:rsid w:val="1C502276"/>
    <w:rsid w:val="1C752FA8"/>
    <w:rsid w:val="1DEC729A"/>
    <w:rsid w:val="1F264A2D"/>
    <w:rsid w:val="1F4E188E"/>
    <w:rsid w:val="21BF4CC5"/>
    <w:rsid w:val="21F042F8"/>
    <w:rsid w:val="245931AF"/>
    <w:rsid w:val="25902C01"/>
    <w:rsid w:val="25F018F1"/>
    <w:rsid w:val="263A6BC9"/>
    <w:rsid w:val="26606A77"/>
    <w:rsid w:val="26EF3720"/>
    <w:rsid w:val="271433BD"/>
    <w:rsid w:val="277F76C7"/>
    <w:rsid w:val="27E70AD2"/>
    <w:rsid w:val="28497097"/>
    <w:rsid w:val="2B0B4AD7"/>
    <w:rsid w:val="2B1C4F36"/>
    <w:rsid w:val="2C7A1F15"/>
    <w:rsid w:val="2CD86C3B"/>
    <w:rsid w:val="2D855015"/>
    <w:rsid w:val="2E783CFE"/>
    <w:rsid w:val="2F9B467C"/>
    <w:rsid w:val="3098505F"/>
    <w:rsid w:val="310A77EA"/>
    <w:rsid w:val="31D71BB7"/>
    <w:rsid w:val="32CB34CA"/>
    <w:rsid w:val="32E60304"/>
    <w:rsid w:val="372238D5"/>
    <w:rsid w:val="37A4253C"/>
    <w:rsid w:val="37C14E9C"/>
    <w:rsid w:val="37F54B45"/>
    <w:rsid w:val="3BE92C13"/>
    <w:rsid w:val="3D01278A"/>
    <w:rsid w:val="3D1E4B3E"/>
    <w:rsid w:val="3DA05553"/>
    <w:rsid w:val="3E7F33BB"/>
    <w:rsid w:val="40C82734"/>
    <w:rsid w:val="41197AF6"/>
    <w:rsid w:val="41455C40"/>
    <w:rsid w:val="42224789"/>
    <w:rsid w:val="428E0070"/>
    <w:rsid w:val="42E3216A"/>
    <w:rsid w:val="43DB1093"/>
    <w:rsid w:val="441A605F"/>
    <w:rsid w:val="446B68BB"/>
    <w:rsid w:val="44B00772"/>
    <w:rsid w:val="44F3065E"/>
    <w:rsid w:val="450F36EA"/>
    <w:rsid w:val="4597723C"/>
    <w:rsid w:val="47A10846"/>
    <w:rsid w:val="4924528A"/>
    <w:rsid w:val="4A875F5A"/>
    <w:rsid w:val="4D183358"/>
    <w:rsid w:val="4D5D6FBD"/>
    <w:rsid w:val="4E8011B5"/>
    <w:rsid w:val="4F50502B"/>
    <w:rsid w:val="4F563CC4"/>
    <w:rsid w:val="4FF37764"/>
    <w:rsid w:val="501E0C85"/>
    <w:rsid w:val="5043249A"/>
    <w:rsid w:val="507408A5"/>
    <w:rsid w:val="51D51818"/>
    <w:rsid w:val="52EF4B5B"/>
    <w:rsid w:val="53083527"/>
    <w:rsid w:val="531620E8"/>
    <w:rsid w:val="53230361"/>
    <w:rsid w:val="535B3F9E"/>
    <w:rsid w:val="547C41CC"/>
    <w:rsid w:val="54B71FD7"/>
    <w:rsid w:val="54CD2C7A"/>
    <w:rsid w:val="55911EF9"/>
    <w:rsid w:val="568E01E7"/>
    <w:rsid w:val="56A65531"/>
    <w:rsid w:val="576C677A"/>
    <w:rsid w:val="57C5207C"/>
    <w:rsid w:val="58B53031"/>
    <w:rsid w:val="58B54151"/>
    <w:rsid w:val="59E7658C"/>
    <w:rsid w:val="59FE5684"/>
    <w:rsid w:val="5AE91E90"/>
    <w:rsid w:val="5CE24DE9"/>
    <w:rsid w:val="5D9B16D6"/>
    <w:rsid w:val="5DEB5F1F"/>
    <w:rsid w:val="5DFD637E"/>
    <w:rsid w:val="5E800D5D"/>
    <w:rsid w:val="60365B77"/>
    <w:rsid w:val="60597AB8"/>
    <w:rsid w:val="62A414BE"/>
    <w:rsid w:val="62C531E2"/>
    <w:rsid w:val="64065B95"/>
    <w:rsid w:val="65A610A9"/>
    <w:rsid w:val="68774F7F"/>
    <w:rsid w:val="6A9516EC"/>
    <w:rsid w:val="6BA936A1"/>
    <w:rsid w:val="6CBD4F2A"/>
    <w:rsid w:val="6D125276"/>
    <w:rsid w:val="6DF130DE"/>
    <w:rsid w:val="6EE60768"/>
    <w:rsid w:val="6F9603E0"/>
    <w:rsid w:val="6FCD1928"/>
    <w:rsid w:val="71885CDA"/>
    <w:rsid w:val="71C151DC"/>
    <w:rsid w:val="7246449D"/>
    <w:rsid w:val="72C07522"/>
    <w:rsid w:val="73D2575F"/>
    <w:rsid w:val="74942A15"/>
    <w:rsid w:val="74E05C5A"/>
    <w:rsid w:val="75EA6D90"/>
    <w:rsid w:val="77505319"/>
    <w:rsid w:val="77514BED"/>
    <w:rsid w:val="779276DF"/>
    <w:rsid w:val="7883171E"/>
    <w:rsid w:val="791365FE"/>
    <w:rsid w:val="7B654819"/>
    <w:rsid w:val="7C4F3DF1"/>
    <w:rsid w:val="7C5F1B5A"/>
    <w:rsid w:val="7C725D31"/>
    <w:rsid w:val="7CD51E1C"/>
    <w:rsid w:val="7D9D6DDE"/>
    <w:rsid w:val="7E2117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3">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4">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微软雅黑" w:hAnsi="微软雅黑" w:eastAsia="微软雅黑" w:cs="微软雅黑"/>
      <w:sz w:val="31"/>
      <w:szCs w:val="31"/>
      <w:lang w:val="en-US" w:eastAsia="en-US"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_Style 13"/>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16</TotalTime>
  <ScaleCrop>false</ScaleCrop>
  <LinksUpToDate>false</LinksUpToDate>
  <Application>WPS Office_12.1.0.15990_F1E327BC-269C-435d-A152-05C5408002CA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2025-05-15T09:24:00Z</dcterms:created>
  <dc:creator>用户文书</dc:creator>
  <cp:lastModifiedBy>张晓璐</cp:lastModifiedBy>
  <dcterms:modified xsi:type="dcterms:W3CDTF">2025-06-08T16:29:06Z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2025-06-08T23:48:54Z</vt:filetime>
  </property>
  <property fmtid="{D5CDD505-2E9C-101B-9397-08002B2CF9AE}" pid="4" name="KSOProductBuildVer">
    <vt:lpwstr>2052-12.1.0.15990</vt:lpwstr>
  </property>
  <property fmtid="{D5CDD505-2E9C-101B-9397-08002B2CF9AE}" pid="5" name="ICV">
    <vt:lpwstr>B3409E0C82034B6EBAFA14ED1A3BE744_12</vt:lpwstr>
  </property>
</Properties>
</file>