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CE09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16" w:afterAutospacing="0" w:line="600" w:lineRule="exact"/>
        <w:ind w:left="0" w:right="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Style w:val="6"/>
          <w:rFonts w:hint="eastAsia" w:ascii="方正小标宋简体" w:hAnsi="方正小标宋简体" w:eastAsia="方正小标宋简体" w:cs="方正小标宋简体"/>
          <w:i w:val="0"/>
          <w:iCs w:val="0"/>
          <w:caps w:val="0"/>
          <w:color w:val="000000"/>
          <w:spacing w:val="0"/>
          <w:sz w:val="44"/>
          <w:szCs w:val="44"/>
        </w:rPr>
        <w:t>2024级人才培养方案课程结构分析说明</w:t>
      </w:r>
    </w:p>
    <w:p w14:paraId="39CA8C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据学前教育专业的实际需求和人才培养目标，结合行业发展趋势及社会对学前教育人才的要求，本方案在课程设置上进行了科学合理的规划。具体说明如下：</w:t>
      </w:r>
    </w:p>
    <w:p w14:paraId="247F84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一、课程结构科学合理</w:t>
      </w:r>
    </w:p>
    <w:p w14:paraId="3D2F5FF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1.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公共基础课程设置</w:t>
      </w:r>
    </w:p>
    <w:p w14:paraId="0EFCB6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公共基础课程作为人才培养的重要部分，主要涵盖思想政治、法律、文化、英语等方面的知识。这些课程不仅为学生打下坚实的文化和思想基础，也帮助学生树立正确的社会价值观。根据国家教育部的要求，公共基础课程的已设定为不少于总学时的25%。</w:t>
      </w:r>
      <w:r>
        <w:rPr>
          <w:rFonts w:hint="eastAsia" w:ascii="方正仿宋_GBK" w:hAnsi="方正仿宋_GBK" w:eastAsia="方正仿宋_GBK" w:cs="方正仿宋_GBK"/>
          <w:sz w:val="32"/>
          <w:szCs w:val="32"/>
          <w:lang w:eastAsia="zh-CN"/>
        </w:rPr>
        <w:t>我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校2024级人才培养方案中公共基础课程学时726，总学时2832，占比25.6%。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这部分课程确保学生在专业学习的同时，具备更广泛的知识体系和人文素养。（详情可见附件）</w:t>
      </w:r>
    </w:p>
    <w:p w14:paraId="19C3A6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2.</w:t>
      </w:r>
      <w:r>
        <w:rPr>
          <w:rFonts w:hint="eastAsia" w:ascii="黑体" w:hAnsi="黑体" w:eastAsia="黑体" w:cs="黑体"/>
          <w:sz w:val="32"/>
          <w:szCs w:val="32"/>
        </w:rPr>
        <w:t>专业课程设计与职业岗位对接</w:t>
      </w:r>
    </w:p>
    <w:p w14:paraId="226808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专业课程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分为专业基础课20门，专业核心课6门，专业限选课5门，专业选修课两门。课程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设置紧扣学前教育行业岗位需求，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专业基础课中五大领域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课程内容与未来就业岗位要求紧密对接。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专业基础课中舞蹈、钢琴、声乐、美术与手工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在课程内容上注重理论与实践的结合，特别强调幼儿园日常教学等方面的知识。课程设置上具有递进性，从基础课程到专业课程逐步深化，确保学生在逐步掌握理论知识的同时，不断提高其实践能力。这些专业课程旨在培养能够适应学前教育岗位需求、具备独立教学和创新能力的专业人才。</w:t>
      </w:r>
    </w:p>
    <w:p w14:paraId="104A44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3.</w:t>
      </w:r>
      <w:r>
        <w:rPr>
          <w:rFonts w:hint="eastAsia" w:ascii="黑体" w:hAnsi="黑体" w:eastAsia="黑体" w:cs="黑体"/>
          <w:sz w:val="32"/>
          <w:szCs w:val="32"/>
        </w:rPr>
        <w:t>实践教学占比突出</w:t>
      </w:r>
    </w:p>
    <w:p w14:paraId="6E8D66F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2024级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人才培养方案高度重视实践教学，安排了丰富的实践环节，确保学生能够在真实教学环境中不断提升自己的教育实践能力。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其中专业课程占比总学时30.9%，认识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见习、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岗位实习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、社会服务项目、课堂模拟等多种形式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实践学时450学时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，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以上实践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学时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1556学时占比总学时54.9%，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占比不少于总学时的50%。这一比例充分体现了学前教育专业对学生实践能力的重视，确保学生毕业时能够胜任工作岗位的实际需求。</w:t>
      </w:r>
    </w:p>
    <w:p w14:paraId="21B22D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4.</w:t>
      </w:r>
      <w:r>
        <w:rPr>
          <w:rFonts w:hint="eastAsia" w:ascii="黑体" w:hAnsi="黑体" w:eastAsia="黑体" w:cs="黑体"/>
          <w:sz w:val="32"/>
          <w:szCs w:val="32"/>
        </w:rPr>
        <w:t>选修课程体现专业和区域特色</w:t>
      </w:r>
    </w:p>
    <w:p w14:paraId="66A20F4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选修课程部分主要考虑到学前教育的多元化发展需求及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德宏州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地区的文化特色，设置了如“</w:t>
      </w:r>
      <w:r>
        <w:rPr>
          <w:rFonts w:hint="eastAsia" w:ascii="方正仿宋_GBK" w:hAnsi="方正仿宋_GBK" w:eastAsia="方正仿宋_GBK" w:cs="方正仿宋_GBK"/>
          <w:sz w:val="32"/>
          <w:szCs w:val="32"/>
          <w:lang w:val="en-US" w:eastAsia="zh-CN"/>
        </w:rPr>
        <w:t>葫芦丝制作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”具有区域特色的课程。选修课程不仅为学生提供了多样的学习选择，还丰富了学生的学习内容，提升了他们的综合素养。选修课确保学生能够根据个人兴趣和专业方向，进行深度学习与拓展。</w:t>
      </w:r>
    </w:p>
    <w:p w14:paraId="507EC5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二、总结</w:t>
      </w:r>
    </w:p>
    <w:p w14:paraId="02D7ED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整体而言，2024级学前教育专业的人才培养方案，在课程设置上具有系统性和科学性，注重公共基础课程与专业课程的平衡，实践教学环节紧密衔接职业岗位要求。通过合理安排选修课程，体现了学科特色和区域特色，培养学生的综合能力，满足未来社会对学前教育人才的需求。此课程结构为学生提供了一个全面、系统的学习框架，充分保障了学前教育专业人才培养质量。</w:t>
      </w:r>
    </w:p>
    <w:p w14:paraId="50EAD2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6CF6F3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1DC2B98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5FC159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1342DCF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9BC20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0FA4A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10AB0E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68C096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683411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44833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20CFE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C7A841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BA4D8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9FF5F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8BA67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1B74A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5DE4FB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C0792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03ADF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95B163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BF6D1B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72CBA3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_GoBack"/>
      <w:bookmarkEnd w:id="0"/>
    </w:p>
    <w:p w14:paraId="43C138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附件</w:t>
      </w:r>
    </w:p>
    <w:p w14:paraId="3B9E05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2024级学前教育专业教学进程表</w:t>
      </w:r>
    </w:p>
    <w:tbl>
      <w:tblPr>
        <w:tblStyle w:val="4"/>
        <w:tblW w:w="8948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9"/>
        <w:gridCol w:w="777"/>
        <w:gridCol w:w="957"/>
        <w:gridCol w:w="23"/>
        <w:gridCol w:w="1384"/>
        <w:gridCol w:w="476"/>
        <w:gridCol w:w="406"/>
        <w:gridCol w:w="476"/>
        <w:gridCol w:w="411"/>
        <w:gridCol w:w="478"/>
        <w:gridCol w:w="478"/>
        <w:gridCol w:w="382"/>
        <w:gridCol w:w="382"/>
        <w:gridCol w:w="382"/>
        <w:gridCol w:w="382"/>
        <w:gridCol w:w="382"/>
        <w:gridCol w:w="383"/>
      </w:tblGrid>
      <w:tr w14:paraId="5F0A3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AD6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课程类别</w:t>
            </w:r>
          </w:p>
        </w:tc>
        <w:tc>
          <w:tcPr>
            <w:tcW w:w="777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821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序号</w:t>
            </w:r>
          </w:p>
        </w:tc>
        <w:tc>
          <w:tcPr>
            <w:tcW w:w="980" w:type="dxa"/>
            <w:gridSpan w:val="2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9CE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课程性质</w:t>
            </w:r>
          </w:p>
        </w:tc>
        <w:tc>
          <w:tcPr>
            <w:tcW w:w="1384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DE6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课程名称</w:t>
            </w:r>
          </w:p>
        </w:tc>
        <w:tc>
          <w:tcPr>
            <w:tcW w:w="1358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D12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学时</w:t>
            </w:r>
          </w:p>
        </w:tc>
        <w:tc>
          <w:tcPr>
            <w:tcW w:w="411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7A1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学分</w:t>
            </w:r>
          </w:p>
        </w:tc>
        <w:tc>
          <w:tcPr>
            <w:tcW w:w="47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FCA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考试</w:t>
            </w:r>
          </w:p>
        </w:tc>
        <w:tc>
          <w:tcPr>
            <w:tcW w:w="478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BAB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考查</w:t>
            </w:r>
          </w:p>
        </w:tc>
        <w:tc>
          <w:tcPr>
            <w:tcW w:w="2293" w:type="dxa"/>
            <w:gridSpan w:val="6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9FA9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学时分配</w:t>
            </w:r>
          </w:p>
        </w:tc>
      </w:tr>
      <w:tr w14:paraId="0694B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847D09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73B4CB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980" w:type="dxa"/>
            <w:gridSpan w:val="2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8ADD3A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C69886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AD0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合计</w:t>
            </w:r>
          </w:p>
        </w:tc>
        <w:tc>
          <w:tcPr>
            <w:tcW w:w="406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2D5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理论</w:t>
            </w:r>
          </w:p>
        </w:tc>
        <w:tc>
          <w:tcPr>
            <w:tcW w:w="476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E69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实验实训</w:t>
            </w:r>
          </w:p>
        </w:tc>
        <w:tc>
          <w:tcPr>
            <w:tcW w:w="41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C9FD6B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B88455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E8E543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6BF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第一学年</w:t>
            </w:r>
          </w:p>
        </w:tc>
        <w:tc>
          <w:tcPr>
            <w:tcW w:w="76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206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第二学年</w:t>
            </w:r>
          </w:p>
        </w:tc>
        <w:tc>
          <w:tcPr>
            <w:tcW w:w="76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C96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第三学年</w:t>
            </w:r>
          </w:p>
        </w:tc>
      </w:tr>
      <w:tr w14:paraId="473E0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89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8E3725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237B24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980" w:type="dxa"/>
            <w:gridSpan w:val="2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930EA6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8E535C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361FAD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0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22C3D2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9108D6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11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AB7CFE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E8FB61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6105B8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E3C167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F0B7DE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81CCA9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3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98F31D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A19525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3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3FF1A4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</w:tr>
      <w:tr w14:paraId="26024F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9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B48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公共基础课</w:t>
            </w: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016A36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980" w:type="dxa"/>
            <w:gridSpan w:val="2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741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必修课</w:t>
            </w: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1E9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军事理论（线上）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9CFDEA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1B8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699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0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E90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8ACC77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7806D4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F0C3B3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288324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20C904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68EAB3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44F39A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8C87F6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347EF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F1057C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302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8999DF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C0A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军事训练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3A7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周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960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0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7A4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周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42B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CD1BF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FA6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4CB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周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A3927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B12AC7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1B2DE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F2EBB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0AD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72916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4A28AA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15F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62E038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C5F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大学生职业生涯规划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164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4F9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9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02D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9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251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AFB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089F9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D18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F789B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B496E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99FD5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F5D1B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DA6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657CC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218D87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A49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FB5E9C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861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劳动教育（线上）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590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D1A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CEC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0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E1C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9C6E1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F33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63BCB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312F6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BDF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讲座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7CF35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7FA3E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BF4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41935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5E5C8C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317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8F08BD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259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体育与健康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288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108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D69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12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0C6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96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FB6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23E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AF74E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DED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3D5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0B6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E3AB9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E946F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6FF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2CB73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454F48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4DE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AC5575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315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大学英语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3A0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BBD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951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0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D78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072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A6F88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07B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CF1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A89EE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7F21F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A824C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1ED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6F5C9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197F50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4D2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57A3CF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043E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大学语文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51E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C9D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6FC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0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BFE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7A1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BEEF95">
            <w:pPr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C89B5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0C0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0086E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B83A5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A4A46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1AA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6989F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44FB67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C25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8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E63868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7D3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普通话实训与测试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7A5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30A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060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2DC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A46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C1778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746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754E5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BCF1B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65CF0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1FBD1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D67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65E3B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B3A886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865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9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90060E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744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习近平新时代中国特色社会主义思想概论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31C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54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C66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F0E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C6E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FA1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97DFF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EA0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0B3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0719B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6B780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A1728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2DA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62406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5DD855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9F4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10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87DC95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24A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思想道德与法治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FE0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54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210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4F2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A79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B9E60D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DD26E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4D3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01359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97666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BF8F2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8725C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99C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787AD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55AB9C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ABF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2A400A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72E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毛泽东思想与中国特色社会主义理论体系概论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30A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269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32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47D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C2F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BAA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E3BF5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E550D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300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FD5BD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BC839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78483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865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60A9F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66C4F8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DEA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12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488705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D82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形势与政策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5CD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24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B71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29E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D7E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45B1C2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67D87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455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讲座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A38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讲座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FEA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讲座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B01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讲座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082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C36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53C6D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9AB768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A33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13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63BF6A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CEB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大学生心理健康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1BE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491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32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F04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81D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A2669B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73236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84A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744D8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D7DBC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09C7B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5E42B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C01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624C0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495A38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321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14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E24F1B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9AD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中华民族共同体概论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690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DC5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16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D2F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4FA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9F77B5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F675E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59A27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B9A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3E00F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2BE3E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78325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2E5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12E29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E39866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199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15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E98877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13D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大学计算机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FF7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2A7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7CE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44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DEF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D095AB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√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（计算机专业）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C1F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√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（非计算机专业）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DDA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EC830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44746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BC29A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74FDB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CFC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36D054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B67CCF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F3F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16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2C5EA6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36C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大学生就业创业指导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2F0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E24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D28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315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41C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DCD29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A0A19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DE421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6B80E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B7E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讲座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29570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813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04212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48E2AF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FF6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17</w:t>
            </w:r>
          </w:p>
        </w:tc>
        <w:tc>
          <w:tcPr>
            <w:tcW w:w="980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CEB14E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51E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国家安全教育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8AF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CD6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F61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0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B3D6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860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5"/>
                <w:szCs w:val="15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7FA3E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315E7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C1643E">
            <w:pPr>
              <w:jc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  <w:lang w:val="en-US" w:eastAsia="zh-CN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D1A69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A47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18F5A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BD6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22C16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602FED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141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841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1C4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654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CC915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D029D6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D03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38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B6462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37EC23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DE8FFA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C4AF5D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05E1AD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10C251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ADE71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44F82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</w:tr>
      <w:tr w14:paraId="2F086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AA1B8E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31B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980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8D9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限选课</w:t>
            </w: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619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中共党史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A1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67F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16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2C4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289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115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67E14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3B9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22BEF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8043F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66537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23AE0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F18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必选</w:t>
            </w:r>
          </w:p>
        </w:tc>
      </w:tr>
      <w:tr w14:paraId="185A9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62119E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141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56ACDF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968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11EAF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2B44C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CD8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736D9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86456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FE61F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909A8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1323E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D833B3">
            <w:pPr>
              <w:jc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5A245D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52B7AD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125257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C5C512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15F6DF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980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0A4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Times New Roman"/>
                <w:szCs w:val="22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选修课</w:t>
            </w: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FA5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Times New Roman"/>
                <w:szCs w:val="22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应用写作技能与规范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06A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F88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096E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BF7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2C59B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8444BA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EC1A1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30C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讲座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953E5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3F872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7C033B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C500E0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</w:tr>
      <w:tr w14:paraId="00719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463272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141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CB2D05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CFA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6B1DE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0EFBD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553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9283E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6DD8F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C596C6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FB49BE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784A53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84AE91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FAB08A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E221E3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71BE2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89D547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141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FE851D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合计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9AF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726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C13710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39F5EC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025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  <w:lang w:val="en-US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42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B9C41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5ACA3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1A074C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479664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65CD89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82CF1A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FAD701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31A7EE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</w:tr>
      <w:tr w14:paraId="76AA1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485A54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048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980" w:type="dxa"/>
            <w:gridSpan w:val="2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510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Times New Roman"/>
                <w:szCs w:val="22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专业基础课（必修课）</w:t>
            </w: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CBE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Times New Roman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学前儿童心理发展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D0F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3DD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50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5A9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CA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6BD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E19CD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249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BED38F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B0EFDA5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3F53C68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038E0A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0DAD92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</w:p>
        </w:tc>
      </w:tr>
      <w:tr w14:paraId="71A91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62B5F9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37C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753014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1F8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数字化教育技术应用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BEE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DCC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02C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25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9ED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E3142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C86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1602A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D88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4843BC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A68DEB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434EFB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898B30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4412F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95DBB9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5A6E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6BC81E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555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学前儿童卫生与保健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F36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A3A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50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21E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129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C53F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85EC7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0BECF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E22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313E77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F1960E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679123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7C02CB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0B7DC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5C9CE6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E9E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BA065C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AAE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学前教育概论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281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2B7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50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DB0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F27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A59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7E83B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AE19E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0A743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A6C71E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4B932C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79C6D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E54A3F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17EC9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BB0295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CF4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A63D50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F6F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幼儿教师口语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7D3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521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FE9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0EB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9ADD9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017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80328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64276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F20A80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4A7FD2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89E701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E1FE48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581AF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9DEA33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B7D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116498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B60B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幼儿教师职业道德与学前教育政策法规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7A4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B96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AB1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017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AD3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FF5DA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E3F5A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FA49C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vAlign w:val="top"/>
          </w:tcPr>
          <w:p w14:paraId="2AA824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8F0316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65562A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1BC9B2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6F26F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22F63F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79F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D42954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FE5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美术与手工基础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F54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703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2F1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50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4B65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B2DF5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4B2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47E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D99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vAlign w:val="top"/>
          </w:tcPr>
          <w:p w14:paraId="333D99F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6E1505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7F6D6E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E8CA18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73EF8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039CAA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547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8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E21E30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CBC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乐理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EF7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C47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DF6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50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3F7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1C715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D94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29E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1AD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nil"/>
            </w:tcBorders>
            <w:shd w:val="clear" w:color="auto" w:fill="auto"/>
            <w:vAlign w:val="top"/>
          </w:tcPr>
          <w:p w14:paraId="07F155C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49599C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3FBACD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6462A0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0DBAB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A4C69F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4A9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9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503882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2F2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钢琴基础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6B7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044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AD2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50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FD4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A0FB3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AD0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C55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87A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6496EC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AB91ED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6082FA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0E3FEF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3F295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1001A0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030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10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393D33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849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舞蹈基础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320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3FC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5FD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50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083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AFFA6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479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E73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3B1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3A301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014C65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596F0A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B28BC1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18791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3059E8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BA6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056F92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205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学前教育史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F90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C0A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50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B89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F2C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4D0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8F1F0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BDD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26D33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9F7A97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D85754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C5ED07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239C1D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01892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BE0D4B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FC7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12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A8DF4A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5E1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幼儿美术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78F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EA7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886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50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9CD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6800D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0F1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58AD0A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3A2DD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3D9411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B18A28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6F6708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5912AC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573E9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247049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E2F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13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90D842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F0E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幼儿歌曲弹唱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6BC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5DF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35C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25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60E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CE036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BF5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04C9A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3DBB3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3BCBF7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AF010B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90B53D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3478EA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3193A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ABDFCD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1EF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14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525DA0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D11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民族民间舞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A6E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F4B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1474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25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3BB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4A5EC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B03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73BCA3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1F1C1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6D2CE5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01F5B2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81DC04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C03E70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2AB57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566876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155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15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0A93F7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E90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学前儿童社会教育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4C6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9D2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F29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24E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32B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AAF6E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77E59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1CD2D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2E0C52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0D921D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7FC279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88A76C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005CE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386A79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129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16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7C9BD5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07F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学前儿童健康教育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A0B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4C2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FCB2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767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8C9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30C28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4D22A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68842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813229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E72C72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B152DD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D2982A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3C98E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FD4F5D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BFF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17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4B4905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169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学前儿童语言教育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DDA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56E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9ED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B7A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18D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95E7D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C816E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D707B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6C6777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19AE8F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A959B1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7E0F3F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217811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A97096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E71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A79CB6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AC6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钢琴即兴伴奏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9BB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5D9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BF3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25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062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C25FC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35C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767EE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CF421A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DD2C3A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4412B6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6FBAA2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DFBC10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20369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2A5014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7FB9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19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218F75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9AA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学前儿童艺术教育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F33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DC8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3C96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644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0BBF0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374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79C86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D1DF3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A7E144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63CBA1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C3A4BE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AC714D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54D28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03F453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2A2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20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B28A87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E3CB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学前儿童科学教育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2B5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A02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4D0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C17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9FBE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FAF6C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68B21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205F5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D1F3EE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F5ADFE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272723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7B5C0A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57E902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C9E69D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141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BD9D5F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6C57FF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1080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8684A8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A5ABA0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08B201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60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DC15CF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85B528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27B554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93D81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BB2043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D0FA9E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340D0B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5F3909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7EE9B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F2DB4F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D0F789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980" w:type="dxa"/>
            <w:gridSpan w:val="2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8E9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专业核心课（必修课）</w:t>
            </w: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C9AFBF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幼儿园教育活动设计与实施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1AB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436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F91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937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13293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C52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34556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919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6AA6F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CBBB8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392B45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B47CD2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01662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FCC40F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4508C2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78745C">
            <w:pPr>
              <w:jc w:val="center"/>
              <w:rPr>
                <w:rFonts w:ascii="等线" w:hAnsi="等线" w:eastAsia="等线" w:cs="Times New Roman"/>
                <w:szCs w:val="22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0E42E5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等线" w:hAnsi="等线" w:eastAsia="等线" w:cs="Times New Roman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幼儿游戏与指导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DFE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2BE0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884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C92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B13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18A9A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998B2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CE9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EB275C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D5C6E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CFB0B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0445E1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</w:tr>
      <w:tr w14:paraId="5DA08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21E56B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1DFF10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5EDB57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807AF3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幼儿园环境创设与利用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1A3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468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63C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89A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C0DA2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4FD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8DC6A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C7E5F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39F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19B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7A5F5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9B6C4B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710D0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62770E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5D11F1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D3C907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819470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幼儿园课程概论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988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DE21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25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C12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466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477A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E29AB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5F0DA4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C3FD5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627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ADA7B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04C5C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2A864B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19300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8B4AF2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34E37A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6B2EEF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DE16B7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幼儿园班级管理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DE4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02D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25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E12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7E6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A1D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C6072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A27F2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C95B0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C8172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8FD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18C046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4B22E3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69BD4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60452FB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5C0B9A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DCB223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CF78EB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学前儿童行为观察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1CB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DAA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50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3E9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22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985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28A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45F85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D69CEC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C0347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D7184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E46D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009BA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821A87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10E81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A160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专业（技能）课</w:t>
            </w:r>
          </w:p>
        </w:tc>
        <w:tc>
          <w:tcPr>
            <w:tcW w:w="3141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4AC2BB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E15C38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324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10ED16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E50545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38D0C0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  <w:lang w:val="en-US" w:eastAsia="zh-CN"/>
              </w:rPr>
              <w:t>20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61AE85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31F9AE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4D0D46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3D63BC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3DDA57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624A6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F8326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858243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72EE1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9A11960">
            <w:pP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18A05C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980" w:type="dxa"/>
            <w:gridSpan w:val="2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4EC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专业课（限选课）</w:t>
            </w: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2844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蒙台梭利实训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061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2BDC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946A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270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EF511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A96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3E4F8A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CAFE0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9EF0EC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676090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34664C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2DD431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46412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D300407">
            <w:pP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C78019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D0B72A">
            <w:pPr>
              <w:jc w:val="center"/>
              <w:rPr>
                <w:rFonts w:ascii="等线" w:hAnsi="等线" w:eastAsia="等线" w:cs="Times New Roman"/>
                <w:szCs w:val="22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F01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Times New Roman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幼儿园课件制作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DCD5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81A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D44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25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2E2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D31334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F4E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2274A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A4EEAF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0D0362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DB5C9E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C0AA65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30993E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</w:tr>
      <w:tr w14:paraId="01A99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34B5F04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FDEB26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5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CC2961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44E6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幼儿歌曲演唱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3D8F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279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F9A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25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8D22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EBA189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12E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1DD32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C71F4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B9064E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DABBB5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A4ADDA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71E259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40F69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7DCF002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6FE9A7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C48EFA8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25D2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幼儿舞蹈创编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FF3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562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8D6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25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6AF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C8199E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890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D47D40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9716A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2DC5BB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DA60A3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97D127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31093E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62D03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158AE05E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9BF27E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7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5397F8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DF4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幼儿教师礼仪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592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6ED4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F0D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AA54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FFE09A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9CAF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5D6A1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327196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F32ED6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E867C6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6C776B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10462A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41F00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2557513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41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2995C5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398A64B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180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607649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A59DE8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A062639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10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36C647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708A95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0AB41B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DAF2CD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F73FE4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487E74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89D3F5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872727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4F1F2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81951B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30E95D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980" w:type="dxa"/>
            <w:gridSpan w:val="2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643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专业选修课</w:t>
            </w: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1005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葫芦丝制作与演奏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CB90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FA6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548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25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6A1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6D24A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9CC0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A8D0C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6AD4F6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919B2E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5CA3D6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7BA33E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C6C1A5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56211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0301A415">
            <w:pPr>
              <w:rPr>
                <w:rFonts w:hint="eastAsia" w:ascii="宋体" w:hAnsi="宋体" w:eastAsia="宋体" w:cs="宋体"/>
                <w:i w:val="0"/>
                <w:iCs w:val="0"/>
                <w:color w:val="00B050"/>
                <w:sz w:val="22"/>
                <w:szCs w:val="22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958EAC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14DF9C0">
            <w:pPr>
              <w:jc w:val="center"/>
              <w:rPr>
                <w:rFonts w:ascii="等线" w:hAnsi="等线" w:eastAsia="等线" w:cs="Times New Roman"/>
                <w:szCs w:val="22"/>
              </w:rPr>
            </w:pPr>
          </w:p>
        </w:tc>
        <w:tc>
          <w:tcPr>
            <w:tcW w:w="1384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1B9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Times New Roman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声乐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010A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BA2F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11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8F9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25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F193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8D04E7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662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648FD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3A794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35C361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6AF7DE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FA5292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EF814D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</w:tr>
      <w:tr w14:paraId="6BA4F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DB1B74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41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CCB8D7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DCF2130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72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7B8277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440CFE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25C3C5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403DE68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27148F7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6D76799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0733384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557DFD3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1B4C04B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770AC8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 w14:paraId="7B880D3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2BD0C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455EE64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DBB4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957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4B4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实习及毕业设计</w:t>
            </w:r>
          </w:p>
        </w:tc>
        <w:tc>
          <w:tcPr>
            <w:tcW w:w="1407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97B8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认识实习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418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E46B93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CD8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18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A8E6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70BF6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01DB0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53B84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582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u w:val="none"/>
                <w:lang w:val="en-US" w:eastAsia="zh-CN" w:bidi="ar"/>
              </w:rPr>
              <w:t>周</w:t>
            </w: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AE9F8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74A87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22702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0EEAF3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43E63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50DF326A">
            <w:pPr>
              <w:rPr>
                <w:rFonts w:hint="eastAsia" w:ascii="宋体" w:hAnsi="宋体" w:eastAsia="宋体" w:cs="宋体"/>
                <w:i w:val="0"/>
                <w:iCs w:val="0"/>
                <w:color w:val="00B050"/>
                <w:sz w:val="22"/>
                <w:szCs w:val="22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8D43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</w:t>
            </w:r>
          </w:p>
        </w:tc>
        <w:tc>
          <w:tcPr>
            <w:tcW w:w="957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023F31">
            <w:pPr>
              <w:jc w:val="center"/>
              <w:rPr>
                <w:rFonts w:ascii="等线" w:hAnsi="等线" w:eastAsia="等线" w:cs="Times New Roman"/>
                <w:szCs w:val="22"/>
              </w:rPr>
            </w:pPr>
          </w:p>
        </w:tc>
        <w:tc>
          <w:tcPr>
            <w:tcW w:w="1407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B622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Times New Roman"/>
                <w:szCs w:val="22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岗位实习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BC4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432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EBF2F9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7703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432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C13C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24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3F915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294635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0D2D9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F1D2C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6B1818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01EB9F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FF72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  <w:u w:val="none"/>
                <w:lang w:val="en-US" w:eastAsia="zh-CN" w:bidi="ar"/>
              </w:rPr>
              <w:t>个月</w:t>
            </w: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2A70F7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</w:tr>
      <w:tr w14:paraId="51B35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F619852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77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A9B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3</w:t>
            </w:r>
          </w:p>
        </w:tc>
        <w:tc>
          <w:tcPr>
            <w:tcW w:w="957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BD8B4B9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1407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CB6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毕业设计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8430F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D2AFF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90B4E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BB65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6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3BA7E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5DA17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ED10D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83DC58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C1E6D5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9ED60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588D1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DB3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US" w:eastAsia="zh-CN" w:bidi="ar"/>
              </w:rPr>
              <w:t>√</w:t>
            </w:r>
          </w:p>
        </w:tc>
      </w:tr>
      <w:tr w14:paraId="485D7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center"/>
          </w:tcPr>
          <w:p w14:paraId="3AA21657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41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3F92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小计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344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450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BB8CC9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7DEBC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647F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kern w:val="0"/>
                <w:sz w:val="13"/>
                <w:szCs w:val="13"/>
                <w:u w:val="none"/>
                <w:lang w:val="en-US" w:eastAsia="zh-CN" w:bidi="ar"/>
              </w:rPr>
              <w:t>31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8E7BA0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C07DCC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0462F4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95E8AC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30256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6D4F56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596724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A5BAF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</w:tr>
      <w:tr w14:paraId="5045F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 w14:paraId="6BD823A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41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A70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合计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F2BE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2106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3F0DD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ACFE950">
            <w:pP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53D9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123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D2C80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030038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943C36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A5C5F3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557839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F0267C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739A13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0DDBDD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15"/>
                <w:szCs w:val="15"/>
                <w:u w:val="none"/>
              </w:rPr>
            </w:pPr>
          </w:p>
        </w:tc>
      </w:tr>
      <w:tr w14:paraId="2BDF7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930" w:type="dxa"/>
            <w:gridSpan w:val="5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D4DF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7030A0"/>
                <w:kern w:val="0"/>
                <w:sz w:val="13"/>
                <w:szCs w:val="13"/>
                <w:u w:val="none"/>
                <w:lang w:val="en-US" w:eastAsia="zh-CN" w:bidi="ar"/>
              </w:rPr>
              <w:t>总课时（学分）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B618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28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32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BAF56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63E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7030A0"/>
                <w:kern w:val="0"/>
                <w:sz w:val="13"/>
                <w:szCs w:val="13"/>
                <w:u w:val="none"/>
                <w:lang w:val="en-US" w:eastAsia="zh-CN" w:bidi="ar"/>
              </w:rPr>
              <w:t>1556</w:t>
            </w:r>
          </w:p>
        </w:tc>
        <w:tc>
          <w:tcPr>
            <w:tcW w:w="41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AC48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16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iCs w:val="0"/>
                <w:color w:val="FF0000"/>
                <w:kern w:val="0"/>
                <w:sz w:val="13"/>
                <w:szCs w:val="13"/>
                <w:u w:val="none"/>
                <w:lang w:val="en-US" w:eastAsia="zh-CN" w:bidi="ar"/>
              </w:rPr>
              <w:t>7</w:t>
            </w: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F9E81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F345D1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F078EB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24B7A6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183071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16225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60152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  <w:tc>
          <w:tcPr>
            <w:tcW w:w="38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21FD81E">
            <w:pP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B050"/>
                <w:sz w:val="13"/>
                <w:szCs w:val="13"/>
                <w:u w:val="none"/>
              </w:rPr>
            </w:pPr>
          </w:p>
        </w:tc>
      </w:tr>
      <w:tr w14:paraId="58436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F8D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课程类别</w:t>
            </w:r>
          </w:p>
        </w:tc>
        <w:tc>
          <w:tcPr>
            <w:tcW w:w="777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62CD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序号</w:t>
            </w:r>
          </w:p>
        </w:tc>
        <w:tc>
          <w:tcPr>
            <w:tcW w:w="980" w:type="dxa"/>
            <w:gridSpan w:val="2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777E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Times New Roman"/>
                <w:szCs w:val="22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课程性质</w:t>
            </w:r>
          </w:p>
        </w:tc>
        <w:tc>
          <w:tcPr>
            <w:tcW w:w="1384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493B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Times New Roman"/>
                <w:szCs w:val="22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课程名称</w:t>
            </w:r>
          </w:p>
        </w:tc>
        <w:tc>
          <w:tcPr>
            <w:tcW w:w="1358" w:type="dxa"/>
            <w:gridSpan w:val="3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674E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学时</w:t>
            </w:r>
          </w:p>
        </w:tc>
        <w:tc>
          <w:tcPr>
            <w:tcW w:w="411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E9BD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学分</w:t>
            </w:r>
          </w:p>
        </w:tc>
        <w:tc>
          <w:tcPr>
            <w:tcW w:w="478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5330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考试</w:t>
            </w:r>
          </w:p>
        </w:tc>
        <w:tc>
          <w:tcPr>
            <w:tcW w:w="478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670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考查</w:t>
            </w:r>
          </w:p>
        </w:tc>
        <w:tc>
          <w:tcPr>
            <w:tcW w:w="2293" w:type="dxa"/>
            <w:gridSpan w:val="6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AE5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FF000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学时分配</w:t>
            </w:r>
          </w:p>
        </w:tc>
      </w:tr>
      <w:tr w14:paraId="35E79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89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AD6A15C">
            <w:pPr>
              <w:jc w:val="center"/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7030A0"/>
                <w:sz w:val="13"/>
                <w:szCs w:val="13"/>
                <w:u w:val="none"/>
              </w:rPr>
            </w:pPr>
          </w:p>
        </w:tc>
        <w:tc>
          <w:tcPr>
            <w:tcW w:w="777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1548FC1A">
            <w:pPr>
              <w:jc w:val="center"/>
              <w:rPr>
                <w:rFonts w:ascii="等线" w:hAnsi="等线" w:eastAsia="等线" w:cs="Times New Roman"/>
                <w:szCs w:val="22"/>
              </w:rPr>
            </w:pPr>
          </w:p>
        </w:tc>
        <w:tc>
          <w:tcPr>
            <w:tcW w:w="980" w:type="dxa"/>
            <w:gridSpan w:val="2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3842A28">
            <w:pPr>
              <w:jc w:val="center"/>
              <w:rPr>
                <w:rFonts w:ascii="等线" w:hAnsi="等线" w:eastAsia="等线" w:cs="Times New Roman"/>
                <w:szCs w:val="22"/>
              </w:rPr>
            </w:pPr>
          </w:p>
        </w:tc>
        <w:tc>
          <w:tcPr>
            <w:tcW w:w="1384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7E7FECF">
            <w:pPr>
              <w:jc w:val="center"/>
              <w:rPr>
                <w:rFonts w:ascii="等线" w:hAnsi="等线" w:eastAsia="等线" w:cs="Times New Roman"/>
                <w:szCs w:val="22"/>
              </w:rPr>
            </w:pP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C4D0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7030A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合计</w:t>
            </w:r>
          </w:p>
        </w:tc>
        <w:tc>
          <w:tcPr>
            <w:tcW w:w="40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858E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7030A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理论</w:t>
            </w:r>
          </w:p>
        </w:tc>
        <w:tc>
          <w:tcPr>
            <w:tcW w:w="476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EE24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7030A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实验实训</w:t>
            </w:r>
          </w:p>
        </w:tc>
        <w:tc>
          <w:tcPr>
            <w:tcW w:w="411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789D0A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7030A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117493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7030A0"/>
                <w:sz w:val="13"/>
                <w:szCs w:val="13"/>
                <w:u w:val="none"/>
              </w:rPr>
            </w:pPr>
          </w:p>
        </w:tc>
        <w:tc>
          <w:tcPr>
            <w:tcW w:w="478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A425B0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7030A0"/>
                <w:sz w:val="13"/>
                <w:szCs w:val="13"/>
                <w:u w:val="none"/>
              </w:rPr>
            </w:pPr>
          </w:p>
        </w:tc>
        <w:tc>
          <w:tcPr>
            <w:tcW w:w="764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6D5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7030A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第一学年</w:t>
            </w:r>
          </w:p>
        </w:tc>
        <w:tc>
          <w:tcPr>
            <w:tcW w:w="764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8302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7030A0"/>
                <w:sz w:val="13"/>
                <w:szCs w:val="13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第二学年</w:t>
            </w:r>
          </w:p>
        </w:tc>
        <w:tc>
          <w:tcPr>
            <w:tcW w:w="765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FBE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7030A0"/>
                <w:sz w:val="22"/>
                <w:szCs w:val="22"/>
                <w:u w:val="none"/>
              </w:rPr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第三学年</w:t>
            </w:r>
          </w:p>
        </w:tc>
      </w:tr>
    </w:tbl>
    <w:p w14:paraId="4E2BF5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656D8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81D95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17E83B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60CC598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A5A07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527E05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3CFDF1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8B512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6530" cy="4009390"/>
            <wp:effectExtent l="4445" t="4445" r="12065" b="9525"/>
            <wp:docPr id="2" name="图表 2" descr="7b0a202020202263686172745265734964223a20223230343732313936220a7d0a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6DD5030E-C2C5-4A6F-B73F-644DAA52CA0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2830D29F-744D-4E1D-92EF-9292FE19A214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24A7A392-59A4-4CF1-A43F-4FCC123F7845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AC10C5BE-7527-4F69-8F97-8FFF7E9F01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6C4CD6"/>
    <w:rsid w:val="008250D8"/>
    <w:rsid w:val="022A5B7F"/>
    <w:rsid w:val="0E8A20E3"/>
    <w:rsid w:val="0F0F31C4"/>
    <w:rsid w:val="0F5E1F18"/>
    <w:rsid w:val="12F52B2A"/>
    <w:rsid w:val="19CF4AA6"/>
    <w:rsid w:val="1A20226D"/>
    <w:rsid w:val="1B6C4CD6"/>
    <w:rsid w:val="1BE4366A"/>
    <w:rsid w:val="1D835D76"/>
    <w:rsid w:val="23494C92"/>
    <w:rsid w:val="23A05D76"/>
    <w:rsid w:val="27B04698"/>
    <w:rsid w:val="2BD9047F"/>
    <w:rsid w:val="2DD44BB7"/>
    <w:rsid w:val="332B2000"/>
    <w:rsid w:val="34CD2A31"/>
    <w:rsid w:val="36D83D8B"/>
    <w:rsid w:val="4CE3746E"/>
    <w:rsid w:val="4F586138"/>
    <w:rsid w:val="51A95A08"/>
    <w:rsid w:val="52686B8E"/>
    <w:rsid w:val="52EB5624"/>
    <w:rsid w:val="534D7664"/>
    <w:rsid w:val="55F62794"/>
    <w:rsid w:val="58D42D84"/>
    <w:rsid w:val="59EA1B45"/>
    <w:rsid w:val="63161C90"/>
    <w:rsid w:val="66CA746E"/>
    <w:rsid w:val="6843464A"/>
    <w:rsid w:val="6E0902F2"/>
    <w:rsid w:val="6EFA4222"/>
    <w:rsid w:val="724335ED"/>
    <w:rsid w:val="72AB14FA"/>
    <w:rsid w:val="767A6205"/>
    <w:rsid w:val="77ED2F50"/>
    <w:rsid w:val="7DF01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hart" Target="charts/chart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charts/_rels/chart1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0" vertOverflow="ellipsis" vert="horz" wrap="square" anchor="ctr" anchorCtr="1" forceAA="0"/>
          <a:lstStyle/>
          <a:p>
            <a:pPr defTabSz="914400">
              <a:defRPr lang="zh-CN" sz="1400" b="0" i="0" u="none" strike="noStrike" kern="1200" baseline="0">
                <a:solidFill>
                  <a:sysClr val="windowText" lastClr="000000">
                    <a:lumMod val="75000"/>
                    <a:lumOff val="25000"/>
                  </a:sysClr>
                </a:solidFill>
                <a:latin typeface="微软雅黑" panose="020B0503020204020204" pitchFamily="34" charset="-122"/>
                <a:ea typeface="微软雅黑" panose="020B0503020204020204" pitchFamily="34" charset="-122"/>
                <a:cs typeface="微软雅黑" panose="020B0503020204020204" pitchFamily="34" charset="-122"/>
                <a:sym typeface="微软雅黑" panose="020B0503020204020204" pitchFamily="34" charset="-122"/>
              </a:defRPr>
            </a:pPr>
            <a:r>
              <a:rPr lang="en-US" altLang="zh-CN"/>
              <a:t>2024</a:t>
            </a:r>
            <a:r>
              <a:rPr altLang="en-US"/>
              <a:t>级学前教育专业课程结构实际占比饼状图：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pieChart>
        <c:varyColors val="1"/>
        <c:ser>
          <c:idx val="1"/>
          <c:order val="0"/>
          <c:tx>
            <c:strRef>
              <c:f>Sheet1!$B$1</c:f>
              <c:strCache>
                <c:ptCount val="1"/>
                <c:pt idx="0">
                  <c:v>列2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rgbClr val="4874CB"/>
              </a:solidFill>
              <a:ln>
                <a:solidFill>
                  <a:sysClr val="window" lastClr="FFFFFF"/>
                </a:solidFill>
              </a:ln>
              <a:effectLst/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ysClr val="window" lastClr="FFFFFF"/>
                </a:solidFill>
              </a:ln>
              <a:effectLst/>
            </c:spPr>
          </c:dPt>
          <c:dPt>
            <c:idx val="2"/>
            <c:bubble3D val="0"/>
            <c:spPr>
              <a:solidFill>
                <a:srgbClr val="F2BA02"/>
              </a:solidFill>
              <a:ln>
                <a:solidFill>
                  <a:sysClr val="window" lastClr="FFFFFF"/>
                </a:solidFill>
              </a:ln>
              <a:effectLst/>
            </c:spPr>
          </c:dPt>
          <c:dPt>
            <c:idx val="3"/>
            <c:bubble3D val="0"/>
            <c:spPr>
              <a:solidFill>
                <a:srgbClr val="75BD42"/>
              </a:solidFill>
              <a:ln>
                <a:solidFill>
                  <a:sysClr val="window" lastClr="FFFFFF"/>
                </a:solidFill>
              </a:ln>
              <a:effectLst/>
            </c:spPr>
          </c:dPt>
          <c:dLbls>
            <c:numFmt formatCode="General" sourceLinked="1"/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 forceAA="0"/>
              <a:lstStyle/>
              <a:p>
                <a:pPr>
                  <a:defRPr lang="zh-CN" sz="1000" b="0" i="0" u="none" strike="noStrike" kern="1200" baseline="0">
                    <a:solidFill>
                      <a:sysClr val="windowText" lastClr="000000">
                        <a:lumMod val="75000"/>
                        <a:lumOff val="25000"/>
                      </a:sysClr>
                    </a:solidFill>
                    <a:latin typeface="微软雅黑" panose="020B0503020204020204" pitchFamily="34" charset="-122"/>
                    <a:ea typeface="微软雅黑" panose="020B0503020204020204" pitchFamily="34" charset="-122"/>
                    <a:cs typeface="微软雅黑" panose="020B0503020204020204" pitchFamily="34" charset="-122"/>
                    <a:sym typeface="微软雅黑" panose="020B0503020204020204" pitchFamily="34" charset="-122"/>
                  </a:defRPr>
                </a:pPr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ysClr val="windowText" lastClr="000000">
                          <a:lumMod val="35000"/>
                          <a:lumOff val="65000"/>
                        </a:sys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公共基础</c:v>
                </c:pt>
                <c:pt idx="1">
                  <c:v>专业课程</c:v>
                </c:pt>
                <c:pt idx="2">
                  <c:v>实践教学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0.256</c:v>
                </c:pt>
                <c:pt idx="1">
                  <c:v>0.585</c:v>
                </c:pt>
                <c:pt idx="2">
                  <c:v>0.159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legendEntry>
        <c:idx val="3"/>
        <c:delete val="1"/>
      </c:legendEntry>
      <c:layout>
        <c:manualLayout>
          <c:xMode val="edge"/>
          <c:yMode val="edge"/>
          <c:x val="0.270053152935492"/>
          <c:y val="0.0980361102312322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 forceAA="0"/>
        <a:lstStyle/>
        <a:p>
          <a:pPr>
            <a:defRPr lang="zh-CN" sz="900" b="0" i="0" u="none" strike="noStrike" kern="1200" baseline="0">
              <a:solidFill>
                <a:sysClr val="windowText" lastClr="000000">
                  <a:lumMod val="75000"/>
                  <a:lumOff val="25000"/>
                </a:sysClr>
              </a:solidFill>
              <a:latin typeface="微软雅黑" panose="020B0503020204020204" pitchFamily="34" charset="-122"/>
              <a:ea typeface="微软雅黑" panose="020B0503020204020204" pitchFamily="34" charset="-122"/>
              <a:cs typeface="微软雅黑" panose="020B0503020204020204" pitchFamily="34" charset="-122"/>
              <a:sym typeface="微软雅黑" panose="020B0503020204020204" pitchFamily="34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b98af0f6-4aeb-40ce-9928-6506eb05e4e6}"/>
      </c:ext>
    </c:extLst>
  </c:chart>
  <c:spPr>
    <a:solidFill>
      <a:sysClr val="window" lastClr="FFFFFF"/>
    </a:solidFill>
    <a:ln w="9525" cap="flat" cmpd="sng" algn="ctr">
      <a:solidFill>
        <a:sysClr val="windowText" lastClr="000000">
          <a:lumMod val="50000"/>
          <a:lumOff val="50000"/>
          <a:alpha val="25000"/>
        </a:sysClr>
      </a:solidFill>
      <a:round/>
    </a:ln>
    <a:effectLst/>
  </c:spPr>
  <c:txPr>
    <a:bodyPr/>
    <a:lstStyle/>
    <a:p>
      <a:pPr>
        <a:defRPr lang="zh-CN">
          <a:solidFill>
            <a:sysClr val="windowText" lastClr="000000">
              <a:lumMod val="75000"/>
              <a:lumOff val="25000"/>
            </a:sysClr>
          </a:solidFill>
          <a:latin typeface="微软雅黑" panose="020B0503020204020204" pitchFamily="34" charset="-122"/>
          <a:ea typeface="微软雅黑" panose="020B0503020204020204" pitchFamily="34" charset="-122"/>
          <a:cs typeface="微软雅黑" panose="020B0503020204020204" pitchFamily="34" charset="-122"/>
          <a:sym typeface="微软雅黑" panose="020B0503020204020204" pitchFamily="34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082">
  <cs:axisTitle>
    <cs:lnRef idx="0"/>
    <cs:fillRef idx="0"/>
    <cs:effectRef idx="0"/>
    <cs:fontRef idx="minor">
      <a:sysClr val="windowText" lastClr="000000">
        <a:lumMod val="65000"/>
        <a:lumOff val="35000"/>
      </a:sysClr>
    </cs:fontRef>
    <cs:defRPr sz="1000" kern="1200"/>
  </cs:axisTitle>
  <cs:categoryAxis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chartArea>
  <cs:dataLabel>
    <cs:lnRef idx="0"/>
    <cs:fillRef idx="0"/>
    <cs:effectRef idx="0"/>
    <cs:fontRef idx="minor">
      <a:sysClr val="windowText" lastClr="000000">
        <a:lumMod val="75000"/>
        <a:lumOff val="25000"/>
      </a:sysClr>
    </cs:fontRef>
    <cs:defRPr sz="1000" kern="1200"/>
  </cs:dataLabel>
  <cs:dataLabelCallout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solidFill>
        <a:sysClr val="window" lastClr="FFFFFF"/>
      </a:solidFill>
      <a:ln>
        <a:solidFill>
          <a:sysClr val="windowText" lastClr="000000">
            <a:lumMod val="25000"/>
            <a:lumOff val="75000"/>
          </a:sys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>
        <a:solidFill>
          <a:sysClr val="window" lastClr="FFFFFF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ysClr val="windowText" lastClr="000000"/>
    </cs:fontRef>
    <cs:spPr>
      <a:ln w="25400">
        <a:solidFill>
          <a:sysClr val="window" lastClr="FFFFFF"/>
        </a:solidFill>
      </a:ln>
    </cs:spPr>
  </cs:dataPoint3D>
  <cs:dataPointLine>
    <cs:lnRef idx="0">
      <cs:styleClr val="auto"/>
    </cs:lnRef>
    <cs:fillRef idx="0"/>
    <cs:effectRef idx="0"/>
    <cs:fontRef idx="minor">
      <a:sysClr val="windowText" lastClr="000000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ysClr val="windowText" lastClr="000000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ysClr val="windowText" lastClr="000000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ysClr val="windowText" lastClr="000000">
        <a:lumMod val="65000"/>
        <a:lumOff val="35000"/>
      </a:sysClr>
    </cs:fontRef>
    <cs:spPr>
      <a:noFill/>
      <a:ln w="9525" cap="flat" cmpd="sng" algn="ctr">
        <a:solidFill>
          <a:sysClr val="windowText" lastClr="000000">
            <a:lumMod val="15000"/>
            <a:lumOff val="85000"/>
          </a:sysClr>
        </a:solidFill>
        <a:round/>
      </a:ln>
    </cs:spPr>
    <cs:defRPr sz="900" kern="1200"/>
  </cs:dataTable>
  <cs:downBar>
    <cs:lnRef idx="0"/>
    <cs:fillRef idx="0"/>
    <cs:effectRef idx="0"/>
    <cs:fontRef idx="minor">
      <a:sysClr val="windowText" lastClr="000000"/>
    </cs:fontRef>
    <cs:spPr>
      <a:solidFill>
        <a:sysClr val="windowText" lastClr="000000">
          <a:lumMod val="75000"/>
          <a:lumOff val="25000"/>
        </a:sysClr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downBar>
  <cs:drop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dropLine>
  <cs:errorBa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errorBar>
  <cs:floor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floor>
  <cs:gridlineMaj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" lastClr="FFFFFF">
            <a:lumMod val="90200"/>
          </a:sysClr>
        </a:solidFill>
        <a:round/>
      </a:ln>
    </cs:spPr>
  </cs:gridlineMajor>
  <cs:gridlineMinor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"/>
            <a:lumOff val="95000"/>
          </a:sysClr>
        </a:solidFill>
        <a:round/>
      </a:ln>
    </cs:spPr>
  </cs:gridlineMinor>
  <cs:hiLo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50000"/>
            <a:lumOff val="50000"/>
          </a:sysClr>
        </a:solidFill>
        <a:round/>
      </a:ln>
    </cs:spPr>
  </cs:hiLoLine>
  <cs:leader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leaderLine>
  <cs:legend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legend>
  <cs:plotArea mods="allowNoFillOverride allowNoLineOverride">
    <cs:lnRef idx="0"/>
    <cs:fillRef idx="0"/>
    <cs:effectRef idx="0"/>
    <cs:fontRef idx="minor">
      <a:sysClr val="windowText" lastClr="000000"/>
    </cs:fontRef>
  </cs:plotArea>
  <cs:plotArea3D mods="allowNoFillOverride allowNoLineOverride">
    <cs:lnRef idx="0"/>
    <cs:fillRef idx="0"/>
    <cs:effectRef idx="0"/>
    <cs:fontRef idx="minor">
      <a:sysClr val="windowText" lastClr="000000"/>
    </cs:fontRef>
  </cs:plotArea3D>
  <cs:series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seriesAxis>
  <cs:seriesLine>
    <cs:lnRef idx="0"/>
    <cs:fillRef idx="0"/>
    <cs:effectRef idx="0"/>
    <cs:fontRef idx="minor">
      <a:sysClr val="windowText" lastClr="000000"/>
    </cs:fontRef>
    <cs:spPr>
      <a:ln w="9525" cap="flat" cmpd="sng" algn="ctr">
        <a:solidFill>
          <a:sysClr val="windowText" lastClr="000000">
            <a:lumMod val="35000"/>
            <a:lumOff val="65000"/>
          </a:sysClr>
        </a:solidFill>
        <a:round/>
      </a:ln>
    </cs:spPr>
  </cs:seriesLine>
  <cs:title>
    <cs:lnRef idx="0"/>
    <cs:fillRef idx="0"/>
    <cs:effectRef idx="0"/>
    <cs:fontRef idx="minor">
      <a:sysClr val="windowText" lastClr="000000">
        <a:lumMod val="75000"/>
        <a:lumOff val="25000"/>
      </a:sysClr>
    </cs:fontRef>
    <cs:defRPr sz="1400" b="1" kern="1200" baseline="0"/>
  </cs:title>
  <cs:trendline>
    <cs:lnRef idx="0">
      <cs:styleClr val="auto"/>
    </cs:lnRef>
    <cs:fillRef idx="0"/>
    <cs:effectRef idx="0"/>
    <cs:fontRef idx="minor">
      <a:sysClr val="windowText" lastClr="000000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trendlineLabel>
  <cs:upBar>
    <cs:lnRef idx="0"/>
    <cs:fillRef idx="0"/>
    <cs:effectRef idx="0"/>
    <cs:fontRef idx="minor">
      <a:sysClr val="windowText" lastClr="000000"/>
    </cs:fontRef>
    <cs:spPr>
      <a:solidFill>
        <a:sysClr val="window" lastClr="FFFFFF"/>
      </a:solidFill>
      <a:ln w="9525" cap="flat" cmpd="sng" algn="ctr">
        <a:solidFill>
          <a:sysClr val="windowText" lastClr="000000">
            <a:lumMod val="65000"/>
            <a:lumOff val="35000"/>
          </a:sysClr>
        </a:solidFill>
        <a:round/>
      </a:ln>
    </cs:spPr>
  </cs:upBar>
  <cs:valueAxis>
    <cs:lnRef idx="0"/>
    <cs:fillRef idx="0"/>
    <cs:effectRef idx="0"/>
    <cs:fontRef idx="minor">
      <a:sysClr val="windowText" lastClr="000000">
        <a:lumMod val="65000"/>
        <a:lumOff val="35000"/>
      </a:sysClr>
    </cs:fontRef>
    <cs:defRPr sz="900" kern="1200"/>
  </cs:valueAxis>
  <cs:wall>
    <cs:lnRef idx="0"/>
    <cs:fillRef idx="0"/>
    <cs:effectRef idx="0"/>
    <cs:fontRef idx="minor">
      <a:sysClr val="windowText" lastClr="000000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WPS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874CB"/>
    </a:accent1>
    <a:accent2>
      <a:srgbClr val="EE822F"/>
    </a:accent2>
    <a:accent3>
      <a:srgbClr val="F2BA02"/>
    </a:accent3>
    <a:accent4>
      <a:srgbClr val="75BD42"/>
    </a:accent4>
    <a:accent5>
      <a:srgbClr val="30C0B4"/>
    </a:accent5>
    <a:accent6>
      <a:srgbClr val="E54C5E"/>
    </a:accent6>
    <a:hlink>
      <a:srgbClr val="0026E5"/>
    </a:hlink>
    <a:folHlink>
      <a:srgbClr val="7E1FAD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1855</Words>
  <Characters>2045</Characters>
  <Lines>0</Lines>
  <Paragraphs>0</Paragraphs>
  <TotalTime>1</TotalTime>
  <ScaleCrop>false</ScaleCrop>
  <LinksUpToDate>false</LinksUpToDate>
  <CharactersWithSpaces>2045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2025-09-04T08:45:00Z</dcterms:created>
  <dc:creator>断誓永别</dc:creator>
  <cp:lastModifiedBy>罗吉良</cp:lastModifiedBy>
  <dcterms:modified xsi:type="dcterms:W3CDTF">2025-09-06T09:47:00Z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9A0794CB1CF8448FA66AED6F5161B648_13</vt:lpwstr>
  </property>
  <property fmtid="{D5CDD505-2E9C-101B-9397-08002B2CF9AE}" pid="4" name="KSOTemplateDocerSaveRecord">
    <vt:lpwstr>eyJoZGlkIjoiNDJmNjlmNjZjMDhiYWE4ZjUzOGNjZjRjNWY3MzcyYjEiLCJ1c2VySWQiOiIxNjAyNzUzNzM1In0=</vt:lpwstr>
  </property>
</Properties>
</file>