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D7C69">
      <w:pPr>
        <w:jc w:val="center"/>
        <w:rPr>
          <w:rFonts w:hint="default" w:ascii="Times New Roman" w:hAnsi="Times New Roman" w:eastAsia="方正小标宋_GBK" w:cs="Times New Roman"/>
          <w:sz w:val="36"/>
          <w:szCs w:val="36"/>
        </w:rPr>
      </w:pPr>
      <w:r>
        <w:rPr>
          <w:rFonts w:hint="default" w:ascii="Times New Roman" w:hAnsi="Times New Roman" w:eastAsia="方正小标宋_GBK" w:cs="Times New Roman"/>
          <w:sz w:val="36"/>
          <w:szCs w:val="36"/>
        </w:rPr>
        <w:t>德宏职业学院</w:t>
      </w:r>
    </w:p>
    <w:p w14:paraId="5C3AB923">
      <w:pPr>
        <w:jc w:val="center"/>
        <w:rPr>
          <w:rFonts w:hint="default" w:ascii="Times New Roman" w:hAnsi="Times New Roman" w:eastAsia="方正小标宋_GBK" w:cs="Times New Roman"/>
          <w:sz w:val="36"/>
          <w:szCs w:val="36"/>
        </w:rPr>
      </w:pPr>
      <w:r>
        <w:rPr>
          <w:rFonts w:hint="default" w:ascii="Times New Roman" w:hAnsi="Times New Roman" w:eastAsia="方正小标宋_GBK" w:cs="Times New Roman"/>
          <w:sz w:val="36"/>
          <w:szCs w:val="36"/>
        </w:rPr>
        <w:t>《</w:t>
      </w:r>
      <w:r>
        <w:rPr>
          <w:rFonts w:hint="default" w:ascii="Times New Roman" w:hAnsi="Times New Roman" w:eastAsia="方正小标宋_GBK" w:cs="Times New Roman"/>
          <w:sz w:val="36"/>
          <w:szCs w:val="36"/>
          <w:lang w:eastAsia="zh-CN"/>
        </w:rPr>
        <w:t>幼儿园游戏与指导</w:t>
      </w:r>
      <w:r>
        <w:rPr>
          <w:rFonts w:hint="default" w:ascii="Times New Roman" w:hAnsi="Times New Roman" w:eastAsia="方正小标宋_GBK" w:cs="Times New Roman"/>
          <w:sz w:val="36"/>
          <w:szCs w:val="36"/>
        </w:rPr>
        <w:t>》课程标准</w:t>
      </w:r>
    </w:p>
    <w:p w14:paraId="53DD4A42">
      <w:pPr>
        <w:rPr>
          <w:rFonts w:hint="default" w:ascii="Times New Roman" w:hAnsi="Times New Roman" w:cs="Times New Roman"/>
        </w:rPr>
      </w:pPr>
    </w:p>
    <w:p w14:paraId="6B7697F2">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一、课程概述</w:t>
      </w:r>
    </w:p>
    <w:p w14:paraId="3FB0142D">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（一）课程基本信息 </w:t>
      </w:r>
    </w:p>
    <w:p w14:paraId="6102E686">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课程名称: </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sz w:val="32"/>
          <w:szCs w:val="32"/>
          <w14:textFill>
            <w14:solidFill>
              <w14:schemeClr w14:val="tx1"/>
            </w14:solidFill>
          </w14:textFill>
        </w:rPr>
        <w:t>     课程编码：</w:t>
      </w:r>
    </w:p>
    <w:p w14:paraId="47529D43">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课程类型: 专业教育课程     课程性质：专业核心课</w:t>
      </w:r>
    </w:p>
    <w:p w14:paraId="4767F379">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适用专业: 学前教育专业     课程学时（学分）：7</w:t>
      </w:r>
      <w:r>
        <w:rPr>
          <w:rFonts w:hint="default" w:ascii="Times New Roman" w:hAnsi="Times New Roman" w:eastAsia="方正仿宋_GBK" w:cs="Times New Roman"/>
          <w:color w:val="000000" w:themeColor="text1"/>
          <w:sz w:val="32"/>
          <w:szCs w:val="32"/>
          <w14:textFill>
            <w14:solidFill>
              <w14:schemeClr w14:val="tx1"/>
            </w14:solidFill>
          </w14:textFill>
        </w:rPr>
        <w:t>2</w:t>
      </w:r>
      <w:r>
        <w:rPr>
          <w:rFonts w:hint="default" w:ascii="Times New Roman" w:hAnsi="Times New Roman" w:eastAsia="方正仿宋_GBK" w:cs="Times New Roman"/>
          <w:color w:val="000000" w:themeColor="text1"/>
          <w:sz w:val="32"/>
          <w:szCs w:val="32"/>
          <w14:textFill>
            <w14:solidFill>
              <w14:schemeClr w14:val="tx1"/>
            </w14:solidFill>
          </w14:textFill>
        </w:rPr>
        <w:t>学时</w:t>
      </w:r>
    </w:p>
    <w:p w14:paraId="79F44484">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先修课程：                 后续课程：</w:t>
      </w:r>
    </w:p>
    <w:p w14:paraId="2AF57ACF">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课程负责人: 张晓璐             修订时间: 2</w:t>
      </w:r>
      <w:r>
        <w:rPr>
          <w:rFonts w:hint="default" w:ascii="Times New Roman" w:hAnsi="Times New Roman" w:eastAsia="方正仿宋_GBK" w:cs="Times New Roman"/>
          <w:color w:val="000000" w:themeColor="text1"/>
          <w:sz w:val="32"/>
          <w:szCs w:val="32"/>
          <w14:textFill>
            <w14:solidFill>
              <w14:schemeClr w14:val="tx1"/>
            </w14:solidFill>
          </w14:textFill>
        </w:rPr>
        <w:t>021</w:t>
      </w:r>
      <w:r>
        <w:rPr>
          <w:rFonts w:hint="default" w:ascii="Times New Roman" w:hAnsi="Times New Roman" w:eastAsia="方正仿宋_GBK" w:cs="Times New Roman"/>
          <w:color w:val="000000" w:themeColor="text1"/>
          <w:sz w:val="32"/>
          <w:szCs w:val="32"/>
          <w14:textFill>
            <w14:solidFill>
              <w14:schemeClr w14:val="tx1"/>
            </w14:solidFill>
          </w14:textFill>
        </w:rPr>
        <w:t>年8月</w:t>
      </w:r>
    </w:p>
    <w:p w14:paraId="26751E9C">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课程标准审批人:  </w:t>
      </w:r>
    </w:p>
    <w:p w14:paraId="7623FE1E">
      <w:pPr>
        <w:ind w:firstLine="480" w:firstLineChars="1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（二）课程定位与课程设计 </w:t>
      </w:r>
    </w:p>
    <w:p w14:paraId="5DD8AE9F">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1、课程简介：</w:t>
      </w:r>
    </w:p>
    <w:p w14:paraId="5176BE66">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sz w:val="32"/>
          <w:szCs w:val="32"/>
          <w14:textFill>
            <w14:solidFill>
              <w14:schemeClr w14:val="tx1"/>
            </w14:solidFill>
          </w14:textFill>
        </w:rPr>
        <w:t>是学前教育专业一门重要的专业课，它全面、系统、科学地阐述了</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sz w:val="32"/>
          <w:szCs w:val="32"/>
          <w14:textFill>
            <w14:solidFill>
              <w14:schemeClr w14:val="tx1"/>
            </w14:solidFill>
          </w14:textFill>
        </w:rPr>
        <w:t>的基本理论、幼儿园游戏教育活动的主要内容、基本方法和基本技能，主要涉及角色游戏、表演游戏、结构游戏、及其他游戏活动等内容。它既可以为学生进一步学习幼儿教育活动设计等专业课程打下基础，又可以使学生对幼儿园的游戏教育教学活动有一个全面的认识。</w:t>
      </w:r>
    </w:p>
    <w:p w14:paraId="5CAFEEFD">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2、课程性质与定位</w:t>
      </w:r>
    </w:p>
    <w:p w14:paraId="647048F5">
      <w:pPr>
        <w:spacing w:line="360" w:lineRule="auto"/>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（1）课程性质：</w:t>
      </w:r>
      <w:bookmarkStart w:id="0" w:name="_Hlk80309597"/>
      <w:r>
        <w:rPr>
          <w:rFonts w:hint="default" w:ascii="Times New Roman" w:hAnsi="Times New Roman" w:eastAsia="方正仿宋_GBK" w:cs="Times New Roman"/>
          <w:color w:val="000000" w:themeColor="text1"/>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sz w:val="32"/>
          <w:szCs w:val="32"/>
          <w14:textFill>
            <w14:solidFill>
              <w14:schemeClr w14:val="tx1"/>
            </w14:solidFill>
          </w14:textFill>
        </w:rPr>
        <w:t>是学前教育专业的一门专业核心课程</w:t>
      </w:r>
      <w:bookmarkEnd w:id="0"/>
      <w:r>
        <w:rPr>
          <w:rFonts w:hint="default" w:ascii="Times New Roman" w:hAnsi="Times New Roman" w:eastAsia="方正仿宋_GBK" w:cs="Times New Roman"/>
          <w:color w:val="000000" w:themeColor="text1"/>
          <w:sz w:val="32"/>
          <w:szCs w:val="32"/>
          <w14:textFill>
            <w14:solidFill>
              <w14:schemeClr w14:val="tx1"/>
            </w14:solidFill>
          </w14:textFill>
        </w:rPr>
        <w:t>。</w:t>
      </w:r>
    </w:p>
    <w:p w14:paraId="42ABD22B">
      <w:pPr>
        <w:spacing w:line="360" w:lineRule="auto"/>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课程定位：本课程是学前教育专业学生必修的专业核心课程，是一门理论性、实践性并重的基础课程。旨在通过让学生了解游戏的作用，懂得如何创设游戏环境。联系实际，观察并能指导幼儿的游戏；能运用游戏来解决幼儿生活中遇到的问题，帮助学生增强幼儿园课程中游戏运用的意识。</w:t>
      </w:r>
    </w:p>
    <w:p w14:paraId="54AA9C6D">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3、课程基本理念：</w:t>
      </w:r>
    </w:p>
    <w:p w14:paraId="3970717C">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本课程是理论与实践性都比较强的学科，在教学方法上宜采取多种教学形式。基本概念、基本规律以教师讲述为主，方法、活动设计等以讨论、合作学习、模拟教学、角色体验及案例分析的形式为主。</w:t>
      </w:r>
    </w:p>
    <w:p w14:paraId="303FF583">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4、课程设计的思路</w:t>
      </w:r>
    </w:p>
    <w:p w14:paraId="0B41C98A">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本课程应两条线并举，既突出理论性的学习，又加强实践性活动，旨在帮助学生理解、掌握和运用</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sz w:val="32"/>
          <w:szCs w:val="32"/>
          <w14:textFill>
            <w14:solidFill>
              <w14:schemeClr w14:val="tx1"/>
            </w14:solidFill>
          </w14:textFill>
        </w:rPr>
        <w:t>的基础知识和基本理论，形成科学的</w:t>
      </w:r>
      <w:r>
        <w:rPr>
          <w:rFonts w:hint="default" w:ascii="Times New Roman" w:hAnsi="Times New Roman" w:eastAsia="方正仿宋_GBK" w:cs="Times New Roman"/>
          <w:color w:val="000000" w:themeColor="text1"/>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sz w:val="32"/>
          <w:szCs w:val="32"/>
          <w14:textFill>
            <w14:solidFill>
              <w14:schemeClr w14:val="tx1"/>
            </w14:solidFill>
          </w14:textFill>
        </w:rPr>
        <w:t>观，提高学生在幼儿园游戏化教育教学工作中的理论和实际操作能力，从而更好地适应我国幼儿园游戏化课程改革的时代要求。</w:t>
      </w:r>
    </w:p>
    <w:p w14:paraId="20BA7C5B">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二、课程目标</w:t>
      </w:r>
    </w:p>
    <w:p w14:paraId="2D4179C3">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（一）总体目标</w:t>
      </w:r>
    </w:p>
    <w:p w14:paraId="5E65498B">
      <w:pPr>
        <w:ind w:firstLine="640" w:firstLineChars="20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了解儿童游戏的相关理论学说，在理解游戏的本质特征的基础上，深刻认识幼儿游戏的特点，认识游戏教育在学前教育中的重要意义，树立正确的学前教育观念。理解游戏的教育作用，掌握各类游戏的特点，能根据幼儿发展的实际水平指导幼儿游戏，能较好地运用游戏形式组织幼儿的教育教学活动。掌握一定的表演、构造等基本游戏技能，掌握设计与创编游戏的基本方法，初步具备创编各类教学游戏的能力。通过学习，进一步加深对学前教育的认识，培养与提高学生从事幼儿教育工作的素质和能力。（二）具体目标  </w:t>
      </w:r>
    </w:p>
    <w:p w14:paraId="6EC34F22">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1、知识目标 </w:t>
      </w:r>
    </w:p>
    <w:p w14:paraId="75BB0E20">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使学生了解儿童游戏的相关理论学说，在理解游戏的本质特征的基础上，深刻认识幼儿游戏的特点，认识游戏教育在学前教育中的重要意义，树立正确的学前教育观念。</w:t>
      </w:r>
    </w:p>
    <w:p w14:paraId="55BFABEF">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2、能力目标</w:t>
      </w:r>
    </w:p>
    <w:p w14:paraId="1C99DBFE">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使学生理解游戏的教育作用，掌握各类游戏的特点，能根据幼儿发展的实际水平指导幼儿游戏，能较好地运用游戏形式组织幼儿的教育教学活动。通过实践训练，使学生掌握一定的表演、构造等基本游戏技能，掌握设计与创编游戏的基本方法，初步具备创编各类教学游戏的能力。</w:t>
      </w:r>
    </w:p>
    <w:p w14:paraId="3533CEE9">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3、素质目标</w:t>
      </w:r>
    </w:p>
    <w:p w14:paraId="7847478E">
      <w:pPr>
        <w:ind w:firstLine="800" w:firstLineChars="2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通过学习，使学生进一步加深对学前教育的认识，培养与提高学生从事幼儿教育工作的素质和能力。</w:t>
      </w:r>
    </w:p>
    <w:p w14:paraId="1F958761">
      <w:pPr>
        <w:ind w:firstLine="640" w:firstLineChars="20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三、与前后课程的关系</w:t>
      </w:r>
    </w:p>
    <w:p w14:paraId="467759B2">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（一）</w:t>
      </w:r>
      <w:r>
        <w:rPr>
          <w:rFonts w:hint="default" w:ascii="Times New Roman" w:hAnsi="Times New Roman" w:eastAsia="方正仿宋_GBK" w:cs="Times New Roman"/>
          <w:color w:val="000000" w:themeColor="text1"/>
          <w:kern w:val="0"/>
          <w:sz w:val="32"/>
          <w:szCs w:val="32"/>
          <w14:textFill>
            <w14:solidFill>
              <w14:schemeClr w14:val="tx1"/>
            </w14:solidFill>
          </w14:textFill>
        </w:rPr>
        <w:t>与前续课程的联系</w:t>
      </w:r>
    </w:p>
    <w:p w14:paraId="236EA5C0">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14:textFill>
            <w14:solidFill>
              <w14:schemeClr w14:val="tx1"/>
            </w14:solidFill>
          </w14:textFill>
        </w:rPr>
      </w:pPr>
      <w:r>
        <w:rPr>
          <w:rFonts w:hint="default" w:ascii="Times New Roman" w:hAnsi="Times New Roman" w:eastAsia="方正仿宋_GBK" w:cs="Times New Roman"/>
          <w:color w:val="000000" w:themeColor="text1"/>
          <w:kern w:val="0"/>
          <w:sz w:val="32"/>
          <w:szCs w:val="32"/>
          <w14:textFill>
            <w14:solidFill>
              <w14:schemeClr w14:val="tx1"/>
            </w14:solidFill>
          </w14:textFill>
        </w:rPr>
        <w:t>本课程前续课程为《学前儿童心理学》《学前教育学》，通过前续课程学习，使学生初步掌握了有关学前儿童心理发展特点及规律、学前儿童教育教学规律等基础知识，为本课程学习奠定了坚实的基础。</w:t>
      </w:r>
    </w:p>
    <w:p w14:paraId="6BB8EA1D">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14:textFill>
            <w14:solidFill>
              <w14:schemeClr w14:val="tx1"/>
            </w14:solidFill>
          </w14:textFill>
        </w:rPr>
      </w:pPr>
      <w:r>
        <w:rPr>
          <w:rFonts w:hint="default" w:ascii="Times New Roman" w:hAnsi="Times New Roman" w:eastAsia="方正仿宋_GBK" w:cs="Times New Roman"/>
          <w:color w:val="000000" w:themeColor="text1"/>
          <w:kern w:val="0"/>
          <w:sz w:val="32"/>
          <w:szCs w:val="32"/>
          <w14:textFill>
            <w14:solidFill>
              <w14:schemeClr w14:val="tx1"/>
            </w14:solidFill>
          </w14:textFill>
        </w:rPr>
        <w:t>（二）与后继课程的关系</w:t>
      </w:r>
    </w:p>
    <w:p w14:paraId="42171357">
      <w:pPr>
        <w:widowControl/>
        <w:spacing w:line="360" w:lineRule="atLeast"/>
        <w:ind w:firstLine="640" w:firstLineChars="200"/>
        <w:jc w:val="left"/>
        <w:rPr>
          <w:rFonts w:hint="default" w:ascii="Times New Roman" w:hAnsi="Times New Roman" w:eastAsia="方正仿宋_GBK" w:cs="Times New Roman"/>
          <w:color w:val="000000" w:themeColor="text1"/>
          <w:kern w:val="0"/>
          <w:sz w:val="32"/>
          <w:szCs w:val="32"/>
          <w14:textFill>
            <w14:solidFill>
              <w14:schemeClr w14:val="tx1"/>
            </w14:solidFill>
          </w14:textFill>
        </w:rPr>
      </w:pPr>
      <w:r>
        <w:rPr>
          <w:rFonts w:hint="default" w:ascii="Times New Roman" w:hAnsi="Times New Roman" w:eastAsia="方正仿宋_GBK" w:cs="Times New Roman"/>
          <w:color w:val="000000" w:themeColor="text1"/>
          <w:kern w:val="0"/>
          <w:sz w:val="32"/>
          <w:szCs w:val="32"/>
          <w14:textFill>
            <w14:solidFill>
              <w14:schemeClr w14:val="tx1"/>
            </w14:solidFill>
          </w14:textFill>
        </w:rPr>
        <w:t>本课程的后续课程为《幼儿园教育活动设计与组织指导》，学生通过本课程的学习，具备一定的设计和组织实施幼儿园游戏活动的能力，为日后学习五大领域教育活动的设计和组织实施打下基础，能够较好地运用游戏的形式组织幼儿的教育教学活动。</w:t>
      </w:r>
    </w:p>
    <w:p w14:paraId="2DE8CAEA">
      <w:pPr>
        <w:ind w:firstLine="480" w:firstLineChars="150"/>
        <w:rPr>
          <w:rFonts w:hint="default" w:ascii="Times New Roman" w:hAnsi="Times New Roman" w:eastAsia="方正仿宋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四、课程内容标准</w:t>
      </w:r>
      <w:r>
        <w:rPr>
          <w:rFonts w:hint="default" w:ascii="Times New Roman" w:hAnsi="Times New Roman" w:eastAsia="方正仿宋_GBK" w:cs="Times New Roman"/>
          <w:color w:val="000000" w:themeColor="text1"/>
          <w:sz w:val="32"/>
          <w:szCs w:val="32"/>
          <w14:textFill>
            <w14:solidFill>
              <w14:schemeClr w14:val="tx1"/>
            </w14:solidFill>
          </w14:textFill>
        </w:rPr>
        <w:t>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680"/>
        <w:gridCol w:w="2811"/>
      </w:tblGrid>
      <w:tr w14:paraId="15F2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9BBE866">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单    元</w:t>
            </w:r>
          </w:p>
        </w:tc>
        <w:tc>
          <w:tcPr>
            <w:tcW w:w="4680" w:type="dxa"/>
          </w:tcPr>
          <w:p w14:paraId="08CF3446">
            <w:pPr>
              <w:adjustRightInd w:val="0"/>
              <w:snapToGrid w:val="0"/>
              <w:jc w:val="center"/>
              <w:rPr>
                <w:rFonts w:hint="default" w:ascii="Times New Roman" w:hAnsi="Times New Roman" w:eastAsia="方正仿宋_GBK" w:cs="Times New Roman"/>
                <w:sz w:val="32"/>
                <w:szCs w:val="32"/>
              </w:rPr>
            </w:pPr>
            <w:r>
              <w:rPr>
                <w:rFonts w:hint="default" w:ascii="Times New Roman" w:hAnsi="Times New Roman" w:eastAsia="方正仿宋_GBK" w:cs="Times New Roman"/>
                <w:b/>
                <w:sz w:val="32"/>
                <w:szCs w:val="32"/>
              </w:rPr>
              <w:t>话题1  幼儿园游戏概述</w:t>
            </w:r>
          </w:p>
        </w:tc>
        <w:tc>
          <w:tcPr>
            <w:tcW w:w="2811" w:type="dxa"/>
          </w:tcPr>
          <w:p w14:paraId="10152325">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需课时</w:t>
            </w:r>
            <w:r>
              <w:rPr>
                <w:rFonts w:hint="default" w:ascii="Times New Roman" w:hAnsi="Times New Roman" w:eastAsia="方正仿宋_GBK" w:cs="Times New Roman"/>
                <w:sz w:val="32"/>
                <w:szCs w:val="32"/>
              </w:rPr>
              <w:t>：</w:t>
            </w:r>
            <w:r>
              <w:rPr>
                <w:rFonts w:hint="default" w:ascii="Times New Roman" w:hAnsi="Times New Roman" w:eastAsia="方正仿宋_GBK" w:cs="Times New Roman"/>
                <w:sz w:val="32"/>
                <w:szCs w:val="32"/>
                <w:u w:val="single"/>
              </w:rPr>
              <w:t xml:space="preserve"> 10 </w:t>
            </w:r>
            <w:r>
              <w:rPr>
                <w:rFonts w:hint="default" w:ascii="Times New Roman" w:hAnsi="Times New Roman" w:eastAsia="方正仿宋_GBK" w:cs="Times New Roman"/>
                <w:sz w:val="32"/>
                <w:szCs w:val="32"/>
              </w:rPr>
              <w:t>课时</w:t>
            </w:r>
          </w:p>
        </w:tc>
      </w:tr>
      <w:tr w14:paraId="5E94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02BD643">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教学内容</w:t>
            </w:r>
          </w:p>
        </w:tc>
        <w:tc>
          <w:tcPr>
            <w:tcW w:w="4680" w:type="dxa"/>
          </w:tcPr>
          <w:p w14:paraId="2CC76AA9">
            <w:pPr>
              <w:adjustRightInd w:val="0"/>
              <w:snapToGrid w:val="0"/>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1、游戏的内涵和影响因素</w:t>
            </w:r>
          </w:p>
          <w:p w14:paraId="79539036">
            <w:pPr>
              <w:adjustRightInd w:val="0"/>
              <w:snapToGrid w:val="0"/>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2、游戏与幼儿的发展的关系</w:t>
            </w:r>
          </w:p>
          <w:p w14:paraId="15D06666">
            <w:pPr>
              <w:adjustRightInd w:val="0"/>
              <w:snapToGrid w:val="0"/>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3、游戏与幼儿园教育的关系</w:t>
            </w:r>
          </w:p>
          <w:p w14:paraId="76F5176A">
            <w:pPr>
              <w:adjustRightInd w:val="0"/>
              <w:snapToGrid w:val="0"/>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4、教师在幼儿游戏活动中的作用</w:t>
            </w:r>
          </w:p>
        </w:tc>
        <w:tc>
          <w:tcPr>
            <w:tcW w:w="2811" w:type="dxa"/>
          </w:tcPr>
          <w:p w14:paraId="33903ED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第</w:t>
            </w:r>
            <w:r>
              <w:rPr>
                <w:rFonts w:hint="default" w:ascii="Times New Roman" w:hAnsi="Times New Roman" w:eastAsia="方正仿宋_GBK" w:cs="Times New Roman"/>
                <w:sz w:val="32"/>
                <w:szCs w:val="32"/>
                <w:u w:val="single"/>
              </w:rPr>
              <w:t xml:space="preserve"> 1-10 </w:t>
            </w:r>
            <w:r>
              <w:rPr>
                <w:rFonts w:hint="default" w:ascii="Times New Roman" w:hAnsi="Times New Roman" w:eastAsia="方正仿宋_GBK" w:cs="Times New Roman"/>
                <w:sz w:val="32"/>
                <w:szCs w:val="32"/>
              </w:rPr>
              <w:t>课时</w:t>
            </w:r>
          </w:p>
          <w:p w14:paraId="3FC75F00">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课型</w:t>
            </w:r>
            <w:r>
              <w:rPr>
                <w:rFonts w:hint="default" w:ascii="Times New Roman" w:hAnsi="Times New Roman" w:eastAsia="方正仿宋_GBK" w:cs="Times New Roman"/>
                <w:sz w:val="32"/>
                <w:szCs w:val="32"/>
                <w:u w:val="single"/>
              </w:rPr>
              <w:t xml:space="preserve">  新授课 </w:t>
            </w:r>
          </w:p>
        </w:tc>
      </w:tr>
      <w:tr w14:paraId="11AF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B3C26F9">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教学目标</w:t>
            </w:r>
          </w:p>
        </w:tc>
        <w:tc>
          <w:tcPr>
            <w:tcW w:w="7491" w:type="dxa"/>
            <w:gridSpan w:val="2"/>
          </w:tcPr>
          <w:p w14:paraId="4DB02939">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1、掌握游戏的本质特征和基本要素，能对幼儿的游戏与非游戏活动作出区分。</w:t>
            </w:r>
          </w:p>
          <w:p w14:paraId="7A2A58D4">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2、了解常见的游戏分类，理解游戏作为幼儿的一种权力，对幼儿发展的积极意义。</w:t>
            </w:r>
          </w:p>
          <w:p w14:paraId="459EB72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3、了解幼儿园游戏活动与其他活动的关系，理解幼儿园以游戏为基本活动的理论和实践意义。</w:t>
            </w:r>
          </w:p>
          <w:p w14:paraId="74E509A3">
            <w:pPr>
              <w:adjustRightInd w:val="0"/>
              <w:snapToGrid w:val="0"/>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sz w:val="32"/>
                <w:szCs w:val="32"/>
              </w:rPr>
              <w:t>4、了解幼儿园游戏活动组织的主要环节，明确教师在游戏活动组织中的作用。</w:t>
            </w:r>
          </w:p>
        </w:tc>
      </w:tr>
      <w:tr w14:paraId="39C9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CAA2134">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重    点</w:t>
            </w:r>
          </w:p>
        </w:tc>
        <w:tc>
          <w:tcPr>
            <w:tcW w:w="7491" w:type="dxa"/>
            <w:gridSpan w:val="2"/>
          </w:tcPr>
          <w:p w14:paraId="45C88CA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了解常见的游戏分类，理解幼儿园以游戏为基本活动的理论和实践意义。</w:t>
            </w:r>
          </w:p>
        </w:tc>
      </w:tr>
      <w:tr w14:paraId="2886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5FD5C6D">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难    点</w:t>
            </w:r>
          </w:p>
        </w:tc>
        <w:tc>
          <w:tcPr>
            <w:tcW w:w="7491" w:type="dxa"/>
            <w:gridSpan w:val="2"/>
          </w:tcPr>
          <w:p w14:paraId="63CF734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理解幼儿园以游戏为基本活动的理论和实践意义。</w:t>
            </w:r>
          </w:p>
        </w:tc>
      </w:tr>
      <w:tr w14:paraId="6999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EB9926B">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教学方法</w:t>
            </w:r>
          </w:p>
        </w:tc>
        <w:tc>
          <w:tcPr>
            <w:tcW w:w="7491" w:type="dxa"/>
            <w:gridSpan w:val="2"/>
          </w:tcPr>
          <w:p w14:paraId="7032D81A">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讨论法、讲授法、案例分析法</w:t>
            </w:r>
          </w:p>
        </w:tc>
      </w:tr>
      <w:tr w14:paraId="0863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AB905EA">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教学准备</w:t>
            </w:r>
          </w:p>
        </w:tc>
        <w:tc>
          <w:tcPr>
            <w:tcW w:w="7491" w:type="dxa"/>
            <w:gridSpan w:val="2"/>
          </w:tcPr>
          <w:p w14:paraId="6724C34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教学PPT、案例文本、图片</w:t>
            </w:r>
          </w:p>
        </w:tc>
      </w:tr>
      <w:tr w14:paraId="6CB9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3"/>
            <w:vAlign w:val="center"/>
          </w:tcPr>
          <w:p w14:paraId="797D326D">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教学主要内容</w:t>
            </w:r>
          </w:p>
        </w:tc>
      </w:tr>
      <w:tr w14:paraId="7727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9039" w:type="dxa"/>
            <w:gridSpan w:val="3"/>
            <w:tcBorders>
              <w:bottom w:val="single" w:color="auto" w:sz="4" w:space="0"/>
            </w:tcBorders>
          </w:tcPr>
          <w:p w14:paraId="3A9439E4">
            <w:pPr>
              <w:adjustRightInd w:val="0"/>
              <w:snapToGrid w:val="0"/>
              <w:rPr>
                <w:rFonts w:hint="default" w:ascii="Times New Roman" w:hAnsi="Times New Roman" w:eastAsia="方正仿宋_GBK" w:cs="Times New Roman"/>
                <w:b/>
                <w:sz w:val="32"/>
                <w:szCs w:val="32"/>
              </w:rPr>
            </w:pPr>
            <w:r>
              <w:rPr>
                <w:rFonts w:hint="default" w:ascii="Times New Roman" w:hAnsi="Times New Roman" w:eastAsia="方正仿宋_GBK" w:cs="Times New Roman"/>
                <w:b/>
                <w:sz w:val="32"/>
                <w:szCs w:val="32"/>
              </w:rPr>
              <w:t>一、什么是游戏</w:t>
            </w:r>
          </w:p>
          <w:p w14:paraId="637DA41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（一）游戏的特征</w:t>
            </w:r>
          </w:p>
          <w:p w14:paraId="6681F17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想象与真实的统一    2. 自由与约束的统一</w:t>
            </w:r>
          </w:p>
          <w:p w14:paraId="0BACC8F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目的与手段的统一    4. 轻松与紧张的统一</w:t>
            </w:r>
          </w:p>
          <w:p w14:paraId="6D7A8E0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 练习与探索的统一</w:t>
            </w:r>
          </w:p>
          <w:p w14:paraId="5C6B751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（二）游戏的结构</w:t>
            </w:r>
          </w:p>
          <w:p w14:paraId="2C1B3B8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游戏主题    2. 游戏规则</w:t>
            </w:r>
          </w:p>
          <w:p w14:paraId="1C5C5E8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游戏角色    4. 游戏情节</w:t>
            </w:r>
          </w:p>
          <w:p w14:paraId="752759E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（三）游戏的基本要素</w:t>
            </w:r>
          </w:p>
          <w:p w14:paraId="01B1C72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引发游戏的环境</w:t>
            </w:r>
          </w:p>
          <w:p w14:paraId="7B0D9C8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游戏者的外显行为表现</w:t>
            </w:r>
          </w:p>
          <w:p w14:paraId="55C06D4A">
            <w:pPr>
              <w:pStyle w:val="6"/>
              <w:numPr>
                <w:ilvl w:val="0"/>
                <w:numId w:val="1"/>
              </w:numPr>
              <w:adjustRightInd w:val="0"/>
              <w:snapToGrid w:val="0"/>
              <w:ind w:firstLineChars="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表情    （2）动作    （3）语言</w:t>
            </w:r>
          </w:p>
          <w:p w14:paraId="1355A42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游戏者的内在心理体验</w:t>
            </w:r>
          </w:p>
          <w:p w14:paraId="65A1BF1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（四）游戏的分类</w:t>
            </w:r>
          </w:p>
          <w:p w14:paraId="092D856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根据游戏的机能分类（彪勒）</w:t>
            </w:r>
          </w:p>
          <w:p w14:paraId="00656B4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（1）机能性游戏    （2）想象性游戏</w:t>
            </w:r>
          </w:p>
          <w:p w14:paraId="49E314D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（3）接受性游戏    （4）创造性游戏</w:t>
            </w:r>
          </w:p>
          <w:p w14:paraId="3244166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根据认知发展水平分类（皮亚杰）</w:t>
            </w:r>
          </w:p>
          <w:p w14:paraId="517135C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（1）感觉运动游戏（0～2岁）    （2）象征性游戏（2～７岁）</w:t>
            </w:r>
          </w:p>
          <w:p w14:paraId="21A9324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（3）结构游戏    （4）规则游戏</w:t>
            </w:r>
          </w:p>
          <w:p w14:paraId="36DB3D7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根据社会性发展水平分类（帕顿）</w:t>
            </w:r>
          </w:p>
          <w:p w14:paraId="6FFCFC3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（1）无所事事的游戏    （2）独自游戏</w:t>
            </w:r>
          </w:p>
          <w:p w14:paraId="1F671C5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（3）旁观者游戏    （4）平行游戏</w:t>
            </w:r>
          </w:p>
          <w:p w14:paraId="5ACE30B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（5）联合游戏    （6）合作游戏</w:t>
            </w:r>
          </w:p>
          <w:p w14:paraId="1DD24E0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幼儿园常见的游戏分类</w:t>
            </w:r>
          </w:p>
          <w:p w14:paraId="2808309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（1）本体性游戏与手段性游戏</w:t>
            </w:r>
          </w:p>
          <w:p w14:paraId="647BC9A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（2）规则游戏与创造性游戏（前苏联）</w:t>
            </w:r>
          </w:p>
          <w:p w14:paraId="00F4A6A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（3）创造性游戏、教学性游戏和活动性游戏（林崇德）</w:t>
            </w:r>
          </w:p>
          <w:p w14:paraId="44A9AEFB">
            <w:pPr>
              <w:adjustRightInd w:val="0"/>
              <w:snapToGrid w:val="0"/>
              <w:rPr>
                <w:rFonts w:hint="default" w:ascii="Times New Roman" w:hAnsi="Times New Roman" w:eastAsia="方正仿宋_GBK" w:cs="Times New Roman"/>
                <w:b/>
                <w:sz w:val="32"/>
                <w:szCs w:val="32"/>
              </w:rPr>
            </w:pPr>
            <w:r>
              <w:rPr>
                <w:rFonts w:hint="default" w:ascii="Times New Roman" w:hAnsi="Times New Roman" w:eastAsia="方正仿宋_GBK" w:cs="Times New Roman"/>
                <w:b/>
                <w:sz w:val="32"/>
                <w:szCs w:val="32"/>
              </w:rPr>
              <w:t>二、影响游戏的因素</w:t>
            </w:r>
          </w:p>
          <w:p w14:paraId="3CAA9F0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（一）物质环境因素对游戏的影响</w:t>
            </w:r>
          </w:p>
          <w:p w14:paraId="39E9974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游戏材料    2. 游戏场地    3. 游戏时间</w:t>
            </w:r>
          </w:p>
          <w:p w14:paraId="1FC8FF8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（二）社会环境因素对游戏的影响</w:t>
            </w:r>
          </w:p>
          <w:p w14:paraId="6366DD9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强化    2. 榜样    3. 指导</w:t>
            </w:r>
          </w:p>
          <w:p w14:paraId="122D56B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（三）幼儿自身因素对游戏的影响</w:t>
            </w:r>
          </w:p>
          <w:p w14:paraId="2B5B87E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性别差异    2. 个别差异</w:t>
            </w:r>
          </w:p>
          <w:p w14:paraId="6A8D4CDA">
            <w:pPr>
              <w:adjustRightInd w:val="0"/>
              <w:snapToGrid w:val="0"/>
              <w:rPr>
                <w:rFonts w:hint="default" w:ascii="Times New Roman" w:hAnsi="Times New Roman" w:eastAsia="方正仿宋_GBK" w:cs="Times New Roman"/>
                <w:b/>
                <w:sz w:val="32"/>
                <w:szCs w:val="32"/>
              </w:rPr>
            </w:pPr>
            <w:r>
              <w:rPr>
                <w:rFonts w:hint="default" w:ascii="Times New Roman" w:hAnsi="Times New Roman" w:eastAsia="方正仿宋_GBK" w:cs="Times New Roman"/>
                <w:b/>
                <w:sz w:val="32"/>
                <w:szCs w:val="32"/>
              </w:rPr>
              <w:t>三、游戏与幼儿的发展</w:t>
            </w:r>
          </w:p>
          <w:p w14:paraId="49CA325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（一）游戏是儿童的权利</w:t>
            </w:r>
          </w:p>
          <w:p w14:paraId="5136479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    （二）游戏是促进幼儿发展的适宜途径</w:t>
            </w:r>
          </w:p>
          <w:p w14:paraId="358117C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 促进身体的发展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 xml:space="preserve">2. 促进认知发展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 促进社会性发展</w:t>
            </w:r>
          </w:p>
          <w:p w14:paraId="7DF75CB8">
            <w:pPr>
              <w:adjustRightInd w:val="0"/>
              <w:snapToGrid w:val="0"/>
              <w:rPr>
                <w:rFonts w:hint="default" w:ascii="Times New Roman" w:hAnsi="Times New Roman" w:eastAsia="方正仿宋_GBK" w:cs="Times New Roman"/>
                <w:b/>
                <w:sz w:val="32"/>
                <w:szCs w:val="32"/>
              </w:rPr>
            </w:pPr>
            <w:r>
              <w:rPr>
                <w:rFonts w:hint="default" w:ascii="Times New Roman" w:hAnsi="Times New Roman" w:eastAsia="方正仿宋_GBK" w:cs="Times New Roman"/>
                <w:b/>
                <w:sz w:val="32"/>
                <w:szCs w:val="32"/>
              </w:rPr>
              <w:t>四、游戏与幼儿园教育</w:t>
            </w:r>
          </w:p>
          <w:p w14:paraId="15AD024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（一）幼儿园游戏的特点</w:t>
            </w:r>
          </w:p>
          <w:p w14:paraId="1B11E35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 有准备的游戏环境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2. 相对固定的玩伴</w:t>
            </w:r>
          </w:p>
          <w:p w14:paraId="184B28C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有教师指导和干预</w:t>
            </w:r>
          </w:p>
          <w:p w14:paraId="1667CED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（二）幼儿园游戏与其他活动的关系</w:t>
            </w:r>
          </w:p>
          <w:p w14:paraId="27767CE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幼儿园游戏与学习</w:t>
            </w:r>
          </w:p>
          <w:p w14:paraId="1C2F219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幼儿园游戏与教学</w:t>
            </w:r>
          </w:p>
          <w:p w14:paraId="3CE9B73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（1）游戏和教学的区别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（2）游戏和教学的内在联系</w:t>
            </w:r>
          </w:p>
          <w:p w14:paraId="23D271D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（三）为什么幼儿园要以游戏为基本活动</w:t>
            </w:r>
          </w:p>
          <w:p w14:paraId="2533673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 符合幼儿生理和心理发展的规律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2. 符合幼儿的学习特点</w:t>
            </w:r>
          </w:p>
          <w:p w14:paraId="66DC47A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是实施个别化教育的适宜途径</w:t>
            </w:r>
          </w:p>
          <w:p w14:paraId="5AFB865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（四）幼儿园如何实现以游戏为基本活动</w:t>
            </w:r>
          </w:p>
          <w:p w14:paraId="7136AC3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1．重视幼儿的自发性游戏    2. 注重开展自选游戏 </w:t>
            </w:r>
          </w:p>
          <w:p w14:paraId="703C51D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3. 充分利用游戏组织各类教育活动    </w:t>
            </w:r>
          </w:p>
          <w:p w14:paraId="68EAFC4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满足幼儿多样化的游戏需要</w:t>
            </w:r>
          </w:p>
          <w:p w14:paraId="5A586EC0">
            <w:pPr>
              <w:adjustRightInd w:val="0"/>
              <w:snapToGrid w:val="0"/>
              <w:rPr>
                <w:rFonts w:hint="default" w:ascii="Times New Roman" w:hAnsi="Times New Roman" w:eastAsia="方正仿宋_GBK" w:cs="Times New Roman"/>
                <w:b/>
                <w:sz w:val="32"/>
                <w:szCs w:val="32"/>
              </w:rPr>
            </w:pPr>
            <w:r>
              <w:rPr>
                <w:rFonts w:hint="default" w:ascii="Times New Roman" w:hAnsi="Times New Roman" w:eastAsia="方正仿宋_GBK" w:cs="Times New Roman"/>
                <w:b/>
                <w:sz w:val="32"/>
                <w:szCs w:val="32"/>
              </w:rPr>
              <w:t>五、教师在幼儿游戏活动中的作用</w:t>
            </w:r>
          </w:p>
          <w:p w14:paraId="0D9DA94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（一）幼儿园组织游戏活动的一般流程</w:t>
            </w:r>
          </w:p>
          <w:p w14:paraId="7474918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object>
                <v:shape id="_x0000_i1025" o:spt="75" type="#_x0000_t75" style="height:156.75pt;width:266.6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14:paraId="078B7C5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（二）游戏活动中教师的角色</w:t>
            </w:r>
          </w:p>
          <w:p w14:paraId="5ACA01E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游戏环境的创设者    2. 游戏活动的观察者</w:t>
            </w:r>
          </w:p>
          <w:p w14:paraId="17FE164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游戏活动的指导者    4. 游戏活动的分享者</w:t>
            </w:r>
          </w:p>
          <w:p w14:paraId="6BC7AE9C">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【作业布置】</w:t>
            </w:r>
          </w:p>
          <w:p w14:paraId="6682769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简述游戏的特点和种类。</w:t>
            </w:r>
          </w:p>
          <w:p w14:paraId="360BF8C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简述影响幼儿游戏活动的因素有哪些？</w:t>
            </w:r>
          </w:p>
          <w:p w14:paraId="04541BE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试举例说明游戏对幼儿身心发展有什么意义？</w:t>
            </w:r>
          </w:p>
          <w:p w14:paraId="29BE269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试述游戏与教学之间的关系。</w:t>
            </w:r>
          </w:p>
          <w:p w14:paraId="7EDB038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 为什么游戏是幼儿园的基本活动？如何确保幼儿园的一日生活以游戏为基本活动？</w:t>
            </w:r>
          </w:p>
          <w:p w14:paraId="739A419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6. 简述幼儿园游戏活动组织的流程，以及教师在各个环节的作用。</w:t>
            </w:r>
          </w:p>
        </w:tc>
      </w:tr>
    </w:tbl>
    <w:p w14:paraId="0D32D968">
      <w:pPr>
        <w:ind w:firstLine="480" w:firstLineChars="150"/>
        <w:rPr>
          <w:rFonts w:hint="default" w:ascii="Times New Roman" w:hAnsi="Times New Roman" w:eastAsia="方正仿宋_GBK" w:cs="Times New Roman"/>
          <w:color w:val="000000" w:themeColor="text1"/>
          <w:sz w:val="32"/>
          <w:szCs w:val="32"/>
          <w14:textFill>
            <w14:solidFill>
              <w14:schemeClr w14:val="tx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680"/>
        <w:gridCol w:w="2811"/>
      </w:tblGrid>
      <w:tr w14:paraId="1293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07CDB1F">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单    元</w:t>
            </w:r>
          </w:p>
        </w:tc>
        <w:tc>
          <w:tcPr>
            <w:tcW w:w="4680" w:type="dxa"/>
          </w:tcPr>
          <w:p w14:paraId="30EF2481">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话题2  幼儿园游戏环境规划</w:t>
            </w:r>
          </w:p>
        </w:tc>
        <w:tc>
          <w:tcPr>
            <w:tcW w:w="2811" w:type="dxa"/>
          </w:tcPr>
          <w:p w14:paraId="61584672">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需课时</w:t>
            </w:r>
            <w:r>
              <w:rPr>
                <w:rFonts w:hint="default" w:ascii="Times New Roman" w:hAnsi="Times New Roman" w:eastAsia="方正仿宋_GBK" w:cs="Times New Roman"/>
                <w:sz w:val="32"/>
                <w:szCs w:val="32"/>
              </w:rPr>
              <w:t>：</w:t>
            </w:r>
            <w:r>
              <w:rPr>
                <w:rFonts w:hint="default" w:ascii="Times New Roman" w:hAnsi="Times New Roman" w:eastAsia="方正仿宋_GBK" w:cs="Times New Roman"/>
                <w:sz w:val="32"/>
                <w:szCs w:val="32"/>
                <w:u w:val="single"/>
              </w:rPr>
              <w:t xml:space="preserve"> 8 </w:t>
            </w:r>
            <w:r>
              <w:rPr>
                <w:rFonts w:hint="default" w:ascii="Times New Roman" w:hAnsi="Times New Roman" w:eastAsia="方正仿宋_GBK" w:cs="Times New Roman"/>
                <w:sz w:val="32"/>
                <w:szCs w:val="32"/>
              </w:rPr>
              <w:t>课时</w:t>
            </w:r>
          </w:p>
        </w:tc>
      </w:tr>
      <w:tr w14:paraId="05C2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F6C7EBC">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教学内容</w:t>
            </w:r>
          </w:p>
        </w:tc>
        <w:tc>
          <w:tcPr>
            <w:tcW w:w="4680" w:type="dxa"/>
          </w:tcPr>
          <w:p w14:paraId="4046D341">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1、游戏环境规划的意义和原则</w:t>
            </w:r>
          </w:p>
          <w:p w14:paraId="78234019">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2、户外、室内游戏环境的规划</w:t>
            </w:r>
          </w:p>
          <w:p w14:paraId="7B5EF6F7">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3、幼儿园游戏材料的选择</w:t>
            </w:r>
          </w:p>
          <w:p w14:paraId="0535538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4、幼儿园游戏时间的规划</w:t>
            </w:r>
          </w:p>
        </w:tc>
        <w:tc>
          <w:tcPr>
            <w:tcW w:w="2811" w:type="dxa"/>
          </w:tcPr>
          <w:p w14:paraId="69D2F86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第</w:t>
            </w:r>
            <w:r>
              <w:rPr>
                <w:rFonts w:hint="default" w:ascii="Times New Roman" w:hAnsi="Times New Roman" w:eastAsia="方正仿宋_GBK" w:cs="Times New Roman"/>
                <w:b/>
                <w:bCs/>
                <w:sz w:val="32"/>
                <w:szCs w:val="32"/>
                <w:u w:val="single"/>
              </w:rPr>
              <w:t xml:space="preserve"> 1-8 </w:t>
            </w:r>
            <w:r>
              <w:rPr>
                <w:rFonts w:hint="default" w:ascii="Times New Roman" w:hAnsi="Times New Roman" w:eastAsia="方正仿宋_GBK" w:cs="Times New Roman"/>
                <w:sz w:val="32"/>
                <w:szCs w:val="32"/>
              </w:rPr>
              <w:t>课时</w:t>
            </w:r>
          </w:p>
          <w:p w14:paraId="5D90596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课型</w:t>
            </w:r>
            <w:r>
              <w:rPr>
                <w:rFonts w:hint="default" w:ascii="Times New Roman" w:hAnsi="Times New Roman" w:eastAsia="方正仿宋_GBK" w:cs="Times New Roman"/>
                <w:sz w:val="32"/>
                <w:szCs w:val="32"/>
                <w:u w:val="single"/>
              </w:rPr>
              <w:t xml:space="preserve">  新授课  </w:t>
            </w:r>
          </w:p>
        </w:tc>
      </w:tr>
      <w:tr w14:paraId="41B9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35B352E">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教学目标</w:t>
            </w:r>
          </w:p>
        </w:tc>
        <w:tc>
          <w:tcPr>
            <w:tcW w:w="7491" w:type="dxa"/>
            <w:gridSpan w:val="2"/>
          </w:tcPr>
          <w:p w14:paraId="5D13CC99">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1、了解幼儿园游戏环境规划的意义及游戏环境规划的原则。</w:t>
            </w:r>
          </w:p>
          <w:p w14:paraId="5B9CEDD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2、能根据幼儿园户外游戏和室内游戏的特点合理规划、创设相应的游戏环境。</w:t>
            </w:r>
          </w:p>
          <w:p w14:paraId="2E5D05E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3、能根据幼儿的年龄特点选择和调整游戏材料。</w:t>
            </w:r>
          </w:p>
        </w:tc>
      </w:tr>
      <w:tr w14:paraId="338C2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E5D98E4">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重    点</w:t>
            </w:r>
          </w:p>
        </w:tc>
        <w:tc>
          <w:tcPr>
            <w:tcW w:w="7491" w:type="dxa"/>
            <w:gridSpan w:val="2"/>
          </w:tcPr>
          <w:p w14:paraId="67BF5E28">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能根据幼儿的年龄特点选择和调整游戏材料</w:t>
            </w:r>
          </w:p>
        </w:tc>
      </w:tr>
      <w:tr w14:paraId="512E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2531301">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难    点</w:t>
            </w:r>
          </w:p>
        </w:tc>
        <w:tc>
          <w:tcPr>
            <w:tcW w:w="7491" w:type="dxa"/>
            <w:gridSpan w:val="2"/>
          </w:tcPr>
          <w:p w14:paraId="680CE15B">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根据幼儿园户外游戏和室内游戏的特点合理规划、创设相应的游戏环境。</w:t>
            </w:r>
          </w:p>
        </w:tc>
      </w:tr>
      <w:tr w14:paraId="1F61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8FF353A">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教学方法</w:t>
            </w:r>
          </w:p>
        </w:tc>
        <w:tc>
          <w:tcPr>
            <w:tcW w:w="7491" w:type="dxa"/>
            <w:gridSpan w:val="2"/>
          </w:tcPr>
          <w:p w14:paraId="71A9EFCC">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讨论法、讲授法、案例分析法、情境体验法</w:t>
            </w:r>
          </w:p>
        </w:tc>
      </w:tr>
      <w:tr w14:paraId="6270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54D8D42">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教学准备</w:t>
            </w:r>
          </w:p>
        </w:tc>
        <w:tc>
          <w:tcPr>
            <w:tcW w:w="7491" w:type="dxa"/>
            <w:gridSpan w:val="2"/>
          </w:tcPr>
          <w:p w14:paraId="3B3103E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教学PPT、案例文本、图片</w:t>
            </w:r>
          </w:p>
        </w:tc>
      </w:tr>
      <w:tr w14:paraId="0FC7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3"/>
            <w:vAlign w:val="center"/>
          </w:tcPr>
          <w:p w14:paraId="1295C695">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教学主要内容</w:t>
            </w:r>
          </w:p>
        </w:tc>
      </w:tr>
      <w:tr w14:paraId="283B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9039" w:type="dxa"/>
            <w:gridSpan w:val="3"/>
            <w:tcBorders>
              <w:bottom w:val="single" w:color="auto" w:sz="4" w:space="0"/>
            </w:tcBorders>
          </w:tcPr>
          <w:p w14:paraId="2B88BABC">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一、游戏环境规划的意义和原则</w:t>
            </w:r>
          </w:p>
          <w:p w14:paraId="37707DC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（一）游戏环境规划的意义</w:t>
            </w:r>
          </w:p>
          <w:p w14:paraId="719575E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确保落实“游戏为幼儿园基本活动”</w:t>
            </w:r>
          </w:p>
          <w:p w14:paraId="0DD93DD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确保游戏环境符合幼儿的年龄特点</w:t>
            </w:r>
          </w:p>
          <w:p w14:paraId="622644F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确保游戏环境促进幼儿多元智能的发展</w:t>
            </w:r>
          </w:p>
          <w:p w14:paraId="7131564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确保满足幼儿多样化的游戏需要</w:t>
            </w:r>
          </w:p>
          <w:p w14:paraId="0CC6EC3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 有利于促进幼儿与环境发生积极互动</w:t>
            </w:r>
          </w:p>
          <w:p w14:paraId="46616D9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（二）游戏环境规划的原则</w:t>
            </w:r>
          </w:p>
          <w:p w14:paraId="22B5679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drawing>
                <wp:inline distT="0" distB="0" distL="0" distR="0">
                  <wp:extent cx="2952750" cy="1790700"/>
                  <wp:effectExtent l="0" t="0" r="0" b="1905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54CD4F8">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二、户外游戏环境的规划</w:t>
            </w:r>
          </w:p>
          <w:p w14:paraId="1F931EB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（一）幼儿园户外游戏的特点</w:t>
            </w:r>
          </w:p>
          <w:p w14:paraId="3712D92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与自然紧密结合    2. 能满足幼儿的运动需要</w:t>
            </w:r>
          </w:p>
          <w:p w14:paraId="6921C2C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促进幼儿积极的人际互动</w:t>
            </w:r>
          </w:p>
          <w:p w14:paraId="4F3B023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（二）幼儿园户外游戏环境规划应考虑的要素</w:t>
            </w:r>
          </w:p>
          <w:p w14:paraId="34998DC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 充分利用幼儿园的自然环境和材料    </w:t>
            </w:r>
          </w:p>
          <w:p w14:paraId="44ABF93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巧妙利用场地特征</w:t>
            </w:r>
          </w:p>
          <w:p w14:paraId="7550AF5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考虑不同发展水平幼儿的游戏需要</w:t>
            </w:r>
          </w:p>
          <w:p w14:paraId="3BF757D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大型固定游戏器械与小型可移动游戏器材的合理搭配</w:t>
            </w:r>
          </w:p>
          <w:p w14:paraId="272AA3A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 充分利用日常生活用品创设户外游戏环境</w:t>
            </w:r>
          </w:p>
          <w:p w14:paraId="623DBA4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（三）幼儿园户外游戏环境的创设</w:t>
            </w:r>
          </w:p>
          <w:p w14:paraId="7520BFB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幼儿园户外游戏场地的类型</w:t>
            </w:r>
          </w:p>
          <w:p w14:paraId="6D12564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（1）传统的户外游戏场地    （2）现代的户外游戏场地</w:t>
            </w:r>
          </w:p>
          <w:p w14:paraId="6F4A90B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幼儿园户外游戏场地的创设</w:t>
            </w:r>
          </w:p>
          <w:p w14:paraId="0CCBF37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（1）集体活动区    （2）大型固定游戏器械区    （3）玩沙区    （4）玩水区    （5）跑道或车道    （6）种植养殖区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（7）自然绿地区</w:t>
            </w:r>
          </w:p>
          <w:p w14:paraId="54E182FA">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三、室内游戏环境的规划</w:t>
            </w:r>
          </w:p>
          <w:p w14:paraId="6A6A862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（一）室内游戏环境特征对幼儿游戏行为的影响</w:t>
            </w:r>
          </w:p>
          <w:p w14:paraId="4C1A3E9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空间密度对幼儿游戏行为的影响</w:t>
            </w:r>
          </w:p>
          <w:p w14:paraId="4FB8C11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空间结构对幼儿游戏行为的影响</w:t>
            </w:r>
          </w:p>
          <w:p w14:paraId="434B2CE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（二）室内游戏环境规划中要注意的问题</w:t>
            </w:r>
          </w:p>
          <w:p w14:paraId="648C45E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动静区域安排合理    2. 兼顾固定游戏区与临时游戏区</w:t>
            </w:r>
          </w:p>
          <w:p w14:paraId="199AEC7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合理充分利用有限的空间    4. 赋予环境一定的自治因素</w:t>
            </w:r>
          </w:p>
          <w:p w14:paraId="63FF4F5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（三）幼儿园常见的游戏区域</w:t>
            </w:r>
          </w:p>
          <w:p w14:paraId="591481A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生活劳动区：穿脱衣服、整理衣物、梳头、系鞋带、洗手帕；整理环境的能力，如折叠餐巾、分碗筷、切水果、刨瓜皮、浇花等。</w:t>
            </w:r>
          </w:p>
          <w:p w14:paraId="02BE56E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语言区：阅读、合作猜谜、故事表演、剪贴废旧图书、自编故事、跟“磁带老师”讲故事、下语言棋等。</w:t>
            </w:r>
          </w:p>
          <w:p w14:paraId="5B19C6F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美工区：撕、贴、剪、画、捏、做等美术操作表现活动。</w:t>
            </w:r>
          </w:p>
          <w:p w14:paraId="06F20DA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科学、数学区：通过各种科学小游戏及数学操作活动，发展幼儿数学能力和动手操作等能力。</w:t>
            </w:r>
          </w:p>
          <w:p w14:paraId="0F01B08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 建构区：利用积木、积塑等建构类玩具及酸奶盒、易拉罐、纸盒、玉米瓤等生活中的废弃物进行的建构游戏活动。</w:t>
            </w:r>
          </w:p>
          <w:p w14:paraId="4EDF13F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6. 角色游戏区：角色游戏区设有娃娃家、美发店、超市、美食城、小吃吧等。</w:t>
            </w:r>
          </w:p>
          <w:p w14:paraId="3983C4B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7. 私密区：空间较小、比较隐蔽、来去自由，属于幼儿自己的一个独立的小王国。</w:t>
            </w:r>
          </w:p>
          <w:p w14:paraId="0F1F61A0">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四、幼儿园游戏材料的选择</w:t>
            </w:r>
          </w:p>
          <w:p w14:paraId="41F0FE3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（一）游戏材料的分类</w:t>
            </w:r>
          </w:p>
          <w:p w14:paraId="1F48ECC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 根据玩具的功能特点分    2. 根据操作方式是否多样化分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 根据玩具游戏功能的结构化程度分    4. 根据玩具的来源分</w:t>
            </w:r>
          </w:p>
          <w:p w14:paraId="67B7065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 游戏材料的选择与投放</w:t>
            </w:r>
          </w:p>
          <w:p w14:paraId="737AE7E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游戏材料选择的原则</w:t>
            </w:r>
          </w:p>
          <w:p w14:paraId="5AE35A9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（1）应符合安全、卫生和艺术的要求    （2）应经济适用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（3）具有可探究性</w:t>
            </w:r>
          </w:p>
          <w:p w14:paraId="18034FD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游戏材料的投放</w:t>
            </w:r>
          </w:p>
          <w:p w14:paraId="29E4318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（1）根据幼儿年龄特点投放游戏材料</w:t>
            </w:r>
          </w:p>
          <w:p w14:paraId="68977CC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（2）注意游戏材料投放的动态性</w:t>
            </w:r>
          </w:p>
          <w:p w14:paraId="0B80BF5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（3）根据教育目标投放材料</w:t>
            </w:r>
          </w:p>
          <w:p w14:paraId="04D3BE2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（4）要注意游戏材料投放的丰富性和层次性</w:t>
            </w:r>
          </w:p>
          <w:p w14:paraId="6D19E709">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五、幼儿园游戏材料的选择</w:t>
            </w:r>
          </w:p>
          <w:p w14:paraId="04EB93B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（一）安全的原则    （二）接纳的原则</w:t>
            </w:r>
          </w:p>
          <w:p w14:paraId="7428A7C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（三）平等的原则    （四）尊重的原则</w:t>
            </w:r>
          </w:p>
          <w:p w14:paraId="56B869D5">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六、幼儿园游戏时间的规划</w:t>
            </w:r>
          </w:p>
          <w:p w14:paraId="7BC0FE9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（一）保证幼儿园一日生活中有自由游戏时间</w:t>
            </w:r>
          </w:p>
          <w:p w14:paraId="268EBC1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（二）保证每次游戏活动有充足的游戏时间</w:t>
            </w:r>
          </w:p>
          <w:p w14:paraId="4CD3A7A9">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【作业布置】</w:t>
            </w:r>
          </w:p>
          <w:p w14:paraId="6ED3D34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 </w:t>
            </w:r>
            <w:r>
              <w:rPr>
                <w:rFonts w:hint="default" w:ascii="Times New Roman" w:hAnsi="Times New Roman" w:eastAsia="方正仿宋_GBK" w:cs="Times New Roman"/>
                <w:sz w:val="32"/>
                <w:szCs w:val="32"/>
              </w:rPr>
              <w:t>假设您是幼儿园园长，在设计幼儿园的户外游戏场地时，您会怎样设计？</w:t>
            </w:r>
          </w:p>
          <w:p w14:paraId="4F5D900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2．请观察不同年龄阶段幼儿不同的游戏，谈谈您的想法。</w:t>
            </w:r>
          </w:p>
          <w:p w14:paraId="536A533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3. </w:t>
            </w:r>
            <w:r>
              <w:rPr>
                <w:rFonts w:hint="default" w:ascii="Times New Roman" w:hAnsi="Times New Roman" w:eastAsia="方正仿宋_GBK" w:cs="Times New Roman"/>
                <w:sz w:val="32"/>
                <w:szCs w:val="32"/>
              </w:rPr>
              <w:t>作为教师，在规划幼儿园室内游戏环境时，应考虑哪些问题？</w:t>
            </w:r>
          </w:p>
          <w:p w14:paraId="3106A764">
            <w:pPr>
              <w:adjustRightInd w:val="0"/>
              <w:snapToGrid w:val="0"/>
              <w:ind w:firstLine="640" w:firstLineChars="200"/>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sz w:val="32"/>
                <w:szCs w:val="32"/>
              </w:rPr>
              <w:t xml:space="preserve">4. </w:t>
            </w:r>
            <w:r>
              <w:rPr>
                <w:rFonts w:hint="default" w:ascii="Times New Roman" w:hAnsi="Times New Roman" w:eastAsia="方正仿宋_GBK" w:cs="Times New Roman"/>
                <w:sz w:val="32"/>
                <w:szCs w:val="32"/>
              </w:rPr>
              <w:t>为了给幼儿创设良好的游戏心理环境，教师需要遵循哪些原则？</w:t>
            </w:r>
          </w:p>
        </w:tc>
      </w:tr>
    </w:tbl>
    <w:p w14:paraId="5755D947">
      <w:pPr>
        <w:ind w:firstLine="480" w:firstLineChars="150"/>
        <w:rPr>
          <w:rFonts w:hint="default" w:ascii="Times New Roman" w:hAnsi="Times New Roman" w:eastAsia="方正仿宋_GBK" w:cs="Times New Roman"/>
          <w:color w:val="000000" w:themeColor="text1"/>
          <w:sz w:val="32"/>
          <w:szCs w:val="32"/>
          <w14:textFill>
            <w14:solidFill>
              <w14:schemeClr w14:val="tx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680"/>
        <w:gridCol w:w="2811"/>
      </w:tblGrid>
      <w:tr w14:paraId="2912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DDF1DE2">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单    元</w:t>
            </w:r>
          </w:p>
        </w:tc>
        <w:tc>
          <w:tcPr>
            <w:tcW w:w="4680" w:type="dxa"/>
          </w:tcPr>
          <w:p w14:paraId="538A5699">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话题3  幼儿园游戏活动观察</w:t>
            </w:r>
          </w:p>
        </w:tc>
        <w:tc>
          <w:tcPr>
            <w:tcW w:w="2811" w:type="dxa"/>
          </w:tcPr>
          <w:p w14:paraId="7D2900D9">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需课时：</w:t>
            </w:r>
            <w:r>
              <w:rPr>
                <w:rFonts w:hint="default" w:ascii="Times New Roman" w:hAnsi="Times New Roman" w:eastAsia="方正仿宋_GBK" w:cs="Times New Roman"/>
                <w:sz w:val="32"/>
                <w:szCs w:val="32"/>
                <w:u w:val="single"/>
              </w:rPr>
              <w:t xml:space="preserve"> 10 </w:t>
            </w:r>
            <w:r>
              <w:rPr>
                <w:rFonts w:hint="default" w:ascii="Times New Roman" w:hAnsi="Times New Roman" w:eastAsia="方正仿宋_GBK" w:cs="Times New Roman"/>
                <w:sz w:val="32"/>
                <w:szCs w:val="32"/>
              </w:rPr>
              <w:t>课时</w:t>
            </w:r>
          </w:p>
        </w:tc>
      </w:tr>
      <w:tr w14:paraId="64E8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4D74F6A">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教学内容</w:t>
            </w:r>
          </w:p>
        </w:tc>
        <w:tc>
          <w:tcPr>
            <w:tcW w:w="4680" w:type="dxa"/>
          </w:tcPr>
          <w:p w14:paraId="130E7A37">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1、为什么要观察幼儿的游戏活动</w:t>
            </w:r>
          </w:p>
          <w:p w14:paraId="2D734841">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2、如何对游戏活动进行观察</w:t>
            </w:r>
          </w:p>
          <w:p w14:paraId="3AA7A8E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3、游戏活动观察结果的运用</w:t>
            </w:r>
          </w:p>
        </w:tc>
        <w:tc>
          <w:tcPr>
            <w:tcW w:w="2811" w:type="dxa"/>
          </w:tcPr>
          <w:p w14:paraId="4D075DB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第</w:t>
            </w:r>
            <w:r>
              <w:rPr>
                <w:rFonts w:hint="default" w:ascii="Times New Roman" w:hAnsi="Times New Roman" w:eastAsia="方正仿宋_GBK" w:cs="Times New Roman"/>
                <w:sz w:val="32"/>
                <w:szCs w:val="32"/>
                <w:u w:val="single"/>
              </w:rPr>
              <w:t xml:space="preserve"> 1-10 </w:t>
            </w:r>
            <w:r>
              <w:rPr>
                <w:rFonts w:hint="default" w:ascii="Times New Roman" w:hAnsi="Times New Roman" w:eastAsia="方正仿宋_GBK" w:cs="Times New Roman"/>
                <w:sz w:val="32"/>
                <w:szCs w:val="32"/>
              </w:rPr>
              <w:t>课时</w:t>
            </w:r>
          </w:p>
          <w:p w14:paraId="2EA401D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课型</w:t>
            </w:r>
            <w:r>
              <w:rPr>
                <w:rFonts w:hint="default" w:ascii="Times New Roman" w:hAnsi="Times New Roman" w:eastAsia="方正仿宋_GBK" w:cs="Times New Roman"/>
                <w:sz w:val="32"/>
                <w:szCs w:val="32"/>
                <w:u w:val="single"/>
              </w:rPr>
              <w:t xml:space="preserve">  新授课  </w:t>
            </w:r>
          </w:p>
        </w:tc>
      </w:tr>
      <w:tr w14:paraId="512D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EB20E55">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教学目标</w:t>
            </w:r>
          </w:p>
        </w:tc>
        <w:tc>
          <w:tcPr>
            <w:tcW w:w="7491" w:type="dxa"/>
            <w:gridSpan w:val="2"/>
          </w:tcPr>
          <w:p w14:paraId="4FDCB88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、了解游戏活动观察的目的与意义。</w:t>
            </w:r>
          </w:p>
          <w:p w14:paraId="61A10C15">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2、初步掌握游戏活动观察与记录的基本方法。</w:t>
            </w:r>
          </w:p>
          <w:p w14:paraId="7A595C10">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、学会通过对幼儿游戏活动的观察，了解幼儿的学习和发展状况，并能初步评价幼儿的游戏水平。</w:t>
            </w:r>
          </w:p>
        </w:tc>
      </w:tr>
      <w:tr w14:paraId="73A8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740455E">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重    点</w:t>
            </w:r>
          </w:p>
        </w:tc>
        <w:tc>
          <w:tcPr>
            <w:tcW w:w="7491" w:type="dxa"/>
            <w:gridSpan w:val="2"/>
          </w:tcPr>
          <w:p w14:paraId="27B2064F">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对游戏活动如何进行观察</w:t>
            </w:r>
          </w:p>
        </w:tc>
      </w:tr>
      <w:tr w14:paraId="53C8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E9C7AC2">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难    点</w:t>
            </w:r>
          </w:p>
        </w:tc>
        <w:tc>
          <w:tcPr>
            <w:tcW w:w="7491" w:type="dxa"/>
            <w:gridSpan w:val="2"/>
          </w:tcPr>
          <w:p w14:paraId="441E26F0">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通过对幼儿游戏活动的观察，了解幼儿的学习和发展状况</w:t>
            </w:r>
          </w:p>
        </w:tc>
      </w:tr>
      <w:tr w14:paraId="5EB1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3333995">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教学方法</w:t>
            </w:r>
          </w:p>
        </w:tc>
        <w:tc>
          <w:tcPr>
            <w:tcW w:w="7491" w:type="dxa"/>
            <w:gridSpan w:val="2"/>
          </w:tcPr>
          <w:p w14:paraId="6F34FBEB">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讨论法、讲授法、案例分析法、图片展示、模拟教学法</w:t>
            </w:r>
          </w:p>
        </w:tc>
      </w:tr>
      <w:tr w14:paraId="5A51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28B9742">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教学准备</w:t>
            </w:r>
          </w:p>
        </w:tc>
        <w:tc>
          <w:tcPr>
            <w:tcW w:w="7491" w:type="dxa"/>
            <w:gridSpan w:val="2"/>
          </w:tcPr>
          <w:p w14:paraId="50369DD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教学PPT、案例文本、图片、视频</w:t>
            </w:r>
          </w:p>
        </w:tc>
      </w:tr>
      <w:tr w14:paraId="6B1B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3"/>
            <w:vAlign w:val="center"/>
          </w:tcPr>
          <w:p w14:paraId="14E18CA6">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教学主要内容</w:t>
            </w:r>
          </w:p>
        </w:tc>
      </w:tr>
      <w:tr w14:paraId="1617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9039" w:type="dxa"/>
            <w:gridSpan w:val="3"/>
            <w:tcBorders>
              <w:bottom w:val="single" w:color="auto" w:sz="4" w:space="0"/>
            </w:tcBorders>
          </w:tcPr>
          <w:p w14:paraId="70D52F0F">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一、为什么要观察幼儿的游戏活动</w:t>
            </w:r>
          </w:p>
          <w:p w14:paraId="3D7B54E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（一）观察游戏是认识幼儿的重要途径</w:t>
            </w:r>
          </w:p>
          <w:p w14:paraId="018A059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观察为评价幼儿的发展提供了翔实可靠的依据</w:t>
            </w:r>
          </w:p>
          <w:p w14:paraId="1B56CE3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观察为理解幼儿游戏行为提供依据</w:t>
            </w:r>
          </w:p>
          <w:p w14:paraId="22890C5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（二）观察是开展游戏指导的前提</w:t>
            </w:r>
          </w:p>
          <w:p w14:paraId="387AC6C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（三）观察游戏是提高教师专业素质的重要途径</w:t>
            </w:r>
          </w:p>
          <w:p w14:paraId="2092464A">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二、如何对游戏活动进行观察</w:t>
            </w:r>
          </w:p>
          <w:p w14:paraId="5CA3B58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（一）游戏观察的准备</w:t>
            </w:r>
          </w:p>
          <w:p w14:paraId="108298E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确定游戏观察目的</w:t>
            </w:r>
          </w:p>
          <w:p w14:paraId="638C419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制订游戏观察计划</w:t>
            </w:r>
          </w:p>
          <w:p w14:paraId="6980444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（1）确定游戏观察的目标    （2）确定游戏观察的对象</w:t>
            </w:r>
          </w:p>
          <w:p w14:paraId="0BD9F58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（3）确定游戏观察的环境    （4）确定游戏观察的时间</w:t>
            </w:r>
          </w:p>
          <w:p w14:paraId="764A494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（5）明确观察者的角色    （6）选择观察方法</w:t>
            </w:r>
          </w:p>
          <w:p w14:paraId="2968B33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（7）准备记录工具</w:t>
            </w:r>
          </w:p>
          <w:p w14:paraId="41D45EC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（二）实施游戏观察</w:t>
            </w:r>
          </w:p>
          <w:p w14:paraId="0B4611A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选择合适的观察位置</w:t>
            </w:r>
          </w:p>
          <w:p w14:paraId="0EEBCDF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选择有效的观察策略——游戏中常用的观察策略有扫描观察、定点观察和追踪观察三种。</w:t>
            </w:r>
          </w:p>
          <w:p w14:paraId="14A9C29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选择快捷的记录方式——观察现场的记录可以采用文字、符号和代码等形式。</w:t>
            </w:r>
          </w:p>
          <w:p w14:paraId="58BE3F2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（三）游戏观察结果的分析与解释</w:t>
            </w:r>
          </w:p>
          <w:p w14:paraId="2771B8B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（1）图表形式    （2）文字报告的形式</w:t>
            </w:r>
          </w:p>
          <w:p w14:paraId="50C78936">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三、游戏活动观察结果的运用</w:t>
            </w:r>
          </w:p>
          <w:p w14:paraId="11E7C2D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（一）运用游戏观察评价幼儿学习和发展水平</w:t>
            </w:r>
          </w:p>
          <w:p w14:paraId="34DDE55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动作发展的观察与评价    2. 认知发展的观察与评价</w:t>
            </w:r>
          </w:p>
          <w:p w14:paraId="494CBF9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社会性发展的观察与评价</w:t>
            </w:r>
          </w:p>
          <w:p w14:paraId="7326AA6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（二）运用游戏观察评价幼儿的游戏水平</w:t>
            </w:r>
          </w:p>
          <w:p w14:paraId="2D63B6B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用线索提示进行观察评价</w:t>
            </w:r>
          </w:p>
          <w:p w14:paraId="7760658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用量表进行观察评价</w:t>
            </w:r>
          </w:p>
          <w:p w14:paraId="0553110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（1）帕顿- 皮亚杰量表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 xml:space="preserve">（2）斯米兰斯基社会性主题角色游戏量表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（3）游戏性量表</w:t>
            </w:r>
          </w:p>
          <w:p w14:paraId="3AED0B3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（三）运用游戏观察评价教师的指导行为</w:t>
            </w:r>
          </w:p>
          <w:p w14:paraId="39E38FA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评价教师的游戏准备    2. 评价教师的游戏指导效果</w:t>
            </w:r>
          </w:p>
          <w:p w14:paraId="6A0AF140">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【作业布置】</w:t>
            </w:r>
          </w:p>
          <w:p w14:paraId="40D6208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为什么要观察幼儿的游戏活动？</w:t>
            </w:r>
          </w:p>
          <w:p w14:paraId="71ABCE8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游戏活动观察的常用方法有哪些？</w:t>
            </w:r>
          </w:p>
          <w:p w14:paraId="671F4DA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阅读教材114页小班建构游戏的观察记录，请判断所运用的观察和记录的方法，并指出存在的问题。</w:t>
            </w:r>
          </w:p>
          <w:p w14:paraId="36F2476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4．选择一种你喜欢的观察方法，并设计相应的观察记录工具，分别对一名小班、中班、大班幼儿完成同一幅拼图的情况进行观察记录。 </w:t>
            </w:r>
          </w:p>
        </w:tc>
      </w:tr>
    </w:tbl>
    <w:p w14:paraId="2B5020F6">
      <w:pPr>
        <w:rPr>
          <w:rFonts w:hint="default" w:ascii="Times New Roman" w:hAnsi="Times New Roman" w:eastAsia="方正仿宋_GBK" w:cs="Times New Roman"/>
          <w:color w:val="000000" w:themeColor="text1"/>
          <w:sz w:val="32"/>
          <w:szCs w:val="32"/>
          <w14:textFill>
            <w14:solidFill>
              <w14:schemeClr w14:val="tx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680"/>
        <w:gridCol w:w="2811"/>
      </w:tblGrid>
      <w:tr w14:paraId="702E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EDC5B1D">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单    元</w:t>
            </w:r>
          </w:p>
        </w:tc>
        <w:tc>
          <w:tcPr>
            <w:tcW w:w="4680" w:type="dxa"/>
          </w:tcPr>
          <w:p w14:paraId="76A04FFB">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b/>
                <w:sz w:val="32"/>
                <w:szCs w:val="32"/>
              </w:rPr>
              <w:t>话题4  角色游戏的组织与指导</w:t>
            </w:r>
          </w:p>
        </w:tc>
        <w:tc>
          <w:tcPr>
            <w:tcW w:w="2811" w:type="dxa"/>
          </w:tcPr>
          <w:p w14:paraId="7F29585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需课时：</w:t>
            </w:r>
            <w:r>
              <w:rPr>
                <w:rFonts w:hint="default" w:ascii="Times New Roman" w:hAnsi="Times New Roman" w:eastAsia="方正仿宋_GBK" w:cs="Times New Roman"/>
                <w:sz w:val="32"/>
                <w:szCs w:val="32"/>
                <w:u w:val="single"/>
              </w:rPr>
              <w:t xml:space="preserve"> 12 </w:t>
            </w:r>
            <w:r>
              <w:rPr>
                <w:rFonts w:hint="default" w:ascii="Times New Roman" w:hAnsi="Times New Roman" w:eastAsia="方正仿宋_GBK" w:cs="Times New Roman"/>
                <w:sz w:val="32"/>
                <w:szCs w:val="32"/>
              </w:rPr>
              <w:t>课时</w:t>
            </w:r>
          </w:p>
        </w:tc>
      </w:tr>
      <w:tr w14:paraId="5746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FA579F6">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教学内容</w:t>
            </w:r>
          </w:p>
        </w:tc>
        <w:tc>
          <w:tcPr>
            <w:tcW w:w="4680" w:type="dxa"/>
          </w:tcPr>
          <w:p w14:paraId="4A44A4D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1、角色游戏的特点和教育作用</w:t>
            </w:r>
          </w:p>
          <w:p w14:paraId="46758B9A">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2、角色游戏的指导任务</w:t>
            </w:r>
          </w:p>
          <w:p w14:paraId="26795A34">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3、角色游戏的年龄特点和指导要点</w:t>
            </w:r>
          </w:p>
        </w:tc>
        <w:tc>
          <w:tcPr>
            <w:tcW w:w="2811" w:type="dxa"/>
          </w:tcPr>
          <w:p w14:paraId="18864CC4">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第</w:t>
            </w:r>
            <w:r>
              <w:rPr>
                <w:rFonts w:hint="default" w:ascii="Times New Roman" w:hAnsi="Times New Roman" w:eastAsia="方正仿宋_GBK" w:cs="Times New Roman"/>
                <w:sz w:val="32"/>
                <w:szCs w:val="32"/>
                <w:u w:val="single"/>
              </w:rPr>
              <w:t xml:space="preserve"> 1-12 </w:t>
            </w:r>
            <w:r>
              <w:rPr>
                <w:rFonts w:hint="default" w:ascii="Times New Roman" w:hAnsi="Times New Roman" w:eastAsia="方正仿宋_GBK" w:cs="Times New Roman"/>
                <w:sz w:val="32"/>
                <w:szCs w:val="32"/>
              </w:rPr>
              <w:t>课时</w:t>
            </w:r>
          </w:p>
          <w:p w14:paraId="733BC6C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课型</w:t>
            </w:r>
            <w:r>
              <w:rPr>
                <w:rFonts w:hint="default" w:ascii="Times New Roman" w:hAnsi="Times New Roman" w:eastAsia="方正仿宋_GBK" w:cs="Times New Roman"/>
                <w:sz w:val="32"/>
                <w:szCs w:val="32"/>
                <w:u w:val="single"/>
              </w:rPr>
              <w:t xml:space="preserve">  新授课  </w:t>
            </w:r>
          </w:p>
        </w:tc>
      </w:tr>
      <w:tr w14:paraId="45BB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E0A5A49">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教学目标</w:t>
            </w:r>
          </w:p>
        </w:tc>
        <w:tc>
          <w:tcPr>
            <w:tcW w:w="7491" w:type="dxa"/>
            <w:gridSpan w:val="2"/>
          </w:tcPr>
          <w:p w14:paraId="7E367649">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1、了解角色游戏的特点及对幼儿发展的作用。</w:t>
            </w:r>
          </w:p>
          <w:p w14:paraId="0A64D19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2、掌握角色游戏的年龄特点和组织指导要点。</w:t>
            </w:r>
          </w:p>
          <w:p w14:paraId="231708D8">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kern w:val="0"/>
                <w:sz w:val="32"/>
                <w:szCs w:val="32"/>
              </w:rPr>
              <w:t>能组织幼儿对角色游戏活动进行评价。</w:t>
            </w:r>
          </w:p>
        </w:tc>
      </w:tr>
      <w:tr w14:paraId="7739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699CAF5">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重    点</w:t>
            </w:r>
          </w:p>
        </w:tc>
        <w:tc>
          <w:tcPr>
            <w:tcW w:w="7491" w:type="dxa"/>
            <w:gridSpan w:val="2"/>
          </w:tcPr>
          <w:p w14:paraId="450BF817">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角色游戏的年龄特点和组织指导要点</w:t>
            </w:r>
          </w:p>
        </w:tc>
      </w:tr>
      <w:tr w14:paraId="24C8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CE8A4D0">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难    点</w:t>
            </w:r>
          </w:p>
        </w:tc>
        <w:tc>
          <w:tcPr>
            <w:tcW w:w="7491" w:type="dxa"/>
            <w:gridSpan w:val="2"/>
          </w:tcPr>
          <w:p w14:paraId="3407A817">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kern w:val="0"/>
                <w:sz w:val="32"/>
                <w:szCs w:val="32"/>
              </w:rPr>
              <w:t>能组织幼儿对角色游戏活动进行评价</w:t>
            </w:r>
          </w:p>
        </w:tc>
      </w:tr>
      <w:tr w14:paraId="4812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0D1FC30">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教学方法</w:t>
            </w:r>
          </w:p>
        </w:tc>
        <w:tc>
          <w:tcPr>
            <w:tcW w:w="7491" w:type="dxa"/>
            <w:gridSpan w:val="2"/>
          </w:tcPr>
          <w:p w14:paraId="02C48440">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讨论法、讲授法、案例分析法、模拟教学法、角色体验法</w:t>
            </w:r>
          </w:p>
        </w:tc>
      </w:tr>
      <w:tr w14:paraId="1FEE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CFAAE64">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教学准备</w:t>
            </w:r>
          </w:p>
        </w:tc>
        <w:tc>
          <w:tcPr>
            <w:tcW w:w="7491" w:type="dxa"/>
            <w:gridSpan w:val="2"/>
          </w:tcPr>
          <w:p w14:paraId="38012B7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教学PPT、案例文本、图片</w:t>
            </w:r>
          </w:p>
        </w:tc>
      </w:tr>
      <w:tr w14:paraId="3DE0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3"/>
            <w:vAlign w:val="center"/>
          </w:tcPr>
          <w:p w14:paraId="0EB39FCF">
            <w:pPr>
              <w:adjustRightInd w:val="0"/>
              <w:snapToGrid w:val="0"/>
              <w:jc w:val="center"/>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教学主要内容</w:t>
            </w:r>
          </w:p>
        </w:tc>
      </w:tr>
      <w:tr w14:paraId="5FB9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9039" w:type="dxa"/>
            <w:gridSpan w:val="3"/>
            <w:tcBorders>
              <w:bottom w:val="single" w:color="auto" w:sz="4" w:space="0"/>
            </w:tcBorders>
          </w:tcPr>
          <w:p w14:paraId="7BA6B630">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一、角色游戏的特点和教育作用</w:t>
            </w:r>
          </w:p>
          <w:p w14:paraId="45A8405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（一）幼儿角色游戏的特点</w:t>
            </w:r>
          </w:p>
          <w:p w14:paraId="41E945B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社会性    2. 象征性    3. 戏剧性</w:t>
            </w:r>
          </w:p>
          <w:p w14:paraId="0CDBEA3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（二）角色游戏的结构</w:t>
            </w:r>
          </w:p>
          <w:p w14:paraId="4FAD4B4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情境迁移    2. 替代物使用    3. 角色扮演</w:t>
            </w:r>
          </w:p>
          <w:p w14:paraId="68534ED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（三）角色游戏的教育作用</w:t>
            </w:r>
          </w:p>
          <w:p w14:paraId="1816675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角色游戏促进幼儿认知能力发展</w:t>
            </w:r>
          </w:p>
          <w:p w14:paraId="4E5B942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角色游戏促进幼儿社会性发展</w:t>
            </w:r>
          </w:p>
          <w:p w14:paraId="58E19C6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3．角色游戏培养幼儿积极的情绪情感</w:t>
            </w:r>
          </w:p>
          <w:p w14:paraId="69E0B8D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4．角色游戏促进幼儿语言的发展</w:t>
            </w:r>
          </w:p>
          <w:p w14:paraId="6ECE56C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（四）角色游戏的发展</w:t>
            </w:r>
          </w:p>
          <w:p w14:paraId="07DD552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替代行为的发展    2. 角色扮演的发展    3. 游戏情节的发展</w:t>
            </w:r>
          </w:p>
          <w:p w14:paraId="26BCE384">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二、角色游戏的指导任务</w:t>
            </w:r>
          </w:p>
          <w:p w14:paraId="3770F8F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（一）角色游戏指导的意义</w:t>
            </w:r>
          </w:p>
          <w:p w14:paraId="040B4C6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object>
                <v:shape id="_x0000_i1026" o:spt="75" type="#_x0000_t75" style="height:116.65pt;width:256.5pt;" o:ole="t" filled="f" o:preferrelative="t" stroked="f" coordsize="21600,21600">
                  <v:path/>
                  <v:fill on="f" focussize="0,0"/>
                  <v:stroke on="f" joinstyle="miter"/>
                  <v:imagedata r:id="rId13" o:title=""/>
                  <o:lock v:ext="edit" aspectratio="t"/>
                  <w10:wrap type="none"/>
                  <w10:anchorlock/>
                </v:shape>
                <o:OLEObject Type="Embed" ProgID="PBrush" ShapeID="_x0000_i1026" DrawAspect="Content" ObjectID="_1468075726" r:id="rId12">
                  <o:LockedField>false</o:LockedField>
                </o:OLEObject>
              </w:object>
            </w:r>
          </w:p>
          <w:p w14:paraId="407E17B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（二）角色游戏各环节的指导</w:t>
            </w:r>
          </w:p>
          <w:p w14:paraId="4061296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角色游戏的准备</w:t>
            </w:r>
          </w:p>
          <w:p w14:paraId="497069B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（1）扩展和丰富幼儿的生活经验    （2）创设角色游戏环境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（3）帮助幼儿分配角色</w:t>
            </w:r>
          </w:p>
          <w:p w14:paraId="7BA1FED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角色游戏的观察与现场指导</w:t>
            </w:r>
          </w:p>
          <w:p w14:paraId="3C3268C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（1）语言提示     （2）行为暗示    （3）直接干预</w:t>
            </w:r>
          </w:p>
          <w:p w14:paraId="04591C3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角色游戏的评价</w:t>
            </w:r>
          </w:p>
          <w:p w14:paraId="5636F6D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（1）预防性评价    （2）即时性评价    （3）总结性评价</w:t>
            </w:r>
          </w:p>
          <w:p w14:paraId="2025314D">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三、角色游戏的年龄特点和指导要点</w:t>
            </w:r>
          </w:p>
          <w:p w14:paraId="4DE10DC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（一）小班的角色游戏</w:t>
            </w:r>
          </w:p>
          <w:p w14:paraId="4DDA99B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小班角色游戏的年龄特点</w:t>
            </w:r>
          </w:p>
          <w:p w14:paraId="5647105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（1）游戏前没有明确的主题，角色扮演离不开形象的游戏材料</w:t>
            </w:r>
          </w:p>
          <w:p w14:paraId="7F4AA8C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（2）角色意识不强，游戏行为易受同伴影响</w:t>
            </w:r>
          </w:p>
          <w:p w14:paraId="6E3AC07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（3）喜欢重复角色的典型动作</w:t>
            </w:r>
          </w:p>
          <w:p w14:paraId="5EF5DEE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（4）喜欢独自游戏或平行游戏</w:t>
            </w:r>
          </w:p>
          <w:p w14:paraId="1975501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小班角色游戏区域的设置</w:t>
            </w:r>
          </w:p>
          <w:p w14:paraId="40551AB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（1）游戏的主题以娃娃家为主，提供种类少，同类物品数量多的玩具和游戏材料。</w:t>
            </w:r>
          </w:p>
          <w:p w14:paraId="1BEEE8A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（2）小班中、末期，角色游戏的主题可以增加超市、小医院等。鼓励幼儿互相“做客”、“招待客人”、给宝宝“过生日”、“买菜”等。</w:t>
            </w:r>
          </w:p>
          <w:p w14:paraId="0C1E438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小班角色游戏的指导要点</w:t>
            </w:r>
          </w:p>
          <w:p w14:paraId="001115A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（1）以游戏的发起者和指导者介入幼儿游戏</w:t>
            </w:r>
          </w:p>
          <w:p w14:paraId="5930032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（2）以情景再现的方式开展游戏评价</w:t>
            </w:r>
          </w:p>
          <w:p w14:paraId="509B440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（二）中班角色游戏</w:t>
            </w:r>
          </w:p>
          <w:p w14:paraId="6F8D447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中班角色游戏的年龄特点</w:t>
            </w:r>
          </w:p>
          <w:p w14:paraId="19877E9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（1）角色游戏的目的性和计划性增强</w:t>
            </w:r>
          </w:p>
          <w:p w14:paraId="7E1125A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（2）角色游戏主题扩展，角色扮演的能力提高</w:t>
            </w:r>
          </w:p>
          <w:p w14:paraId="72DF331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（3）角色游戏的社会性水平提高</w:t>
            </w:r>
          </w:p>
          <w:p w14:paraId="77B8D4A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中班角色游戏区域创设</w:t>
            </w:r>
          </w:p>
          <w:p w14:paraId="317B696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（1）中班初期一般设置娃娃家、餐馆、超市、医院、理发店，后期可新增银行，在幼儿熟悉娃娃家厨房操作的基础上扩增点心店。</w:t>
            </w:r>
          </w:p>
          <w:p w14:paraId="66872E0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（2）中班的角色区活动空间不宜过小，不同游戏主题之间的交通路线力求畅通，以促进不同游戏主题之间的联系。</w:t>
            </w:r>
          </w:p>
          <w:p w14:paraId="36165C6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中班角色游戏的指导要点</w:t>
            </w:r>
          </w:p>
          <w:p w14:paraId="12E3751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（1）丰富幼儿与主题相关的生活经验</w:t>
            </w:r>
          </w:p>
          <w:p w14:paraId="123B854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（2）增强幼儿的角色意识</w:t>
            </w:r>
          </w:p>
          <w:p w14:paraId="7998B3B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（3）保证游戏进程的流畅性</w:t>
            </w:r>
          </w:p>
          <w:p w14:paraId="6228F37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（三）大班角色游戏</w:t>
            </w:r>
          </w:p>
          <w:p w14:paraId="5810C3A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大班角色游戏的年龄特点</w:t>
            </w:r>
          </w:p>
          <w:p w14:paraId="4BF7417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（1）游戏主题稳定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 xml:space="preserve">（2）角色扮演逼真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（3）表征能力提高</w:t>
            </w:r>
          </w:p>
          <w:p w14:paraId="572B17A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大班角色游戏区域创设</w:t>
            </w:r>
          </w:p>
          <w:p w14:paraId="2B36880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（1）大班的角色游戏区除了提供与主题相关的基本材料外，还应提供象征性材料，增加角色游戏活动的趣味性。</w:t>
            </w:r>
          </w:p>
          <w:p w14:paraId="660E51A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（2）大班的角色游戏区可以设置游戏“百宝箱”，放置一些废旧物品和手工用具，让幼儿根据游戏情节的需要，利用材料进行想象与创造。</w:t>
            </w:r>
          </w:p>
          <w:p w14:paraId="4E5E97C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（3）及时调整角色游戏内容和区域的设置，为联合游戏、合作游戏做好物质准备与指导支持。</w:t>
            </w:r>
          </w:p>
          <w:p w14:paraId="1DF29F8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大班角色游戏的指导要点</w:t>
            </w:r>
          </w:p>
          <w:p w14:paraId="278F765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（1）支持幼儿主动游戏    （2）支持幼儿合作游戏</w:t>
            </w:r>
          </w:p>
          <w:p w14:paraId="255B6D4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（3）促进游戏技巧的提高</w:t>
            </w:r>
          </w:p>
          <w:p w14:paraId="5514FED9">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【作业布置】</w:t>
            </w:r>
          </w:p>
          <w:p w14:paraId="2181AE6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搜集小、中、大班幼儿的角色游戏案例各3 例，并与同学相互交流，指出各年龄段幼儿角色游戏发展的特点。</w:t>
            </w:r>
          </w:p>
          <w:p w14:paraId="070CDB5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观察小、中、大班角色游戏组织过程中教师是如何指导游戏活动的，并比较不同年龄段幼儿角色游戏指导的差异。</w:t>
            </w:r>
          </w:p>
          <w:p w14:paraId="134799B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如何开展幼儿园角色游戏的评价活动？</w:t>
            </w:r>
          </w:p>
          <w:p w14:paraId="3CE08D5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操作题：请为小、中、大班幼儿设计娃娃家的游戏环境，并说说小、中、大班娃娃家游戏材料投放的差异及理由。</w:t>
            </w:r>
          </w:p>
        </w:tc>
      </w:tr>
    </w:tbl>
    <w:p w14:paraId="6E5D85D3">
      <w:pPr>
        <w:rPr>
          <w:rFonts w:hint="default" w:ascii="Times New Roman" w:hAnsi="Times New Roman" w:eastAsia="方正仿宋_GBK" w:cs="Times New Roman"/>
          <w:color w:val="000000" w:themeColor="text1"/>
          <w:sz w:val="32"/>
          <w:szCs w:val="32"/>
          <w14:textFill>
            <w14:solidFill>
              <w14:schemeClr w14:val="tx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680"/>
        <w:gridCol w:w="2811"/>
      </w:tblGrid>
      <w:tr w14:paraId="0318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AB6D628">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单    元</w:t>
            </w:r>
          </w:p>
        </w:tc>
        <w:tc>
          <w:tcPr>
            <w:tcW w:w="4680" w:type="dxa"/>
          </w:tcPr>
          <w:p w14:paraId="5342AAD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b/>
                <w:sz w:val="32"/>
                <w:szCs w:val="32"/>
              </w:rPr>
              <w:t>话题5  建构游戏的组织与指导</w:t>
            </w:r>
          </w:p>
        </w:tc>
        <w:tc>
          <w:tcPr>
            <w:tcW w:w="2811" w:type="dxa"/>
          </w:tcPr>
          <w:p w14:paraId="3FA048E1">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需课时：</w:t>
            </w:r>
            <w:r>
              <w:rPr>
                <w:rFonts w:hint="default" w:ascii="Times New Roman" w:hAnsi="Times New Roman" w:eastAsia="方正仿宋_GBK" w:cs="Times New Roman"/>
                <w:sz w:val="32"/>
                <w:szCs w:val="32"/>
                <w:u w:val="single"/>
              </w:rPr>
              <w:t xml:space="preserve"> 12 </w:t>
            </w:r>
            <w:r>
              <w:rPr>
                <w:rFonts w:hint="default" w:ascii="Times New Roman" w:hAnsi="Times New Roman" w:eastAsia="方正仿宋_GBK" w:cs="Times New Roman"/>
                <w:sz w:val="32"/>
                <w:szCs w:val="32"/>
              </w:rPr>
              <w:t>课时</w:t>
            </w:r>
          </w:p>
        </w:tc>
      </w:tr>
      <w:tr w14:paraId="73867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4A2EACF">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教学内容</w:t>
            </w:r>
          </w:p>
        </w:tc>
        <w:tc>
          <w:tcPr>
            <w:tcW w:w="4680" w:type="dxa"/>
          </w:tcPr>
          <w:p w14:paraId="5916F6F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1、建构游戏的特点和教育作用</w:t>
            </w:r>
          </w:p>
          <w:p w14:paraId="610E5F6A">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2、建构游戏的组织与指导</w:t>
            </w:r>
          </w:p>
          <w:p w14:paraId="7F6F49FC">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3、主题建构游戏的组织与指导</w:t>
            </w:r>
          </w:p>
        </w:tc>
        <w:tc>
          <w:tcPr>
            <w:tcW w:w="2811" w:type="dxa"/>
          </w:tcPr>
          <w:p w14:paraId="6B7638A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第</w:t>
            </w:r>
            <w:r>
              <w:rPr>
                <w:rFonts w:hint="default" w:ascii="Times New Roman" w:hAnsi="Times New Roman" w:eastAsia="方正仿宋_GBK" w:cs="Times New Roman"/>
                <w:sz w:val="32"/>
                <w:szCs w:val="32"/>
                <w:u w:val="single"/>
              </w:rPr>
              <w:t xml:space="preserve"> 1-12 </w:t>
            </w:r>
            <w:r>
              <w:rPr>
                <w:rFonts w:hint="default" w:ascii="Times New Roman" w:hAnsi="Times New Roman" w:eastAsia="方正仿宋_GBK" w:cs="Times New Roman"/>
                <w:sz w:val="32"/>
                <w:szCs w:val="32"/>
              </w:rPr>
              <w:t>课时</w:t>
            </w:r>
          </w:p>
          <w:p w14:paraId="3167BB3A">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课型</w:t>
            </w:r>
            <w:r>
              <w:rPr>
                <w:rFonts w:hint="default" w:ascii="Times New Roman" w:hAnsi="Times New Roman" w:eastAsia="方正仿宋_GBK" w:cs="Times New Roman"/>
                <w:sz w:val="32"/>
                <w:szCs w:val="32"/>
                <w:u w:val="single"/>
              </w:rPr>
              <w:t xml:space="preserve">  新授课  </w:t>
            </w:r>
          </w:p>
        </w:tc>
      </w:tr>
      <w:tr w14:paraId="0FEC0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97E2BA1">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教学目标</w:t>
            </w:r>
          </w:p>
        </w:tc>
        <w:tc>
          <w:tcPr>
            <w:tcW w:w="7491" w:type="dxa"/>
            <w:gridSpan w:val="2"/>
          </w:tcPr>
          <w:p w14:paraId="485C7D27">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kern w:val="0"/>
                <w:sz w:val="32"/>
                <w:szCs w:val="32"/>
              </w:rPr>
              <w:t>了解建构游戏的特点及对幼儿发展的作用。</w:t>
            </w:r>
          </w:p>
          <w:p w14:paraId="1F3A2DD1">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kern w:val="0"/>
                <w:sz w:val="32"/>
                <w:szCs w:val="32"/>
              </w:rPr>
              <w:t>2、 掌握建构游戏的发展趋势和各年龄段幼儿建构游戏的指导任务。</w:t>
            </w:r>
          </w:p>
          <w:p w14:paraId="15FC6CF1">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kern w:val="0"/>
                <w:sz w:val="32"/>
                <w:szCs w:val="32"/>
              </w:rPr>
              <w:t>3、掌握幼儿建构游戏组织与指导的方法。</w:t>
            </w:r>
          </w:p>
        </w:tc>
      </w:tr>
      <w:tr w14:paraId="4B9C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DE1F588">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重    点</w:t>
            </w:r>
          </w:p>
        </w:tc>
        <w:tc>
          <w:tcPr>
            <w:tcW w:w="7491" w:type="dxa"/>
            <w:gridSpan w:val="2"/>
          </w:tcPr>
          <w:p w14:paraId="109552F4">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kern w:val="0"/>
                <w:sz w:val="32"/>
                <w:szCs w:val="32"/>
              </w:rPr>
              <w:t>幼儿建构游戏组织与指导的方法</w:t>
            </w:r>
          </w:p>
        </w:tc>
      </w:tr>
      <w:tr w14:paraId="23BF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BD971F4">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难    点</w:t>
            </w:r>
          </w:p>
        </w:tc>
        <w:tc>
          <w:tcPr>
            <w:tcW w:w="7491" w:type="dxa"/>
            <w:gridSpan w:val="2"/>
          </w:tcPr>
          <w:p w14:paraId="1FF5620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kern w:val="0"/>
                <w:sz w:val="32"/>
                <w:szCs w:val="32"/>
              </w:rPr>
              <w:t>幼儿建构游戏组织</w:t>
            </w:r>
          </w:p>
        </w:tc>
      </w:tr>
      <w:tr w14:paraId="47FC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FDFDEB7">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教学方法</w:t>
            </w:r>
          </w:p>
        </w:tc>
        <w:tc>
          <w:tcPr>
            <w:tcW w:w="7491" w:type="dxa"/>
            <w:gridSpan w:val="2"/>
          </w:tcPr>
          <w:p w14:paraId="4A700F0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讨论法、讲授法、案例分析法、模拟教学法、体验法</w:t>
            </w:r>
          </w:p>
        </w:tc>
      </w:tr>
      <w:tr w14:paraId="5487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5BAE660">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教学准备</w:t>
            </w:r>
          </w:p>
        </w:tc>
        <w:tc>
          <w:tcPr>
            <w:tcW w:w="7491" w:type="dxa"/>
            <w:gridSpan w:val="2"/>
          </w:tcPr>
          <w:p w14:paraId="2E24CAD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教学PPT、案例文本、图片、视频</w:t>
            </w:r>
          </w:p>
        </w:tc>
      </w:tr>
      <w:tr w14:paraId="018F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3"/>
            <w:vAlign w:val="center"/>
          </w:tcPr>
          <w:p w14:paraId="6876A556">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教学主要内容</w:t>
            </w:r>
          </w:p>
        </w:tc>
      </w:tr>
      <w:tr w14:paraId="6FF2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9039" w:type="dxa"/>
            <w:gridSpan w:val="3"/>
            <w:tcBorders>
              <w:bottom w:val="single" w:color="auto" w:sz="4" w:space="0"/>
            </w:tcBorders>
          </w:tcPr>
          <w:p w14:paraId="26461EE5">
            <w:pPr>
              <w:autoSpaceDE w:val="0"/>
              <w:autoSpaceDN w:val="0"/>
              <w:adjustRightInd w:val="0"/>
              <w:snapToGrid w:val="0"/>
              <w:ind w:left="321" w:hanging="321" w:hangingChars="100"/>
              <w:jc w:val="left"/>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一、建构游戏的特点和教育作用</w:t>
            </w:r>
          </w:p>
          <w:p w14:paraId="6B1BEC1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建构游戏，又称结构游戏，是幼儿利用各种建构材料和玩具，通过意愿想象、动手造型、构造物体等一系列活动，丰富而生动地再现现实社会生活中人们的建筑劳动、建筑物及各种物品的游戏。</w:t>
            </w:r>
          </w:p>
          <w:p w14:paraId="293D115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（一）建构游戏的特点</w:t>
            </w:r>
          </w:p>
          <w:p w14:paraId="54A710B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游戏材料的多样性    2. 游戏方式的操作性</w:t>
            </w:r>
          </w:p>
          <w:p w14:paraId="53BB0A9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构造过程的创造性    4. 建构作品的艺术性</w:t>
            </w:r>
          </w:p>
          <w:p w14:paraId="4993441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（二）建构游戏的分类</w:t>
            </w:r>
          </w:p>
          <w:p w14:paraId="31A6EC8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按建构材料的类型分</w:t>
            </w:r>
          </w:p>
          <w:p w14:paraId="61FCA28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（1）积木搭建类游戏    （2）积塑插接类游戏</w:t>
            </w:r>
          </w:p>
          <w:p w14:paraId="36C3362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（3）自然物建构游戏</w:t>
            </w:r>
          </w:p>
          <w:p w14:paraId="499E11A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按建构作品的复杂程度分</w:t>
            </w:r>
          </w:p>
          <w:p w14:paraId="3BC63C4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（1）单元式建构游戏    （2）主题式建构游戏</w:t>
            </w:r>
          </w:p>
          <w:p w14:paraId="6F6A256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（三）建构游戏的发展趋势</w:t>
            </w:r>
          </w:p>
          <w:p w14:paraId="32C2931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萌芽阶段    2. 无意构造阶段    3. 想象构造阶段</w:t>
            </w:r>
          </w:p>
          <w:p w14:paraId="778AD0B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模拟构造阶段    5. 自由构造阶段</w:t>
            </w:r>
          </w:p>
          <w:p w14:paraId="1525E89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（四）幼儿建构游戏的教育作用</w:t>
            </w:r>
          </w:p>
          <w:p w14:paraId="57E9A96D">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二、建构游戏的组织与指导</w:t>
            </w:r>
          </w:p>
          <w:p w14:paraId="3A159E5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（一）各年龄幼儿建构游戏的特点</w:t>
            </w:r>
          </w:p>
          <w:p w14:paraId="6A67CD4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小班幼儿建构游戏的特点</w:t>
            </w:r>
          </w:p>
          <w:p w14:paraId="2039FC8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（1）小班幼儿建构游戏动作没有明确的目的，主要以独自游戏和平行游戏的方式进行任意构建，常常把建构材料堆起垒高后又推倒，不在乎搭出什么。</w:t>
            </w:r>
          </w:p>
          <w:p w14:paraId="6B9A9AD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（2）小班幼儿在建构中常常更换建构作品的名称，他们一般不能明确解释作品的细节。</w:t>
            </w:r>
          </w:p>
          <w:p w14:paraId="2533205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中班建构游戏发展特点</w:t>
            </w:r>
          </w:p>
          <w:p w14:paraId="229ED43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（1）建构的目的性增强，坚持性也在增加，幼儿年开始尝试模拟结构实例或图纸进行模拟建构活动。</w:t>
            </w:r>
          </w:p>
          <w:p w14:paraId="423EEFF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（2）建构的建构水平由单一的延展向整体布局过渡，并开始关心建构游戏的结果。</w:t>
            </w:r>
          </w:p>
          <w:p w14:paraId="03885E8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3.大班建构游戏发展特点</w:t>
            </w:r>
          </w:p>
          <w:p w14:paraId="6E420B3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（1）游戏的目的明确、计划性较强，能围绕一个主题进行长时间的建构活动。</w:t>
            </w:r>
          </w:p>
          <w:p w14:paraId="76B5B06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（2）利用建构物开展象征性游戏的现象也增多，出现使用辅助材料进一步美化自己的建构物的行为。</w:t>
            </w:r>
          </w:p>
          <w:p w14:paraId="333DFEE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（3）游戏中的合作意识增强，幼儿可以开展多人参加的、持续时间长的大型小组合作建构游戏。</w:t>
            </w:r>
          </w:p>
          <w:p w14:paraId="2004472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（二）建构游戏的指导要点</w:t>
            </w:r>
          </w:p>
          <w:p w14:paraId="5F29CAA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创设游戏环境</w:t>
            </w:r>
          </w:p>
          <w:p w14:paraId="5D478F0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（1）提供丰富的建构材料   （2）合理规划建构区的游戏空间</w:t>
            </w:r>
          </w:p>
          <w:p w14:paraId="7F8AEB4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丰富幼儿的感性经验</w:t>
            </w:r>
          </w:p>
          <w:p w14:paraId="7A3CD8E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激发幼儿的建构兴趣</w:t>
            </w:r>
          </w:p>
          <w:p w14:paraId="0B5A15C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（1）从提供特定场景入手，激发幼儿从事建构游戏的兴趣。</w:t>
            </w:r>
          </w:p>
          <w:p w14:paraId="3A1B14E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（2）从示范欣赏入手，激发幼儿模仿建构新造型的兴趣。</w:t>
            </w:r>
          </w:p>
          <w:p w14:paraId="35D3209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（3）从表征转换入手，让幼儿建构最近画的一幅画或是欣赏过的画或照片。</w:t>
            </w:r>
          </w:p>
          <w:p w14:paraId="5F541FA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操作技能指导</w:t>
            </w:r>
          </w:p>
          <w:p w14:paraId="39505DE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（1）小班幼儿应掌握的建构技能</w:t>
            </w:r>
          </w:p>
          <w:p w14:paraId="7C0EA80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fldChar w:fldCharType="begin"/>
            </w:r>
            <w:r>
              <w:rPr>
                <w:rFonts w:hint="default" w:ascii="Times New Roman" w:hAnsi="Times New Roman" w:eastAsia="方正仿宋_GBK" w:cs="Times New Roman"/>
                <w:sz w:val="32"/>
                <w:szCs w:val="32"/>
              </w:rPr>
              <w:instrText xml:space="preserve"> = 1 \* GB3 \* MERGEFORMAT </w:instrText>
            </w:r>
            <w:r>
              <w:rPr>
                <w:rFonts w:hint="default" w:ascii="Times New Roman" w:hAnsi="Times New Roman" w:eastAsia="方正仿宋_GBK" w:cs="Times New Roman"/>
                <w:sz w:val="32"/>
                <w:szCs w:val="32"/>
              </w:rPr>
              <w:fldChar w:fldCharType="separate"/>
            </w:r>
            <w:r>
              <w:rPr>
                <w:rFonts w:hint="default" w:ascii="Times New Roman" w:hAnsi="Times New Roman" w:eastAsia="方正仿宋_GBK" w:cs="Times New Roman"/>
                <w:sz w:val="32"/>
                <w:szCs w:val="32"/>
              </w:rPr>
              <w:t>①</w:t>
            </w:r>
            <w:r>
              <w:rPr>
                <w:rFonts w:hint="default" w:ascii="Times New Roman" w:hAnsi="Times New Roman" w:eastAsia="方正仿宋_GBK" w:cs="Times New Roman"/>
                <w:sz w:val="32"/>
                <w:szCs w:val="32"/>
              </w:rPr>
              <w:fldChar w:fldCharType="end"/>
            </w:r>
            <w:r>
              <w:rPr>
                <w:rFonts w:hint="default" w:ascii="Times New Roman" w:hAnsi="Times New Roman" w:eastAsia="方正仿宋_GBK" w:cs="Times New Roman"/>
                <w:sz w:val="32"/>
                <w:szCs w:val="32"/>
              </w:rPr>
              <w:t xml:space="preserve"> 堆高、平铺和重复    </w:t>
            </w:r>
            <w:r>
              <w:rPr>
                <w:rFonts w:hint="default" w:ascii="Times New Roman" w:hAnsi="Times New Roman" w:eastAsia="方正仿宋_GBK" w:cs="Times New Roman"/>
                <w:sz w:val="32"/>
                <w:szCs w:val="32"/>
              </w:rPr>
              <w:fldChar w:fldCharType="begin"/>
            </w:r>
            <w:r>
              <w:rPr>
                <w:rFonts w:hint="default" w:ascii="Times New Roman" w:hAnsi="Times New Roman" w:eastAsia="方正仿宋_GBK" w:cs="Times New Roman"/>
                <w:sz w:val="32"/>
                <w:szCs w:val="32"/>
              </w:rPr>
              <w:instrText xml:space="preserve"> = 2 \* GB3 \* MERGEFORMAT </w:instrText>
            </w:r>
            <w:r>
              <w:rPr>
                <w:rFonts w:hint="default" w:ascii="Times New Roman" w:hAnsi="Times New Roman" w:eastAsia="方正仿宋_GBK" w:cs="Times New Roman"/>
                <w:sz w:val="32"/>
                <w:szCs w:val="32"/>
              </w:rPr>
              <w:fldChar w:fldCharType="separate"/>
            </w:r>
            <w:r>
              <w:rPr>
                <w:rFonts w:hint="default" w:ascii="Times New Roman" w:hAnsi="Times New Roman" w:eastAsia="方正仿宋_GBK" w:cs="Times New Roman"/>
                <w:sz w:val="32"/>
                <w:szCs w:val="32"/>
              </w:rPr>
              <w:t>②</w:t>
            </w:r>
            <w:r>
              <w:rPr>
                <w:rFonts w:hint="default" w:ascii="Times New Roman" w:hAnsi="Times New Roman" w:eastAsia="方正仿宋_GBK" w:cs="Times New Roman"/>
                <w:sz w:val="32"/>
                <w:szCs w:val="32"/>
              </w:rPr>
              <w:fldChar w:fldCharType="end"/>
            </w:r>
            <w:r>
              <w:rPr>
                <w:rFonts w:hint="default" w:ascii="Times New Roman" w:hAnsi="Times New Roman" w:eastAsia="方正仿宋_GBK" w:cs="Times New Roman"/>
                <w:sz w:val="32"/>
                <w:szCs w:val="32"/>
              </w:rPr>
              <w:t xml:space="preserve"> 围合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fldChar w:fldCharType="begin"/>
            </w:r>
            <w:r>
              <w:rPr>
                <w:rFonts w:hint="default" w:ascii="Times New Roman" w:hAnsi="Times New Roman" w:eastAsia="方正仿宋_GBK" w:cs="Times New Roman"/>
                <w:sz w:val="32"/>
                <w:szCs w:val="32"/>
              </w:rPr>
              <w:instrText xml:space="preserve"> = 3 \* GB3 \* MERGEFORMAT </w:instrText>
            </w:r>
            <w:r>
              <w:rPr>
                <w:rFonts w:hint="default" w:ascii="Times New Roman" w:hAnsi="Times New Roman" w:eastAsia="方正仿宋_GBK" w:cs="Times New Roman"/>
                <w:sz w:val="32"/>
                <w:szCs w:val="32"/>
              </w:rPr>
              <w:fldChar w:fldCharType="separate"/>
            </w:r>
            <w:r>
              <w:rPr>
                <w:rFonts w:hint="default" w:ascii="Times New Roman" w:hAnsi="Times New Roman" w:eastAsia="方正仿宋_GBK" w:cs="Times New Roman"/>
                <w:sz w:val="32"/>
                <w:szCs w:val="32"/>
              </w:rPr>
              <w:t>③</w:t>
            </w:r>
            <w:r>
              <w:rPr>
                <w:rFonts w:hint="default" w:ascii="Times New Roman" w:hAnsi="Times New Roman" w:eastAsia="方正仿宋_GBK" w:cs="Times New Roman"/>
                <w:sz w:val="32"/>
                <w:szCs w:val="32"/>
              </w:rPr>
              <w:fldChar w:fldCharType="end"/>
            </w:r>
            <w:r>
              <w:rPr>
                <w:rFonts w:hint="default" w:ascii="Times New Roman" w:hAnsi="Times New Roman" w:eastAsia="方正仿宋_GBK" w:cs="Times New Roman"/>
                <w:sz w:val="32"/>
                <w:szCs w:val="32"/>
              </w:rPr>
              <w:t xml:space="preserve"> 加宽</w:t>
            </w:r>
          </w:p>
          <w:p w14:paraId="279E50D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（2）中大班应掌握的建构技能</w:t>
            </w:r>
          </w:p>
          <w:p w14:paraId="2F5CCE1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fldChar w:fldCharType="begin"/>
            </w:r>
            <w:r>
              <w:rPr>
                <w:rFonts w:hint="default" w:ascii="Times New Roman" w:hAnsi="Times New Roman" w:eastAsia="方正仿宋_GBK" w:cs="Times New Roman"/>
                <w:sz w:val="32"/>
                <w:szCs w:val="32"/>
              </w:rPr>
              <w:instrText xml:space="preserve"> = 1 \* GB3 \* MERGEFORMAT </w:instrText>
            </w:r>
            <w:r>
              <w:rPr>
                <w:rFonts w:hint="default" w:ascii="Times New Roman" w:hAnsi="Times New Roman" w:eastAsia="方正仿宋_GBK" w:cs="Times New Roman"/>
                <w:sz w:val="32"/>
                <w:szCs w:val="32"/>
              </w:rPr>
              <w:fldChar w:fldCharType="separate"/>
            </w:r>
            <w:r>
              <w:rPr>
                <w:rFonts w:hint="default" w:ascii="Times New Roman" w:hAnsi="Times New Roman" w:eastAsia="方正仿宋_GBK" w:cs="Times New Roman"/>
                <w:sz w:val="32"/>
                <w:szCs w:val="32"/>
              </w:rPr>
              <w:t>①</w:t>
            </w:r>
            <w:r>
              <w:rPr>
                <w:rFonts w:hint="default" w:ascii="Times New Roman" w:hAnsi="Times New Roman" w:eastAsia="方正仿宋_GBK" w:cs="Times New Roman"/>
                <w:sz w:val="32"/>
                <w:szCs w:val="32"/>
              </w:rPr>
              <w:fldChar w:fldCharType="end"/>
            </w:r>
            <w:r>
              <w:rPr>
                <w:rFonts w:hint="default" w:ascii="Times New Roman" w:hAnsi="Times New Roman" w:eastAsia="方正仿宋_GBK" w:cs="Times New Roman"/>
                <w:sz w:val="32"/>
                <w:szCs w:val="32"/>
              </w:rPr>
              <w:t xml:space="preserve"> 架空    </w:t>
            </w:r>
            <w:r>
              <w:rPr>
                <w:rFonts w:hint="default" w:ascii="Times New Roman" w:hAnsi="Times New Roman" w:eastAsia="方正仿宋_GBK" w:cs="Times New Roman"/>
                <w:sz w:val="32"/>
                <w:szCs w:val="32"/>
              </w:rPr>
              <w:fldChar w:fldCharType="begin"/>
            </w:r>
            <w:r>
              <w:rPr>
                <w:rFonts w:hint="default" w:ascii="Times New Roman" w:hAnsi="Times New Roman" w:eastAsia="方正仿宋_GBK" w:cs="Times New Roman"/>
                <w:sz w:val="32"/>
                <w:szCs w:val="32"/>
              </w:rPr>
              <w:instrText xml:space="preserve"> = 2 \* GB3 \* MERGEFORMAT </w:instrText>
            </w:r>
            <w:r>
              <w:rPr>
                <w:rFonts w:hint="default" w:ascii="Times New Roman" w:hAnsi="Times New Roman" w:eastAsia="方正仿宋_GBK" w:cs="Times New Roman"/>
                <w:sz w:val="32"/>
                <w:szCs w:val="32"/>
              </w:rPr>
              <w:fldChar w:fldCharType="separate"/>
            </w:r>
            <w:r>
              <w:rPr>
                <w:rFonts w:hint="default" w:ascii="Times New Roman" w:hAnsi="Times New Roman" w:eastAsia="方正仿宋_GBK" w:cs="Times New Roman"/>
                <w:sz w:val="32"/>
                <w:szCs w:val="32"/>
              </w:rPr>
              <w:t>②</w:t>
            </w:r>
            <w:r>
              <w:rPr>
                <w:rFonts w:hint="default" w:ascii="Times New Roman" w:hAnsi="Times New Roman" w:eastAsia="方正仿宋_GBK" w:cs="Times New Roman"/>
                <w:sz w:val="32"/>
                <w:szCs w:val="32"/>
              </w:rPr>
              <w:fldChar w:fldCharType="end"/>
            </w:r>
            <w:r>
              <w:rPr>
                <w:rFonts w:hint="default" w:ascii="Times New Roman" w:hAnsi="Times New Roman" w:eastAsia="方正仿宋_GBK" w:cs="Times New Roman"/>
                <w:sz w:val="32"/>
                <w:szCs w:val="32"/>
              </w:rPr>
              <w:t xml:space="preserve"> 插接、镶嵌    </w:t>
            </w:r>
            <w:r>
              <w:rPr>
                <w:rFonts w:hint="default" w:ascii="Times New Roman" w:hAnsi="Times New Roman" w:eastAsia="方正仿宋_GBK" w:cs="Times New Roman"/>
                <w:sz w:val="32"/>
                <w:szCs w:val="32"/>
              </w:rPr>
              <w:fldChar w:fldCharType="begin"/>
            </w:r>
            <w:r>
              <w:rPr>
                <w:rFonts w:hint="default" w:ascii="Times New Roman" w:hAnsi="Times New Roman" w:eastAsia="方正仿宋_GBK" w:cs="Times New Roman"/>
                <w:sz w:val="32"/>
                <w:szCs w:val="32"/>
              </w:rPr>
              <w:instrText xml:space="preserve"> = 3 \* GB3 \* MERGEFORMAT </w:instrText>
            </w:r>
            <w:r>
              <w:rPr>
                <w:rFonts w:hint="default" w:ascii="Times New Roman" w:hAnsi="Times New Roman" w:eastAsia="方正仿宋_GBK" w:cs="Times New Roman"/>
                <w:sz w:val="32"/>
                <w:szCs w:val="32"/>
              </w:rPr>
              <w:fldChar w:fldCharType="separate"/>
            </w:r>
            <w:r>
              <w:rPr>
                <w:rFonts w:hint="default" w:ascii="Times New Roman" w:hAnsi="Times New Roman" w:eastAsia="方正仿宋_GBK" w:cs="Times New Roman"/>
                <w:sz w:val="32"/>
                <w:szCs w:val="32"/>
              </w:rPr>
              <w:t>③</w:t>
            </w:r>
            <w:r>
              <w:rPr>
                <w:rFonts w:hint="default" w:ascii="Times New Roman" w:hAnsi="Times New Roman" w:eastAsia="方正仿宋_GBK" w:cs="Times New Roman"/>
                <w:sz w:val="32"/>
                <w:szCs w:val="32"/>
              </w:rPr>
              <w:fldChar w:fldCharType="end"/>
            </w:r>
            <w:r>
              <w:rPr>
                <w:rFonts w:hint="default" w:ascii="Times New Roman" w:hAnsi="Times New Roman" w:eastAsia="方正仿宋_GBK" w:cs="Times New Roman"/>
                <w:sz w:val="32"/>
                <w:szCs w:val="32"/>
              </w:rPr>
              <w:t xml:space="preserve"> 排列、组合</w:t>
            </w:r>
          </w:p>
          <w:p w14:paraId="405EAE5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游戏讲评</w:t>
            </w:r>
          </w:p>
          <w:p w14:paraId="3D43DBE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（1）引导幼儿对同伴及自我建构作品的评价</w:t>
            </w:r>
          </w:p>
          <w:p w14:paraId="49B4298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（2）引导幼儿关注游戏中出现的问题   </w:t>
            </w:r>
          </w:p>
          <w:p w14:paraId="06DA3ED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（3）教师的综合评价</w:t>
            </w:r>
          </w:p>
          <w:p w14:paraId="79F5BEDC">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三、主题建构游戏的组织与指导</w:t>
            </w:r>
          </w:p>
          <w:p w14:paraId="63A7EAF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（一）建构主题的形成</w:t>
            </w:r>
          </w:p>
          <w:p w14:paraId="4A2E989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从模拟建构中生成主题    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从命题建构中生成主题</w:t>
            </w:r>
          </w:p>
          <w:p w14:paraId="1FFAF4B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从自由建构中生成主题</w:t>
            </w:r>
          </w:p>
          <w:p w14:paraId="5285AA5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（二）主题建构游戏的组织与指导</w:t>
            </w:r>
          </w:p>
          <w:p w14:paraId="2F6DEE2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引导幼儿关注生活经验    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通过讨论丰富建构主题</w:t>
            </w:r>
          </w:p>
          <w:p w14:paraId="3EC664B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支持幼儿合作建构    4.</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有效介入指导</w:t>
            </w:r>
          </w:p>
          <w:p w14:paraId="5C4314E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重视主题建构后的分享交流</w:t>
            </w:r>
          </w:p>
          <w:p w14:paraId="0EB76B1A">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【作业布置】</w:t>
            </w:r>
          </w:p>
          <w:p w14:paraId="2D94745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在建构区对幼儿的游戏情况进行一周的连续观察，并根据观察结果试图回答如下几个问题：</w:t>
            </w:r>
          </w:p>
          <w:p w14:paraId="333F709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（1）每天都是同样的孩子去玩建构游戏（搭积木）吗？</w:t>
            </w:r>
          </w:p>
          <w:p w14:paraId="23D0166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（2）有没有从来不去玩建构游戏（搭积木）的孩子？</w:t>
            </w:r>
          </w:p>
          <w:p w14:paraId="00F8E97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（3）你看到孩子们都搭了些什么？（建议：你可以试着简单画出你看到的孩子的搭建作品，记录作品并尝试分析其发展阶段，留意观察孩子对作品陈放的要求，是否愿意拆掉等。）</w:t>
            </w:r>
          </w:p>
          <w:p w14:paraId="6821C8A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请说说通过建构游戏幼儿可以学到什么？</w:t>
            </w:r>
          </w:p>
          <w:p w14:paraId="731BBEF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如果建构区的幼儿出现如下游戏行为：</w:t>
            </w:r>
          </w:p>
          <w:p w14:paraId="0A7A825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（1）两个孩子在争抢同一块积木时；</w:t>
            </w:r>
          </w:p>
          <w:p w14:paraId="18E737D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（2）一个孩子碰倒了另一个孩子正在搭建的积木时；</w:t>
            </w:r>
          </w:p>
          <w:p w14:paraId="7955428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（3）一个孩子在建构区大喊大叫并拿搭好的积木当枪打同伴时。</w:t>
            </w:r>
          </w:p>
          <w:p w14:paraId="0796264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请分析游戏环境的创设中可能存在什么问题？该如何调整？</w:t>
            </w:r>
          </w:p>
        </w:tc>
      </w:tr>
    </w:tbl>
    <w:p w14:paraId="4FDFAF12">
      <w:pPr>
        <w:rPr>
          <w:rFonts w:hint="default" w:ascii="Times New Roman" w:hAnsi="Times New Roman" w:eastAsia="方正仿宋_GBK" w:cs="Times New Roman"/>
          <w:color w:val="000000" w:themeColor="text1"/>
          <w:sz w:val="32"/>
          <w:szCs w:val="32"/>
          <w14:textFill>
            <w14:solidFill>
              <w14:schemeClr w14:val="tx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680"/>
        <w:gridCol w:w="2811"/>
      </w:tblGrid>
      <w:tr w14:paraId="1E6A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1092652">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单    元</w:t>
            </w:r>
          </w:p>
        </w:tc>
        <w:tc>
          <w:tcPr>
            <w:tcW w:w="4680" w:type="dxa"/>
          </w:tcPr>
          <w:p w14:paraId="070FFCF2">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b/>
                <w:sz w:val="32"/>
                <w:szCs w:val="32"/>
              </w:rPr>
              <w:t>话题6  表演游戏的组织与指导</w:t>
            </w:r>
          </w:p>
        </w:tc>
        <w:tc>
          <w:tcPr>
            <w:tcW w:w="2811" w:type="dxa"/>
          </w:tcPr>
          <w:p w14:paraId="0B678BC9">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需课时：</w:t>
            </w:r>
            <w:r>
              <w:rPr>
                <w:rFonts w:hint="default" w:ascii="Times New Roman" w:hAnsi="Times New Roman" w:eastAsia="方正仿宋_GBK" w:cs="Times New Roman"/>
                <w:sz w:val="32"/>
                <w:szCs w:val="32"/>
                <w:u w:val="single"/>
              </w:rPr>
              <w:t xml:space="preserve"> 12 </w:t>
            </w:r>
            <w:r>
              <w:rPr>
                <w:rFonts w:hint="default" w:ascii="Times New Roman" w:hAnsi="Times New Roman" w:eastAsia="方正仿宋_GBK" w:cs="Times New Roman"/>
                <w:sz w:val="32"/>
                <w:szCs w:val="32"/>
              </w:rPr>
              <w:t>课时</w:t>
            </w:r>
          </w:p>
        </w:tc>
      </w:tr>
      <w:tr w14:paraId="3FF6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085DE24">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教学内容</w:t>
            </w:r>
          </w:p>
        </w:tc>
        <w:tc>
          <w:tcPr>
            <w:tcW w:w="4680" w:type="dxa"/>
          </w:tcPr>
          <w:p w14:paraId="5AA80343">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1、表演游戏概述</w:t>
            </w:r>
          </w:p>
          <w:p w14:paraId="7A9208AA">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2、表演游戏的组织</w:t>
            </w:r>
          </w:p>
          <w:p w14:paraId="4F634E1B">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3、各年龄段表演游戏的组织与指导</w:t>
            </w:r>
          </w:p>
        </w:tc>
        <w:tc>
          <w:tcPr>
            <w:tcW w:w="2811" w:type="dxa"/>
          </w:tcPr>
          <w:p w14:paraId="2FB82E76">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第</w:t>
            </w:r>
            <w:r>
              <w:rPr>
                <w:rFonts w:hint="default" w:ascii="Times New Roman" w:hAnsi="Times New Roman" w:eastAsia="方正仿宋_GBK" w:cs="Times New Roman"/>
                <w:sz w:val="32"/>
                <w:szCs w:val="32"/>
                <w:u w:val="single"/>
              </w:rPr>
              <w:t xml:space="preserve"> 1-12 </w:t>
            </w:r>
            <w:r>
              <w:rPr>
                <w:rFonts w:hint="default" w:ascii="Times New Roman" w:hAnsi="Times New Roman" w:eastAsia="方正仿宋_GBK" w:cs="Times New Roman"/>
                <w:sz w:val="32"/>
                <w:szCs w:val="32"/>
              </w:rPr>
              <w:t>课时</w:t>
            </w:r>
          </w:p>
          <w:p w14:paraId="47DB37BD">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课型</w:t>
            </w:r>
            <w:r>
              <w:rPr>
                <w:rFonts w:hint="default" w:ascii="Times New Roman" w:hAnsi="Times New Roman" w:eastAsia="方正仿宋_GBK" w:cs="Times New Roman"/>
                <w:sz w:val="32"/>
                <w:szCs w:val="32"/>
                <w:u w:val="single"/>
              </w:rPr>
              <w:t xml:space="preserve">  新授课  </w:t>
            </w:r>
          </w:p>
        </w:tc>
      </w:tr>
      <w:tr w14:paraId="6CB4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0BAF227">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教学目标</w:t>
            </w:r>
          </w:p>
        </w:tc>
        <w:tc>
          <w:tcPr>
            <w:tcW w:w="7491" w:type="dxa"/>
            <w:gridSpan w:val="2"/>
          </w:tcPr>
          <w:p w14:paraId="7EE8BA46">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kern w:val="0"/>
                <w:sz w:val="32"/>
                <w:szCs w:val="32"/>
              </w:rPr>
              <w:t>1、了解表演游戏的特点、要素及其教育意义。</w:t>
            </w:r>
          </w:p>
          <w:p w14:paraId="413F1627">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kern w:val="0"/>
                <w:sz w:val="32"/>
                <w:szCs w:val="32"/>
              </w:rPr>
              <w:t>2、掌握各年龄段幼儿表演游戏的特点，并能根据幼儿的年龄特点组织指导幼儿开展表演游戏。</w:t>
            </w:r>
          </w:p>
          <w:p w14:paraId="2C41A06C">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kern w:val="0"/>
                <w:sz w:val="32"/>
                <w:szCs w:val="32"/>
              </w:rPr>
              <w:t>3、能组织幼儿开展表演游戏的评价活动。</w:t>
            </w:r>
          </w:p>
        </w:tc>
      </w:tr>
      <w:tr w14:paraId="7E59B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6A12F2F">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重    点</w:t>
            </w:r>
          </w:p>
        </w:tc>
        <w:tc>
          <w:tcPr>
            <w:tcW w:w="7491" w:type="dxa"/>
            <w:gridSpan w:val="2"/>
          </w:tcPr>
          <w:p w14:paraId="009C118B">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kern w:val="0"/>
                <w:sz w:val="32"/>
                <w:szCs w:val="32"/>
              </w:rPr>
              <w:t>各年龄段幼儿表演游戏的特点、指导幼儿开展表演游戏</w:t>
            </w:r>
          </w:p>
        </w:tc>
      </w:tr>
      <w:tr w14:paraId="1F46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1F96C35">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难    点</w:t>
            </w:r>
          </w:p>
        </w:tc>
        <w:tc>
          <w:tcPr>
            <w:tcW w:w="7491" w:type="dxa"/>
            <w:gridSpan w:val="2"/>
          </w:tcPr>
          <w:p w14:paraId="68B91421">
            <w:pPr>
              <w:autoSpaceDE w:val="0"/>
              <w:autoSpaceDN w:val="0"/>
              <w:adjustRightInd w:val="0"/>
              <w:snapToGrid w:val="0"/>
              <w:jc w:val="left"/>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kern w:val="0"/>
                <w:sz w:val="32"/>
                <w:szCs w:val="32"/>
              </w:rPr>
              <w:t>指导幼儿开展表演游戏</w:t>
            </w:r>
          </w:p>
        </w:tc>
      </w:tr>
      <w:tr w14:paraId="4190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01BCFB1">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教学方法</w:t>
            </w:r>
          </w:p>
        </w:tc>
        <w:tc>
          <w:tcPr>
            <w:tcW w:w="7491" w:type="dxa"/>
            <w:gridSpan w:val="2"/>
          </w:tcPr>
          <w:p w14:paraId="25FBA25A">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讨论法、讲授法、案例分析法、演示法、练习法</w:t>
            </w:r>
          </w:p>
        </w:tc>
      </w:tr>
      <w:tr w14:paraId="72F5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1AE9FF1">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教学准备</w:t>
            </w:r>
          </w:p>
        </w:tc>
        <w:tc>
          <w:tcPr>
            <w:tcW w:w="7491" w:type="dxa"/>
            <w:gridSpan w:val="2"/>
          </w:tcPr>
          <w:p w14:paraId="333AD477">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教学PPT、案例文本、图片、视频</w:t>
            </w:r>
          </w:p>
        </w:tc>
      </w:tr>
      <w:tr w14:paraId="041A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3"/>
            <w:vAlign w:val="center"/>
          </w:tcPr>
          <w:p w14:paraId="56E0AB57">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教学主要内容</w:t>
            </w:r>
          </w:p>
        </w:tc>
      </w:tr>
      <w:tr w14:paraId="7191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9039" w:type="dxa"/>
            <w:gridSpan w:val="3"/>
            <w:tcBorders>
              <w:bottom w:val="single" w:color="auto" w:sz="4" w:space="0"/>
            </w:tcBorders>
          </w:tcPr>
          <w:p w14:paraId="756C5A9E">
            <w:pPr>
              <w:autoSpaceDE w:val="0"/>
              <w:autoSpaceDN w:val="0"/>
              <w:adjustRightInd w:val="0"/>
              <w:snapToGrid w:val="0"/>
              <w:jc w:val="left"/>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 xml:space="preserve">一、表演游戏概述 </w:t>
            </w:r>
          </w:p>
          <w:p w14:paraId="58DD50E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（一）表演游戏的概念</w:t>
            </w:r>
          </w:p>
          <w:p w14:paraId="3D76020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什么是表演游戏</w:t>
            </w:r>
          </w:p>
          <w:p w14:paraId="73391C1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表演游戏是幼儿以文学作品或生活经验为蓝本，通过想象、即兴创作或自编“剧本”，运用动作、语言和表情扮演角色，再现文艺作品或生活内容的一种创造性意愿游戏。</w:t>
            </w:r>
          </w:p>
          <w:p w14:paraId="70F76BC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表演游戏的分类</w:t>
            </w:r>
          </w:p>
          <w:p w14:paraId="5EEDBD61">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按照表演游戏中表演主体的不同，表演游戏可分为直接表演游戏和间接表演游戏。</w:t>
            </w:r>
          </w:p>
          <w:p w14:paraId="61870C3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按照表演素材来源的不同，表演游戏可以分为作品表演游戏和创作表演游戏。</w:t>
            </w:r>
          </w:p>
          <w:p w14:paraId="14ECECA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表演游戏的特点</w:t>
            </w:r>
          </w:p>
          <w:p w14:paraId="6040A05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（1）游戏性    （2）表演性    （3）创造性</w:t>
            </w:r>
          </w:p>
          <w:p w14:paraId="2A54B86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表演游戏与角色游戏、戏剧表演的区别</w:t>
            </w:r>
          </w:p>
          <w:p w14:paraId="0F32E5C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（1）表演游戏与角色游戏的区别</w:t>
            </w:r>
          </w:p>
          <w:p w14:paraId="2EA55956">
            <w:pPr>
              <w:adjustRightInd w:val="0"/>
              <w:snapToGrid w:val="0"/>
              <w:ind w:firstLine="960" w:firstLineChars="3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① 游戏主题或内容的来源不同    ② 游戏的结构化程度不同</w:t>
            </w:r>
          </w:p>
          <w:p w14:paraId="1860F68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（2）表演游戏与戏剧表演的区别</w:t>
            </w:r>
          </w:p>
          <w:p w14:paraId="5ADDB0E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（二）表演游戏的基本要素</w:t>
            </w:r>
          </w:p>
          <w:p w14:paraId="05D8089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表演游戏的角色</w:t>
            </w:r>
          </w:p>
          <w:p w14:paraId="4BCEB36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表演游戏的情节</w:t>
            </w:r>
          </w:p>
          <w:p w14:paraId="53C4ED0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表演游戏的材料</w:t>
            </w:r>
          </w:p>
          <w:p w14:paraId="44C6F0E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（三）表演游戏的教育意义</w:t>
            </w:r>
          </w:p>
          <w:p w14:paraId="4F72906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 加深幼儿对文学作品的理解    2. 促进幼儿想象力的发展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 促进幼儿语言的发展    4. 促进幼儿社会性的发展</w:t>
            </w:r>
          </w:p>
          <w:p w14:paraId="791B8607">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二、表演游戏的组织</w:t>
            </w:r>
          </w:p>
          <w:p w14:paraId="2FF1B1F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（一）表演游戏前的准备</w:t>
            </w:r>
          </w:p>
          <w:p w14:paraId="6645B25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选择合适的表演内容</w:t>
            </w:r>
          </w:p>
          <w:p w14:paraId="1AD78A6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（1）幼儿喜欢的作品</w:t>
            </w:r>
          </w:p>
          <w:p w14:paraId="59E4456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（2）语言简单生动，角色个性鲜明的作品</w:t>
            </w:r>
          </w:p>
          <w:p w14:paraId="2546CFD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（3）有情境的作品</w:t>
            </w:r>
          </w:p>
          <w:p w14:paraId="28A1368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帮助幼儿理解作品</w:t>
            </w:r>
          </w:p>
          <w:p w14:paraId="4BB528A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创设游戏环境</w:t>
            </w:r>
          </w:p>
          <w:p w14:paraId="7FE4E86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（1）引导幼儿参与游戏场地、情景的布置</w:t>
            </w:r>
          </w:p>
          <w:p w14:paraId="0BB3B20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（2）鼓励幼儿参与游戏服装、道具的准备</w:t>
            </w:r>
          </w:p>
          <w:p w14:paraId="07C243E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（二）表演游戏过程中的指导</w:t>
            </w:r>
          </w:p>
          <w:p w14:paraId="42B41B6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帮助幼儿理解和制定必要的游戏规则</w:t>
            </w:r>
          </w:p>
          <w:p w14:paraId="128C55D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帮助幼儿提高表演能力</w:t>
            </w:r>
          </w:p>
          <w:p w14:paraId="2CC6435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（1）引导幼儿运用丰富的声音表情</w:t>
            </w:r>
          </w:p>
          <w:p w14:paraId="4D1254D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（2）启发幼儿运用丰富的面部表情</w:t>
            </w:r>
          </w:p>
          <w:p w14:paraId="534CCB9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（3）鼓励幼儿大胆运用体态语言</w:t>
            </w:r>
          </w:p>
          <w:p w14:paraId="442A33E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帮助幼儿解决游戏过程中的问题</w:t>
            </w:r>
          </w:p>
          <w:p w14:paraId="2215B73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（1）隐性指导    （2）显性指导</w:t>
            </w:r>
          </w:p>
          <w:p w14:paraId="362205A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（三）表演游戏的评价</w:t>
            </w:r>
          </w:p>
          <w:p w14:paraId="523FC79C">
            <w:pPr>
              <w:adjustRightInd w:val="0"/>
              <w:snapToGrid w:val="0"/>
              <w:jc w:val="center"/>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object>
                <v:shape id="_x0000_i1027" o:spt="75" type="#_x0000_t75" style="height:187.5pt;width:341.65pt;" o:ole="t" filled="f" o:preferrelative="t" stroked="f" coordsize="21600,21600">
                  <v:path/>
                  <v:fill on="f" focussize="0,0"/>
                  <v:stroke on="f" joinstyle="miter"/>
                  <v:imagedata r:id="rId15" o:title=""/>
                  <o:lock v:ext="edit" aspectratio="t"/>
                  <w10:wrap type="none"/>
                  <w10:anchorlock/>
                </v:shape>
                <o:OLEObject Type="Embed" ProgID="PBrush" ShapeID="_x0000_i1027" DrawAspect="Content" ObjectID="_1468075727" r:id="rId14">
                  <o:LockedField>false</o:LockedField>
                </o:OLEObject>
              </w:object>
            </w:r>
          </w:p>
          <w:p w14:paraId="73D993BF">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三、各年龄段表演游戏的组织与指导</w:t>
            </w:r>
          </w:p>
          <w:p w14:paraId="7D05EBB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（一）小班表演游戏的组织与指导</w:t>
            </w:r>
          </w:p>
          <w:p w14:paraId="672FAEF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小班表演游戏的特点</w:t>
            </w:r>
          </w:p>
          <w:p w14:paraId="2B57B5C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① 以动作表达为主    ② 语言简单重复    ③ 同伴互动少</w:t>
            </w:r>
          </w:p>
          <w:p w14:paraId="5EE4BBA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小班表演游戏指导要点</w:t>
            </w:r>
          </w:p>
          <w:p w14:paraId="564D6F9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（1）选择或者改编儿童文学作品    （2）采取合适的表演形式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（3）教师主导作用明显</w:t>
            </w:r>
          </w:p>
          <w:p w14:paraId="73BEBCE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（二）中班表演游戏的组织与组织</w:t>
            </w:r>
          </w:p>
          <w:p w14:paraId="7762144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中班表演游戏的特点</w:t>
            </w:r>
          </w:p>
          <w:p w14:paraId="08B1D04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（1）游戏的目的性增强    （2）规则意识加强</w:t>
            </w:r>
          </w:p>
          <w:p w14:paraId="288FE27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（3）表演能力有所提高</w:t>
            </w:r>
          </w:p>
          <w:p w14:paraId="32F01C0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中班表演游戏的指导要点</w:t>
            </w:r>
          </w:p>
          <w:p w14:paraId="406F9A0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（1）强化任务意识，增强游戏的计划性</w:t>
            </w:r>
          </w:p>
          <w:p w14:paraId="14759AF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（2）鼓励幼儿参与游戏规则的制定    （3）适时介入</w:t>
            </w:r>
          </w:p>
          <w:p w14:paraId="7EC7096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（三）大班表演游戏的组织与指导</w:t>
            </w:r>
          </w:p>
          <w:p w14:paraId="34C101D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大班幼儿表演游戏的特点</w:t>
            </w:r>
          </w:p>
          <w:p w14:paraId="01B6F5B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（1）游戏的目的性和计划性增强 </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（2）表演意识和表演技巧提高    （3）游戏的自主性增强</w:t>
            </w:r>
          </w:p>
          <w:p w14:paraId="62FDCFB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大班表演游戏的指导要点</w:t>
            </w:r>
          </w:p>
          <w:p w14:paraId="3E157B1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（1）强化幼儿的舞台意识    （2）支持幼儿的自主游戏</w:t>
            </w:r>
          </w:p>
          <w:p w14:paraId="591FFE4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（3）促进同伴间合作</w:t>
            </w:r>
          </w:p>
          <w:p w14:paraId="3B6A5989">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【作业布置】</w:t>
            </w:r>
          </w:p>
          <w:p w14:paraId="79F9A6A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什么是表演游戏？表演游戏有哪些特点？</w:t>
            </w:r>
          </w:p>
          <w:p w14:paraId="797B0BE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举例说明幼儿园表演游戏和角色游戏有哪些联系与区别？</w:t>
            </w:r>
          </w:p>
          <w:p w14:paraId="0083FEB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表演游戏的基本要素有哪些？</w:t>
            </w:r>
          </w:p>
          <w:p w14:paraId="62CFD16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如何不同年龄对幼儿的表演游戏进行指导？</w:t>
            </w:r>
          </w:p>
          <w:p w14:paraId="59A1403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如何对幼儿的表演游戏进行评价？</w:t>
            </w:r>
          </w:p>
          <w:p w14:paraId="1A29ADE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6.</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实训题：</w:t>
            </w:r>
          </w:p>
          <w:p w14:paraId="4C01B05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（1）请观察记录小、中、大班幼儿10~15 分钟的表演游戏片段，并归纳小、中、大班幼儿表演游戏的特点。</w:t>
            </w:r>
          </w:p>
          <w:p w14:paraId="77D7CF2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（2）请为小、中、大班幼儿各选择一个适合开展表演游戏的文艺作品，并为游戏中的角色设计服装和道具。</w:t>
            </w:r>
          </w:p>
          <w:p w14:paraId="2D31FBA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（3）请以《金色的房子》为内容，为大班幼儿设计一个表演游戏活动。</w:t>
            </w:r>
          </w:p>
        </w:tc>
      </w:tr>
    </w:tbl>
    <w:p w14:paraId="395DC1B7">
      <w:pPr>
        <w:rPr>
          <w:rFonts w:hint="default" w:ascii="Times New Roman" w:hAnsi="Times New Roman" w:eastAsia="方正仿宋_GBK" w:cs="Times New Roman"/>
          <w:color w:val="000000" w:themeColor="text1"/>
          <w:sz w:val="32"/>
          <w:szCs w:val="32"/>
          <w14:textFill>
            <w14:solidFill>
              <w14:schemeClr w14:val="tx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4680"/>
        <w:gridCol w:w="2811"/>
      </w:tblGrid>
      <w:tr w14:paraId="7988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3B8D3EA">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单    元</w:t>
            </w:r>
          </w:p>
        </w:tc>
        <w:tc>
          <w:tcPr>
            <w:tcW w:w="4680" w:type="dxa"/>
          </w:tcPr>
          <w:p w14:paraId="74A6A88C">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b/>
                <w:sz w:val="32"/>
                <w:szCs w:val="32"/>
              </w:rPr>
              <w:t>话题7</w:t>
            </w:r>
            <w:r>
              <w:rPr>
                <w:rFonts w:hint="default" w:ascii="Times New Roman" w:hAnsi="Times New Roman" w:eastAsia="方正仿宋_GBK" w:cs="Times New Roman"/>
                <w:b/>
                <w:sz w:val="32"/>
                <w:szCs w:val="32"/>
              </w:rPr>
              <w:t xml:space="preserve">  </w:t>
            </w:r>
            <w:r>
              <w:rPr>
                <w:rFonts w:hint="default" w:ascii="Times New Roman" w:hAnsi="Times New Roman" w:eastAsia="方正仿宋_GBK" w:cs="Times New Roman"/>
                <w:b/>
                <w:sz w:val="32"/>
                <w:szCs w:val="32"/>
              </w:rPr>
              <w:t>非游戏活动中游戏因素的运用</w:t>
            </w:r>
          </w:p>
        </w:tc>
        <w:tc>
          <w:tcPr>
            <w:tcW w:w="2811" w:type="dxa"/>
          </w:tcPr>
          <w:p w14:paraId="389CFC52">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需课时：</w:t>
            </w:r>
            <w:r>
              <w:rPr>
                <w:rFonts w:hint="default" w:ascii="Times New Roman" w:hAnsi="Times New Roman" w:eastAsia="方正仿宋_GBK" w:cs="Times New Roman"/>
                <w:sz w:val="32"/>
                <w:szCs w:val="32"/>
                <w:u w:val="single"/>
              </w:rPr>
              <w:t xml:space="preserve"> 8 </w:t>
            </w:r>
            <w:r>
              <w:rPr>
                <w:rFonts w:hint="default" w:ascii="Times New Roman" w:hAnsi="Times New Roman" w:eastAsia="方正仿宋_GBK" w:cs="Times New Roman"/>
                <w:sz w:val="32"/>
                <w:szCs w:val="32"/>
              </w:rPr>
              <w:t>课时</w:t>
            </w:r>
          </w:p>
        </w:tc>
      </w:tr>
      <w:tr w14:paraId="0761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8906A27">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教学内容</w:t>
            </w:r>
          </w:p>
        </w:tc>
        <w:tc>
          <w:tcPr>
            <w:tcW w:w="4680" w:type="dxa"/>
          </w:tcPr>
          <w:p w14:paraId="2745028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1、集体教学活动中游戏因素的运用</w:t>
            </w:r>
          </w:p>
          <w:p w14:paraId="1D7FD7C2">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2、活动转换环节中游戏因素的运用</w:t>
            </w:r>
          </w:p>
          <w:p w14:paraId="4C84DC9B">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3、生活环节中游戏因素的运用</w:t>
            </w:r>
          </w:p>
          <w:p w14:paraId="201009D1">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4、综合主题活动与区域游戏整合</w:t>
            </w:r>
          </w:p>
        </w:tc>
        <w:tc>
          <w:tcPr>
            <w:tcW w:w="2811" w:type="dxa"/>
          </w:tcPr>
          <w:p w14:paraId="225552CC">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第</w:t>
            </w:r>
            <w:r>
              <w:rPr>
                <w:rFonts w:hint="default" w:ascii="Times New Roman" w:hAnsi="Times New Roman" w:eastAsia="方正仿宋_GBK" w:cs="Times New Roman"/>
                <w:sz w:val="32"/>
                <w:szCs w:val="32"/>
                <w:u w:val="single"/>
              </w:rPr>
              <w:t xml:space="preserve"> 1-8 </w:t>
            </w:r>
            <w:r>
              <w:rPr>
                <w:rFonts w:hint="default" w:ascii="Times New Roman" w:hAnsi="Times New Roman" w:eastAsia="方正仿宋_GBK" w:cs="Times New Roman"/>
                <w:sz w:val="32"/>
                <w:szCs w:val="32"/>
              </w:rPr>
              <w:t>课时</w:t>
            </w:r>
          </w:p>
          <w:p w14:paraId="3E56149B">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课型</w:t>
            </w:r>
            <w:r>
              <w:rPr>
                <w:rFonts w:hint="default" w:ascii="Times New Roman" w:hAnsi="Times New Roman" w:eastAsia="方正仿宋_GBK" w:cs="Times New Roman"/>
                <w:sz w:val="32"/>
                <w:szCs w:val="32"/>
                <w:u w:val="single"/>
              </w:rPr>
              <w:t xml:space="preserve">  新授课  </w:t>
            </w:r>
          </w:p>
        </w:tc>
      </w:tr>
      <w:tr w14:paraId="7BE9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C403E52">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教学目标</w:t>
            </w:r>
          </w:p>
        </w:tc>
        <w:tc>
          <w:tcPr>
            <w:tcW w:w="7491" w:type="dxa"/>
            <w:gridSpan w:val="2"/>
          </w:tcPr>
          <w:p w14:paraId="07A3B71E">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1、掌握运用游戏手段提高教学活动有效性的方法。</w:t>
            </w:r>
          </w:p>
          <w:p w14:paraId="2EB4BFE2">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2、掌握运用游戏手段促进活动转换环节有序性的方法。</w:t>
            </w:r>
          </w:p>
          <w:p w14:paraId="67320D9A">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3、能合理利用游戏手段开展生活环节练习。</w:t>
            </w:r>
          </w:p>
          <w:p w14:paraId="0640B83F">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4、了解综合主题活动与区域游戏整合的方式。</w:t>
            </w:r>
          </w:p>
        </w:tc>
      </w:tr>
      <w:tr w14:paraId="5C41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4C74637">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重    点</w:t>
            </w:r>
          </w:p>
        </w:tc>
        <w:tc>
          <w:tcPr>
            <w:tcW w:w="7491" w:type="dxa"/>
            <w:gridSpan w:val="2"/>
          </w:tcPr>
          <w:p w14:paraId="5BDD84EB">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运用游戏手段提高教学活动有效性的方法、运用游戏手段促进活动转换环节有序性的方法</w:t>
            </w:r>
          </w:p>
        </w:tc>
      </w:tr>
      <w:tr w14:paraId="44BB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8EFB212">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难    点</w:t>
            </w:r>
          </w:p>
        </w:tc>
        <w:tc>
          <w:tcPr>
            <w:tcW w:w="7491" w:type="dxa"/>
            <w:gridSpan w:val="2"/>
          </w:tcPr>
          <w:p w14:paraId="2E8F2645">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运用游戏手段提高教学活动有效性的方法</w:t>
            </w:r>
          </w:p>
        </w:tc>
      </w:tr>
      <w:tr w14:paraId="45AB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9A7ED8A">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教学方法</w:t>
            </w:r>
          </w:p>
        </w:tc>
        <w:tc>
          <w:tcPr>
            <w:tcW w:w="7491" w:type="dxa"/>
            <w:gridSpan w:val="2"/>
          </w:tcPr>
          <w:p w14:paraId="3A50B7E7">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讨论法、讲授法、案例分析法</w:t>
            </w:r>
          </w:p>
        </w:tc>
      </w:tr>
      <w:tr w14:paraId="1019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CEF37CA">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教学准备</w:t>
            </w:r>
          </w:p>
        </w:tc>
        <w:tc>
          <w:tcPr>
            <w:tcW w:w="7491" w:type="dxa"/>
            <w:gridSpan w:val="2"/>
          </w:tcPr>
          <w:p w14:paraId="303C3067">
            <w:pPr>
              <w:adjustRightInd w:val="0"/>
              <w:snapToGrid w:val="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教学PPT、案例文本、图片</w:t>
            </w:r>
          </w:p>
        </w:tc>
      </w:tr>
      <w:tr w14:paraId="18D7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9" w:type="dxa"/>
            <w:gridSpan w:val="3"/>
            <w:vAlign w:val="center"/>
          </w:tcPr>
          <w:p w14:paraId="43558823">
            <w:pPr>
              <w:adjustRightInd w:val="0"/>
              <w:snapToGrid w:val="0"/>
              <w:jc w:val="center"/>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教学环节与主要内容</w:t>
            </w:r>
          </w:p>
        </w:tc>
      </w:tr>
      <w:tr w14:paraId="2F14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9039" w:type="dxa"/>
            <w:gridSpan w:val="3"/>
            <w:tcBorders>
              <w:bottom w:val="single" w:color="auto" w:sz="4" w:space="0"/>
            </w:tcBorders>
          </w:tcPr>
          <w:p w14:paraId="7A40DD95">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一、集体教学活动中游戏因素的运用</w:t>
            </w:r>
          </w:p>
          <w:p w14:paraId="2581877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（一）什么是教学游戏化</w:t>
            </w:r>
          </w:p>
          <w:p w14:paraId="75363D6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教学游戏化就是充分利用游戏因素，服务于特定的教育目标和任务，将要传授的内容巧妙地渗透到游戏中，使幼儿在教学中也能产生游戏般的快乐体验。</w:t>
            </w:r>
          </w:p>
          <w:p w14:paraId="5DE7FB4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辅助形态    2. 组合形态    3. 融合形态    4. 整合形态</w:t>
            </w:r>
          </w:p>
          <w:p w14:paraId="1D47F68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（二）如何实现教学游戏化</w:t>
            </w:r>
          </w:p>
          <w:p w14:paraId="08FB264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教学游戏化的原理</w:t>
            </w:r>
          </w:p>
          <w:p w14:paraId="25F70FE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教学游戏化的途径</w:t>
            </w:r>
          </w:p>
          <w:p w14:paraId="601F0F0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（1）游戏与教学的结合    （2）游戏与教学的转化</w:t>
            </w:r>
          </w:p>
          <w:p w14:paraId="459CE5B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（三）教学游戏的创编</w:t>
            </w:r>
          </w:p>
          <w:p w14:paraId="2F26556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确定教学游戏目标</w:t>
            </w:r>
          </w:p>
          <w:p w14:paraId="6CA7572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（1）教学游戏的目的应体现特定的教育目标</w:t>
            </w:r>
          </w:p>
          <w:p w14:paraId="6747394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（2）教学游戏的目的应符合幼儿的发展水平</w:t>
            </w:r>
          </w:p>
          <w:p w14:paraId="20AF945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构思游戏玩法</w:t>
            </w:r>
          </w:p>
          <w:p w14:paraId="077A044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概括游戏名称</w:t>
            </w:r>
          </w:p>
          <w:p w14:paraId="30551EE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（四）教学游戏有效性的评价</w:t>
            </w:r>
          </w:p>
          <w:p w14:paraId="21B9A11C">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该教学游戏的目标是否隐蔽</w:t>
            </w:r>
          </w:p>
          <w:p w14:paraId="6966717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该教学游戏是否符合幼儿的年龄特点</w:t>
            </w:r>
          </w:p>
          <w:p w14:paraId="1A1C725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幼儿对该教学游戏是否感兴趣</w:t>
            </w:r>
          </w:p>
          <w:p w14:paraId="505C758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每个幼儿是否都能参与到该游戏中</w:t>
            </w:r>
          </w:p>
          <w:p w14:paraId="0616E0F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该游戏是否注重过程性体验</w:t>
            </w:r>
          </w:p>
          <w:p w14:paraId="6144290A">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二、活动转换环节中游戏因素的运用</w:t>
            </w:r>
          </w:p>
          <w:p w14:paraId="0EE73DC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（一）转换环节存在的问题</w:t>
            </w:r>
          </w:p>
          <w:p w14:paraId="1EF74CD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（二）转换环节的游戏组织策略</w:t>
            </w:r>
          </w:p>
          <w:p w14:paraId="104CB0C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由动到静转换时组织游戏</w:t>
            </w:r>
          </w:p>
          <w:p w14:paraId="7DA4CDA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由静到动转换时组织游戏</w:t>
            </w:r>
          </w:p>
          <w:p w14:paraId="7198A68B">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等待时间组织游戏</w:t>
            </w:r>
          </w:p>
          <w:p w14:paraId="56B13EF4">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（三）适合转换环节开展的游戏举例</w:t>
            </w:r>
          </w:p>
          <w:p w14:paraId="14BD5F7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手指游戏    2. 音乐游戏    3. 语言游戏    4. 其他游戏</w:t>
            </w:r>
          </w:p>
          <w:p w14:paraId="42F9CED1">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三、生活环节中游戏因素的运用</w:t>
            </w:r>
          </w:p>
          <w:p w14:paraId="048004F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（一）游戏化的生活技能练习</w:t>
            </w:r>
          </w:p>
          <w:p w14:paraId="1A9DDA2E">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（二）游戏化的生活习惯培养</w:t>
            </w:r>
          </w:p>
          <w:p w14:paraId="74D1037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游戏化的整理习惯培养    2. 游戏化的文明习惯培养</w:t>
            </w:r>
          </w:p>
          <w:p w14:paraId="3BB9689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游戏化的卫生习惯培养</w:t>
            </w:r>
          </w:p>
          <w:p w14:paraId="74F0F9CF">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四、综合主题活动与区域游戏整合</w:t>
            </w:r>
          </w:p>
          <w:p w14:paraId="01DAFED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综合主题活动是以幼儿与同伴、教师共同对感兴趣的问题进行探索，进而得出结论的学习过程。综合主题活动一般由三个要素组成：一是活动的主题，二是具体的任务，三是幼儿的自主活动。</w:t>
            </w:r>
          </w:p>
          <w:p w14:paraId="49700EB2">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（一）综合主题活动与区域游戏整合的可能性</w:t>
            </w:r>
          </w:p>
          <w:p w14:paraId="2A97363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主题活动丰富游戏情节</w:t>
            </w:r>
          </w:p>
          <w:p w14:paraId="6CB53A8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 主题活动中的问题转化为游戏活动</w:t>
            </w:r>
          </w:p>
          <w:p w14:paraId="70C28E2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游戏活动中可以生成主题活动的内容</w:t>
            </w:r>
          </w:p>
          <w:p w14:paraId="5E0A9CAF">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 游戏活动能巩固主题活动的经验</w:t>
            </w:r>
          </w:p>
          <w:p w14:paraId="565BC34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（二）综合主题活动与区域游戏活动整合的方式</w:t>
            </w:r>
          </w:p>
          <w:p w14:paraId="2847F643">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协同式    2. 延伸式    3. 拓展式    4. 互惠式</w:t>
            </w:r>
          </w:p>
          <w:p w14:paraId="1F38DFFA">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（三）如何实现区域游戏活动与综合性主题活动的整合</w:t>
            </w:r>
          </w:p>
          <w:p w14:paraId="2EE2746D">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 环境创设融为一体    2. 活动目标及内容的整合</w:t>
            </w:r>
          </w:p>
          <w:p w14:paraId="726F0DE5">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 主题背景下区域游戏的指导</w:t>
            </w:r>
          </w:p>
          <w:p w14:paraId="2974FD82">
            <w:pPr>
              <w:adjustRightInd w:val="0"/>
              <w:snapToGrid w:val="0"/>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rPr>
              <w:t>【作业布置】</w:t>
            </w:r>
          </w:p>
          <w:p w14:paraId="082E2CB0">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1.</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谈谈你对教学游戏化的理解。</w:t>
            </w:r>
          </w:p>
          <w:p w14:paraId="6E7501D9">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试举例说明教学游戏创编的基本步骤。</w:t>
            </w:r>
          </w:p>
          <w:p w14:paraId="19D4DE9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3.</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请收集10 个适合在教学活动转换环节开展的游戏。</w:t>
            </w:r>
          </w:p>
          <w:p w14:paraId="166C0AF8">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4.</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讨论：在下面的科学活动中游戏元素的渗透是否合理？应如何进行调整？</w:t>
            </w:r>
          </w:p>
          <w:p w14:paraId="49ED83D7">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大班科学活动“海底世界”，为使活动凸显游戏化的特色，教师用了近三分之一的时间请幼儿“戴上遮阳帽、背上书包、乘上飞机、到海边看风景”，又用了近三分之一的时间模拟从海边开汽车、乘飞机回来的情景，而真正用于观察、讨论、描述大海的时间也就只占有三分之一。在整个活动中，现场气氛热烈，幼儿情绪高涨。</w:t>
            </w:r>
          </w:p>
          <w:p w14:paraId="4E181446">
            <w:pPr>
              <w:adjustRightInd w:val="0"/>
              <w:snapToGrid w:val="0"/>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5.</w:t>
            </w:r>
            <w:r>
              <w:rPr>
                <w:rFonts w:hint="default" w:ascii="Times New Roman" w:hAnsi="Times New Roman" w:eastAsia="方正仿宋_GBK" w:cs="Times New Roman"/>
                <w:sz w:val="32"/>
                <w:szCs w:val="32"/>
              </w:rPr>
              <w:t xml:space="preserve"> </w:t>
            </w:r>
            <w:r>
              <w:rPr>
                <w:rFonts w:hint="default" w:ascii="Times New Roman" w:hAnsi="Times New Roman" w:eastAsia="方正仿宋_GBK" w:cs="Times New Roman"/>
                <w:sz w:val="32"/>
                <w:szCs w:val="32"/>
              </w:rPr>
              <w:t>请结合主题“小鸟”，预设主题活动目标，并设计一份与该主题活动目标相关的区域游戏环境。说说体育活动的主要内容是什么？</w:t>
            </w:r>
          </w:p>
        </w:tc>
      </w:tr>
    </w:tbl>
    <w:p w14:paraId="6EF0C35F">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p>
    <w:p w14:paraId="56BD4487">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五、教学实施的建议</w:t>
      </w:r>
    </w:p>
    <w:p w14:paraId="74912E63">
      <w:pPr>
        <w:ind w:firstLine="643" w:firstLineChars="200"/>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b/>
          <w:color w:val="000000" w:themeColor="text1"/>
          <w:position w:val="6"/>
          <w:sz w:val="32"/>
          <w:szCs w:val="32"/>
          <w14:textFill>
            <w14:solidFill>
              <w14:schemeClr w14:val="tx1"/>
            </w14:solidFill>
          </w14:textFill>
        </w:rPr>
        <w:t>（一）教材选用和编写建议</w:t>
      </w:r>
    </w:p>
    <w:p w14:paraId="688BF443">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1、教材选用</w:t>
      </w:r>
    </w:p>
    <w:p w14:paraId="5105B001">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叶小红主编《幼儿园游戏与指导》，江苏凤凰教育出版社，2</w:t>
      </w:r>
      <w:r>
        <w:rPr>
          <w:rFonts w:hint="default" w:ascii="Times New Roman" w:hAnsi="Times New Roman" w:eastAsia="方正仿宋_GBK" w:cs="Times New Roman"/>
          <w:color w:val="000000" w:themeColor="text1"/>
          <w:position w:val="6"/>
          <w:sz w:val="32"/>
          <w:szCs w:val="32"/>
          <w14:textFill>
            <w14:solidFill>
              <w14:schemeClr w14:val="tx1"/>
            </w14:solidFill>
          </w14:textFill>
        </w:rPr>
        <w:t>014</w:t>
      </w:r>
      <w:r>
        <w:rPr>
          <w:rFonts w:hint="default" w:ascii="Times New Roman" w:hAnsi="Times New Roman" w:eastAsia="方正仿宋_GBK" w:cs="Times New Roman"/>
          <w:color w:val="000000" w:themeColor="text1"/>
          <w:position w:val="6"/>
          <w:sz w:val="32"/>
          <w:szCs w:val="32"/>
          <w14:textFill>
            <w14:solidFill>
              <w14:schemeClr w14:val="tx1"/>
            </w14:solidFill>
          </w14:textFill>
        </w:rPr>
        <w:t>年1月版。</w:t>
      </w:r>
    </w:p>
    <w:p w14:paraId="6B785EBE">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2、教材编写原则与要求</w:t>
      </w:r>
    </w:p>
    <w:p w14:paraId="4DA4D9FC">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教材的选用应依据本课程标准，教材应充分体现任务引领、实践导向的课程设计理念。</w:t>
      </w:r>
    </w:p>
    <w:p w14:paraId="422B174D">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3、教材、教学参考资料使用建议</w:t>
      </w:r>
    </w:p>
    <w:p w14:paraId="123AE9D4">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[1] 刘智成主编《幼儿园游戏与指导》，南开大学出版社，2017.</w:t>
      </w:r>
    </w:p>
    <w:p w14:paraId="666F5C44">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r>
        <w:rPr>
          <w:rFonts w:hint="default" w:ascii="Times New Roman" w:hAnsi="Times New Roman" w:eastAsia="方正仿宋_GBK" w:cs="Times New Roman"/>
          <w:color w:val="000000" w:themeColor="text1"/>
          <w:position w:val="6"/>
          <w:sz w:val="32"/>
          <w:szCs w:val="32"/>
          <w14:textFill>
            <w14:solidFill>
              <w14:schemeClr w14:val="tx1"/>
            </w14:solidFill>
          </w14:textFill>
        </w:rPr>
        <w:t>2]</w:t>
      </w:r>
      <w:r>
        <w:rPr>
          <w:rFonts w:hint="default" w:ascii="Times New Roman" w:hAnsi="Times New Roman" w:eastAsia="方正仿宋_GBK" w:cs="Times New Roman"/>
          <w:color w:val="000000" w:themeColor="text1"/>
          <w:position w:val="6"/>
          <w:sz w:val="32"/>
          <w:szCs w:val="32"/>
          <w14:textFill>
            <w14:solidFill>
              <w14:schemeClr w14:val="tx1"/>
            </w14:solidFill>
          </w14:textFill>
        </w:rPr>
        <w:t>刘焱主编《幼儿园游戏与指导》，高等教育出版社，2</w:t>
      </w:r>
      <w:r>
        <w:rPr>
          <w:rFonts w:hint="default" w:ascii="Times New Roman" w:hAnsi="Times New Roman" w:eastAsia="方正仿宋_GBK" w:cs="Times New Roman"/>
          <w:color w:val="000000" w:themeColor="text1"/>
          <w:position w:val="6"/>
          <w:sz w:val="32"/>
          <w:szCs w:val="32"/>
          <w14:textFill>
            <w14:solidFill>
              <w14:schemeClr w14:val="tx1"/>
            </w14:solidFill>
          </w14:textFill>
        </w:rPr>
        <w:t>012</w:t>
      </w: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p>
    <w:p w14:paraId="792927FA">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r>
        <w:rPr>
          <w:rFonts w:hint="default" w:ascii="Times New Roman" w:hAnsi="Times New Roman" w:eastAsia="方正仿宋_GBK" w:cs="Times New Roman"/>
          <w:color w:val="000000" w:themeColor="text1"/>
          <w:position w:val="6"/>
          <w:sz w:val="32"/>
          <w:szCs w:val="32"/>
          <w14:textFill>
            <w14:solidFill>
              <w14:schemeClr w14:val="tx1"/>
            </w14:solidFill>
          </w14:textFill>
        </w:rPr>
        <w:t>3</w:t>
      </w:r>
      <w:r>
        <w:rPr>
          <w:rFonts w:hint="default" w:ascii="Times New Roman" w:hAnsi="Times New Roman" w:eastAsia="方正仿宋_GBK" w:cs="Times New Roman"/>
          <w:color w:val="000000" w:themeColor="text1"/>
          <w:position w:val="6"/>
          <w:sz w:val="32"/>
          <w:szCs w:val="32"/>
          <w14:textFill>
            <w14:solidFill>
              <w14:schemeClr w14:val="tx1"/>
            </w14:solidFill>
          </w14:textFill>
        </w:rPr>
        <w:t>] 韩文瑛主编《</w:t>
      </w:r>
      <w:r>
        <w:rPr>
          <w:rFonts w:hint="default" w:ascii="Times New Roman" w:hAnsi="Times New Roman" w:eastAsia="方正仿宋_GBK" w:cs="Times New Roman"/>
          <w:color w:val="000000" w:themeColor="text1"/>
          <w:position w:val="6"/>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position w:val="6"/>
          <w:sz w:val="32"/>
          <w:szCs w:val="32"/>
          <w14:textFill>
            <w14:solidFill>
              <w14:schemeClr w14:val="tx1"/>
            </w14:solidFill>
          </w14:textFill>
        </w:rPr>
        <w:t>活动设计》人民邮电出版社，2014.</w:t>
      </w:r>
    </w:p>
    <w:p w14:paraId="3F68D8BF">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r>
        <w:rPr>
          <w:rFonts w:hint="default" w:ascii="Times New Roman" w:hAnsi="Times New Roman" w:eastAsia="方正仿宋_GBK" w:cs="Times New Roman"/>
          <w:color w:val="000000" w:themeColor="text1"/>
          <w:position w:val="6"/>
          <w:sz w:val="32"/>
          <w:szCs w:val="32"/>
          <w14:textFill>
            <w14:solidFill>
              <w14:schemeClr w14:val="tx1"/>
            </w14:solidFill>
          </w14:textFill>
        </w:rPr>
        <w:t>4</w:t>
      </w:r>
      <w:r>
        <w:rPr>
          <w:rFonts w:hint="default" w:ascii="Times New Roman" w:hAnsi="Times New Roman" w:eastAsia="方正仿宋_GBK" w:cs="Times New Roman"/>
          <w:color w:val="000000" w:themeColor="text1"/>
          <w:position w:val="6"/>
          <w:sz w:val="32"/>
          <w:szCs w:val="32"/>
          <w14:textFill>
            <w14:solidFill>
              <w14:schemeClr w14:val="tx1"/>
            </w14:solidFill>
          </w14:textFill>
        </w:rPr>
        <w:t>] 翟理红主编《</w:t>
      </w:r>
      <w:r>
        <w:rPr>
          <w:rFonts w:hint="default" w:ascii="Times New Roman" w:hAnsi="Times New Roman" w:eastAsia="方正仿宋_GBK" w:cs="Times New Roman"/>
          <w:color w:val="000000" w:themeColor="text1"/>
          <w:position w:val="6"/>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position w:val="6"/>
          <w:sz w:val="32"/>
          <w:szCs w:val="32"/>
          <w14:textFill>
            <w14:solidFill>
              <w14:schemeClr w14:val="tx1"/>
            </w14:solidFill>
          </w14:textFill>
        </w:rPr>
        <w:t>教程》 复旦大学出版社，2019.</w:t>
      </w:r>
    </w:p>
    <w:p w14:paraId="7B93D192">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r>
        <w:rPr>
          <w:rFonts w:hint="default" w:ascii="Times New Roman" w:hAnsi="Times New Roman" w:eastAsia="方正仿宋_GBK" w:cs="Times New Roman"/>
          <w:color w:val="000000" w:themeColor="text1"/>
          <w:position w:val="6"/>
          <w:sz w:val="32"/>
          <w:szCs w:val="32"/>
          <w14:textFill>
            <w14:solidFill>
              <w14:schemeClr w14:val="tx1"/>
            </w14:solidFill>
          </w14:textFill>
        </w:rPr>
        <w:t>5]</w:t>
      </w:r>
      <w:r>
        <w:rPr>
          <w:rFonts w:hint="default" w:ascii="Times New Roman" w:hAnsi="Times New Roman" w:eastAsia="方正仿宋_GBK" w:cs="Times New Roman"/>
          <w:color w:val="000000" w:themeColor="text1"/>
          <w:position w:val="6"/>
          <w:sz w:val="32"/>
          <w:szCs w:val="32"/>
          <w14:textFill>
            <w14:solidFill>
              <w14:schemeClr w14:val="tx1"/>
            </w14:solidFill>
          </w14:textFill>
        </w:rPr>
        <w:t>杨枫主编《</w:t>
      </w:r>
      <w:r>
        <w:rPr>
          <w:rFonts w:hint="default" w:ascii="Times New Roman" w:hAnsi="Times New Roman" w:eastAsia="方正仿宋_GBK" w:cs="Times New Roman"/>
          <w:color w:val="000000" w:themeColor="text1"/>
          <w:position w:val="6"/>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position w:val="6"/>
          <w:sz w:val="32"/>
          <w:szCs w:val="32"/>
          <w14:textFill>
            <w14:solidFill>
              <w14:schemeClr w14:val="tx1"/>
            </w14:solidFill>
          </w14:textFill>
        </w:rPr>
        <w:t>》，高等教育出版社，2</w:t>
      </w:r>
      <w:r>
        <w:rPr>
          <w:rFonts w:hint="default" w:ascii="Times New Roman" w:hAnsi="Times New Roman" w:eastAsia="方正仿宋_GBK" w:cs="Times New Roman"/>
          <w:color w:val="000000" w:themeColor="text1"/>
          <w:position w:val="6"/>
          <w:sz w:val="32"/>
          <w:szCs w:val="32"/>
          <w14:textFill>
            <w14:solidFill>
              <w14:schemeClr w14:val="tx1"/>
            </w14:solidFill>
          </w14:textFill>
        </w:rPr>
        <w:t>006</w:t>
      </w: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p>
    <w:p w14:paraId="5E703BFF">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[6]</w:t>
      </w:r>
      <w:r>
        <w:rPr>
          <w:rFonts w:hint="default" w:ascii="Times New Roman" w:hAnsi="Times New Roman" w:eastAsia="方正仿宋_GBK" w:cs="Times New Roman"/>
          <w:color w:val="000000" w:themeColor="text1"/>
          <w:position w:val="6"/>
          <w:sz w:val="32"/>
          <w:szCs w:val="32"/>
          <w14:textFill>
            <w14:solidFill>
              <w14:schemeClr w14:val="tx1"/>
            </w14:solidFill>
          </w14:textFill>
        </w:rPr>
        <w:t>杨</w:t>
      </w:r>
      <w:bookmarkStart w:id="1" w:name="_Hlk80321466"/>
      <w:r>
        <w:rPr>
          <w:rFonts w:hint="default" w:ascii="Times New Roman" w:hAnsi="Times New Roman" w:eastAsia="方正仿宋_GBK" w:cs="Times New Roman"/>
          <w:color w:val="000000" w:themeColor="text1"/>
          <w:position w:val="6"/>
          <w:sz w:val="32"/>
          <w:szCs w:val="32"/>
          <w14:textFill>
            <w14:solidFill>
              <w14:schemeClr w14:val="tx1"/>
            </w14:solidFill>
          </w14:textFill>
        </w:rPr>
        <w:t>枫</w:t>
      </w:r>
      <w:bookmarkEnd w:id="1"/>
      <w:r>
        <w:rPr>
          <w:rFonts w:hint="default" w:ascii="Times New Roman" w:hAnsi="Times New Roman" w:eastAsia="方正仿宋_GBK" w:cs="Times New Roman"/>
          <w:color w:val="000000" w:themeColor="text1"/>
          <w:position w:val="6"/>
          <w:sz w:val="32"/>
          <w:szCs w:val="32"/>
          <w14:textFill>
            <w14:solidFill>
              <w14:schemeClr w14:val="tx1"/>
            </w14:solidFill>
          </w14:textFill>
        </w:rPr>
        <w:t xml:space="preserve"> 百花主编《现代儿童游戏教育》，明天出版社，1998.</w:t>
      </w:r>
    </w:p>
    <w:p w14:paraId="135E7B65">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r>
        <w:rPr>
          <w:rFonts w:hint="default" w:ascii="Times New Roman" w:hAnsi="Times New Roman" w:eastAsia="方正仿宋_GBK" w:cs="Times New Roman"/>
          <w:color w:val="000000" w:themeColor="text1"/>
          <w:position w:val="6"/>
          <w:sz w:val="32"/>
          <w:szCs w:val="32"/>
          <w14:textFill>
            <w14:solidFill>
              <w14:schemeClr w14:val="tx1"/>
            </w14:solidFill>
          </w14:textFill>
        </w:rPr>
        <w:t>7]</w:t>
      </w:r>
      <w:r>
        <w:rPr>
          <w:rFonts w:hint="default" w:ascii="Times New Roman" w:hAnsi="Times New Roman" w:eastAsia="方正仿宋_GBK" w:cs="Times New Roman"/>
          <w:color w:val="000000" w:themeColor="text1"/>
          <w:position w:val="6"/>
          <w:sz w:val="32"/>
          <w:szCs w:val="32"/>
          <w14:textFill>
            <w14:solidFill>
              <w14:schemeClr w14:val="tx1"/>
            </w14:solidFill>
          </w14:textFill>
        </w:rPr>
        <w:t>杨枫主编《让宝宝聪明的100个游戏》（3-4岁）、（4-6岁），浙江教育出版社，2003.</w:t>
      </w:r>
    </w:p>
    <w:p w14:paraId="6A1FF0C6">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r>
        <w:rPr>
          <w:rFonts w:hint="default" w:ascii="Times New Roman" w:hAnsi="Times New Roman" w:eastAsia="方正仿宋_GBK" w:cs="Times New Roman"/>
          <w:color w:val="000000" w:themeColor="text1"/>
          <w:position w:val="6"/>
          <w:sz w:val="32"/>
          <w:szCs w:val="32"/>
          <w14:textFill>
            <w14:solidFill>
              <w14:schemeClr w14:val="tx1"/>
            </w14:solidFill>
          </w14:textFill>
        </w:rPr>
        <w:t>8]</w:t>
      </w:r>
      <w:bookmarkStart w:id="2" w:name="_Hlk80316577"/>
      <w:r>
        <w:rPr>
          <w:rFonts w:hint="default" w:ascii="Times New Roman" w:hAnsi="Times New Roman" w:eastAsia="方正仿宋_GBK" w:cs="Times New Roman"/>
          <w:color w:val="000000" w:themeColor="text1"/>
          <w:position w:val="6"/>
          <w:sz w:val="32"/>
          <w:szCs w:val="32"/>
          <w14:textFill>
            <w14:solidFill>
              <w14:schemeClr w14:val="tx1"/>
            </w14:solidFill>
          </w14:textFill>
        </w:rPr>
        <w:t>邱学青主编《</w:t>
      </w:r>
      <w:bookmarkEnd w:id="2"/>
      <w:r>
        <w:rPr>
          <w:rFonts w:hint="default" w:ascii="Times New Roman" w:hAnsi="Times New Roman" w:eastAsia="方正仿宋_GBK" w:cs="Times New Roman"/>
          <w:color w:val="000000" w:themeColor="text1"/>
          <w:position w:val="6"/>
          <w:sz w:val="32"/>
          <w:szCs w:val="32"/>
          <w:lang w:eastAsia="zh-CN"/>
          <w14:textFill>
            <w14:solidFill>
              <w14:schemeClr w14:val="tx1"/>
            </w14:solidFill>
          </w14:textFill>
        </w:rPr>
        <w:t>幼儿园游戏与指导</w:t>
      </w:r>
      <w:r>
        <w:rPr>
          <w:rFonts w:hint="default" w:ascii="Times New Roman" w:hAnsi="Times New Roman" w:eastAsia="方正仿宋_GBK" w:cs="Times New Roman"/>
          <w:color w:val="000000" w:themeColor="text1"/>
          <w:position w:val="6"/>
          <w:sz w:val="32"/>
          <w:szCs w:val="32"/>
          <w14:textFill>
            <w14:solidFill>
              <w14:schemeClr w14:val="tx1"/>
            </w14:solidFill>
          </w14:textFill>
        </w:rPr>
        <w:t>（第四版）》，江苏教育出版社，2</w:t>
      </w:r>
      <w:r>
        <w:rPr>
          <w:rFonts w:hint="default" w:ascii="Times New Roman" w:hAnsi="Times New Roman" w:eastAsia="方正仿宋_GBK" w:cs="Times New Roman"/>
          <w:color w:val="000000" w:themeColor="text1"/>
          <w:position w:val="6"/>
          <w:sz w:val="32"/>
          <w:szCs w:val="32"/>
          <w14:textFill>
            <w14:solidFill>
              <w14:schemeClr w14:val="tx1"/>
            </w14:solidFill>
          </w14:textFill>
        </w:rPr>
        <w:t>008</w:t>
      </w: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p>
    <w:p w14:paraId="46A2D89B">
      <w:pPr>
        <w:spacing w:line="360" w:lineRule="auto"/>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r>
        <w:rPr>
          <w:rFonts w:hint="default" w:ascii="Times New Roman" w:hAnsi="Times New Roman" w:eastAsia="方正仿宋_GBK" w:cs="Times New Roman"/>
          <w:color w:val="000000" w:themeColor="text1"/>
          <w:position w:val="6"/>
          <w:sz w:val="32"/>
          <w:szCs w:val="32"/>
          <w14:textFill>
            <w14:solidFill>
              <w14:schemeClr w14:val="tx1"/>
            </w14:solidFill>
          </w14:textFill>
        </w:rPr>
        <w:t>9]</w:t>
      </w:r>
      <w:r>
        <w:rPr>
          <w:rFonts w:hint="default" w:ascii="Times New Roman" w:hAnsi="Times New Roman" w:eastAsia="方正仿宋_GBK" w:cs="Times New Roman"/>
          <w:color w:val="000000" w:themeColor="text1"/>
          <w:position w:val="6"/>
          <w:sz w:val="32"/>
          <w:szCs w:val="32"/>
          <w14:textFill>
            <w14:solidFill>
              <w14:schemeClr w14:val="tx1"/>
            </w14:solidFill>
          </w14:textFill>
        </w:rPr>
        <w:t xml:space="preserve"> 邱学青主编《给幼儿园教师的1</w:t>
      </w:r>
      <w:r>
        <w:rPr>
          <w:rFonts w:hint="default" w:ascii="Times New Roman" w:hAnsi="Times New Roman" w:eastAsia="方正仿宋_GBK" w:cs="Times New Roman"/>
          <w:color w:val="000000" w:themeColor="text1"/>
          <w:position w:val="6"/>
          <w:sz w:val="32"/>
          <w:szCs w:val="32"/>
          <w14:textFill>
            <w14:solidFill>
              <w14:schemeClr w14:val="tx1"/>
            </w14:solidFill>
          </w14:textFill>
        </w:rPr>
        <w:t>01</w:t>
      </w:r>
      <w:r>
        <w:rPr>
          <w:rFonts w:hint="default" w:ascii="Times New Roman" w:hAnsi="Times New Roman" w:eastAsia="方正仿宋_GBK" w:cs="Times New Roman"/>
          <w:color w:val="000000" w:themeColor="text1"/>
          <w:position w:val="6"/>
          <w:sz w:val="32"/>
          <w:szCs w:val="32"/>
          <w14:textFill>
            <w14:solidFill>
              <w14:schemeClr w14:val="tx1"/>
            </w14:solidFill>
          </w14:textFill>
        </w:rPr>
        <w:t>条建议.游戏指导》，南京师范大学出版社，2</w:t>
      </w:r>
      <w:r>
        <w:rPr>
          <w:rFonts w:hint="default" w:ascii="Times New Roman" w:hAnsi="Times New Roman" w:eastAsia="方正仿宋_GBK" w:cs="Times New Roman"/>
          <w:color w:val="000000" w:themeColor="text1"/>
          <w:position w:val="6"/>
          <w:sz w:val="32"/>
          <w:szCs w:val="32"/>
          <w14:textFill>
            <w14:solidFill>
              <w14:schemeClr w14:val="tx1"/>
            </w14:solidFill>
          </w14:textFill>
        </w:rPr>
        <w:t>011</w:t>
      </w:r>
      <w:r>
        <w:rPr>
          <w:rFonts w:hint="default" w:ascii="Times New Roman" w:hAnsi="Times New Roman" w:eastAsia="方正仿宋_GBK" w:cs="Times New Roman"/>
          <w:color w:val="000000" w:themeColor="text1"/>
          <w:position w:val="6"/>
          <w:sz w:val="32"/>
          <w:szCs w:val="32"/>
          <w14:textFill>
            <w14:solidFill>
              <w14:schemeClr w14:val="tx1"/>
            </w14:solidFill>
          </w14:textFill>
        </w:rPr>
        <w:t>.</w:t>
      </w:r>
    </w:p>
    <w:p w14:paraId="1C9AA8A7">
      <w:pPr>
        <w:ind w:firstLine="482"/>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b/>
          <w:color w:val="000000" w:themeColor="text1"/>
          <w:position w:val="6"/>
          <w:sz w:val="32"/>
          <w:szCs w:val="32"/>
          <w14:textFill>
            <w14:solidFill>
              <w14:schemeClr w14:val="tx1"/>
            </w14:solidFill>
          </w14:textFill>
        </w:rPr>
        <w:t>（二）教学建议</w:t>
      </w:r>
    </w:p>
    <w:p w14:paraId="03C3EA5A">
      <w:pPr>
        <w:ind w:firstLine="482"/>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1、工作过程导向法</w:t>
      </w:r>
    </w:p>
    <w:p w14:paraId="43B6A9FA">
      <w:pPr>
        <w:ind w:firstLine="482"/>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以幼儿园游戏指导的要求为导向选取几个具有连贯性的典型工作任务来组织教学，在提出工作任务后，让学生依次完成理论讲述、室内外环境的创设、教玩具制作、游戏观察记录和指导方案。</w:t>
      </w:r>
    </w:p>
    <w:p w14:paraId="107E0DA1">
      <w:pPr>
        <w:ind w:firstLine="482"/>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2、任务驱动教学法</w:t>
      </w:r>
    </w:p>
    <w:p w14:paraId="6BB6F662">
      <w:pPr>
        <w:ind w:firstLine="482"/>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每一阶段完成的任务有所不同，由于设计到不同年龄阶段的不同要求，无法一气呵成形成一个任务，但会根据教学内容的安排，设定相应的任务，以任务驱动学生积极主动地进行实践操作。</w:t>
      </w:r>
    </w:p>
    <w:p w14:paraId="48131F54">
      <w:pPr>
        <w:ind w:firstLine="482"/>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3、角色体验法</w:t>
      </w:r>
    </w:p>
    <w:p w14:paraId="53E2B269">
      <w:pPr>
        <w:ind w:firstLine="482"/>
        <w:rPr>
          <w:rFonts w:hint="default" w:ascii="Times New Roman" w:hAnsi="Times New Roman" w:eastAsia="方正仿宋_GBK" w:cs="Times New Roman"/>
          <w:b/>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如在游戏观察的过程中让学生扮演幼儿或教师等角色，通过互动模拟游戏场景，让学生掌握对于一些游戏行为应如何进行观察和指导。</w:t>
      </w:r>
    </w:p>
    <w:p w14:paraId="2599F3F6">
      <w:pPr>
        <w:ind w:firstLine="320" w:firstLineChars="1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（三）课程资源开发与利用</w:t>
      </w:r>
    </w:p>
    <w:p w14:paraId="2AC827DB">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1、注意引导学生通过自主学习，积极开发和利用网络课程资源和远程教学平台，扩大课程资源的交互空间。充分利用诸如电子书籍、电子期刊、数据库、数字图书馆、教育网站和电子论坛等网上信息资源，获得最新学前教育学课程的教育教学资源。</w:t>
      </w:r>
    </w:p>
    <w:p w14:paraId="7424B188">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2、充分配备学前教育教学设备与器材，并提供储藏教具、材料及展示学生活动的场所，让学生有实际训练操作、现场教学的条件。</w:t>
      </w:r>
    </w:p>
    <w:p w14:paraId="1FAC1EF6">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（四）其它说明</w:t>
      </w:r>
    </w:p>
    <w:p w14:paraId="54A9860D">
      <w:pPr>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本课程是理论与实践性都比较强的学科，在教学方法上宜采取多种教学形式。基本概念、基本规律以教师讲述为主，方法、活动设计等以讨论、合作学习、模拟教学、角色体验及案例分析的形式为主。</w:t>
      </w:r>
    </w:p>
    <w:p w14:paraId="440D32C9">
      <w:pPr>
        <w:ind w:firstLine="640" w:firstLineChars="20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黑体_GBK" w:cs="Times New Roman"/>
          <w:color w:val="000000" w:themeColor="text1"/>
          <w:sz w:val="32"/>
          <w:szCs w:val="32"/>
          <w14:textFill>
            <w14:solidFill>
              <w14:schemeClr w14:val="tx1"/>
            </w14:solidFill>
          </w14:textFill>
        </w:rPr>
        <w:t>六、教学评价和考核要求。</w:t>
      </w:r>
    </w:p>
    <w:p w14:paraId="6C22781C">
      <w:pPr>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31A93632">
      <w:pPr>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（一）教学评价建议</w:t>
      </w:r>
    </w:p>
    <w:p w14:paraId="4390FC13">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p w14:paraId="2C232B90">
      <w:pPr>
        <w:widowControl/>
        <w:shd w:val="clear" w:color="auto" w:fill="FFFFFF"/>
        <w:spacing w:line="405" w:lineRule="atLeast"/>
        <w:ind w:firstLine="465"/>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（二）考核建议</w:t>
      </w:r>
    </w:p>
    <w:p w14:paraId="6376D551">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1、期末卷面考试以闭卷形式呈现，考核形式在选择题、填空题、简答题的基础上，还增加了论述题和案例分析题，要求学生会利用所学知识解决实际问题。</w:t>
      </w:r>
    </w:p>
    <w:p w14:paraId="64003C7C">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2、考试采用闭卷式，以百分制评分。</w:t>
      </w:r>
    </w:p>
    <w:p w14:paraId="3006F35B">
      <w:pPr>
        <w:widowControl/>
        <w:shd w:val="clear" w:color="auto" w:fill="FFFFFF"/>
        <w:spacing w:line="405" w:lineRule="atLeast"/>
        <w:ind w:firstLine="640" w:firstLineChars="20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3、成绩采取综合评定，即期末考试成绩：平时成绩=</w:t>
      </w:r>
      <w:r>
        <w:rPr>
          <w:rFonts w:hint="default" w:ascii="Times New Roman" w:hAnsi="Times New Roman" w:eastAsia="方正仿宋_GBK" w:cs="Times New Roman"/>
          <w:color w:val="000000" w:themeColor="text1"/>
          <w:position w:val="6"/>
          <w:sz w:val="32"/>
          <w:szCs w:val="32"/>
          <w14:textFill>
            <w14:solidFill>
              <w14:schemeClr w14:val="tx1"/>
            </w14:solidFill>
          </w14:textFill>
        </w:rPr>
        <w:t>6</w:t>
      </w:r>
      <w:r>
        <w:rPr>
          <w:rFonts w:hint="default" w:ascii="Times New Roman" w:hAnsi="Times New Roman" w:eastAsia="方正仿宋_GBK" w:cs="Times New Roman"/>
          <w:color w:val="000000" w:themeColor="text1"/>
          <w:position w:val="6"/>
          <w:sz w:val="32"/>
          <w:szCs w:val="32"/>
          <w14:textFill>
            <w14:solidFill>
              <w14:schemeClr w14:val="tx1"/>
            </w14:solidFill>
          </w14:textFill>
        </w:rPr>
        <w:t>：4（总评成绩=平时成绩×40%+期末卷面成绩×60%）。</w:t>
      </w:r>
    </w:p>
    <w:p w14:paraId="5939EFE3">
      <w:pPr>
        <w:ind w:firstLine="480" w:firstLineChars="15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黑体_GBK" w:cs="Times New Roman"/>
          <w:color w:val="000000" w:themeColor="text1"/>
          <w:sz w:val="32"/>
          <w:szCs w:val="32"/>
          <w14:textFill>
            <w14:solidFill>
              <w14:schemeClr w14:val="tx1"/>
            </w14:solidFill>
          </w14:textFill>
        </w:rPr>
        <w:t>七、其他</w:t>
      </w:r>
    </w:p>
    <w:p w14:paraId="1EB4B02F">
      <w:pPr>
        <w:widowControl/>
        <w:shd w:val="clear" w:color="auto" w:fill="FFFFFF"/>
        <w:spacing w:line="405" w:lineRule="atLeast"/>
        <w:ind w:firstLine="420"/>
        <w:rPr>
          <w:rFonts w:hint="default" w:ascii="Times New Roman" w:hAnsi="Times New Roman" w:eastAsia="方正仿宋_GBK" w:cs="Times New Roman"/>
          <w:color w:val="000000" w:themeColor="text1"/>
          <w:position w:val="6"/>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本课程标准适用于高等职业学校学前教育专业。将幼儿教师与游戏相关的基本职业技能具化为游戏技能、游戏指导技能和游戏教学技能三个板块，通过若干实践项目进行针对性的指导和训练，力求体现科学性、专业性和实用性。</w:t>
      </w:r>
    </w:p>
    <w:p w14:paraId="04EADA29">
      <w:pPr>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sz w:val="32"/>
          <w:szCs w:val="32"/>
          <w14:textFill>
            <w14:solidFill>
              <w14:schemeClr w14:val="tx1"/>
            </w14:solidFill>
          </w14:textFill>
        </w:rPr>
        <w:t xml:space="preserve">   </w:t>
      </w:r>
      <w:r>
        <w:rPr>
          <w:rFonts w:hint="default" w:ascii="Times New Roman" w:hAnsi="Times New Roman" w:eastAsia="方正黑体_GBK" w:cs="Times New Roman"/>
          <w:color w:val="000000" w:themeColor="text1"/>
          <w:sz w:val="32"/>
          <w:szCs w:val="32"/>
          <w14:textFill>
            <w14:solidFill>
              <w14:schemeClr w14:val="tx1"/>
            </w14:solidFill>
          </w14:textFill>
        </w:rPr>
        <w:t>八、编制依据</w:t>
      </w:r>
    </w:p>
    <w:p w14:paraId="40BFFD68">
      <w:pPr>
        <w:ind w:firstLine="640" w:firstLineChars="200"/>
        <w:rPr>
          <w:rFonts w:hint="default" w:ascii="Times New Roman" w:hAnsi="Times New Roman" w:eastAsia="方正黑体_GBK" w:cs="Times New Roman"/>
          <w:color w:val="000000" w:themeColor="text1"/>
          <w:sz w:val="32"/>
          <w:szCs w:val="32"/>
          <w14:textFill>
            <w14:solidFill>
              <w14:schemeClr w14:val="tx1"/>
            </w14:solidFill>
          </w14:textFill>
        </w:rPr>
      </w:pPr>
      <w:r>
        <w:rPr>
          <w:rFonts w:hint="default" w:ascii="Times New Roman" w:hAnsi="Times New Roman" w:eastAsia="方正仿宋_GBK" w:cs="Times New Roman"/>
          <w:color w:val="000000" w:themeColor="text1"/>
          <w:position w:val="6"/>
          <w:sz w:val="32"/>
          <w:szCs w:val="32"/>
          <w14:textFill>
            <w14:solidFill>
              <w14:schemeClr w14:val="tx1"/>
            </w14:solidFill>
          </w14:textFill>
        </w:rPr>
        <w:t>该课程标准是以依据《学前教育》专业调研报告和人才培养方案而编制的。</w:t>
      </w:r>
    </w:p>
    <w:p w14:paraId="2069668F">
      <w:pPr>
        <w:rPr>
          <w:rFonts w:hint="default" w:ascii="Times New Roman" w:hAnsi="Times New Roman" w:cs="Times New Roman"/>
        </w:rPr>
      </w:pPr>
      <w:bookmarkStart w:id="3" w:name="_GoBack"/>
      <w:bookmarkEnd w:id="3"/>
    </w:p>
    <w:sectPr>
      <w:footerReference r:id="rId3" w:type="default"/>
      <w:pgSz w:w="11906" w:h="16838"/>
      <w:pgMar w:top="1588"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B7F6A5D-8B3B-4C68-A09D-4F513055CB77}"/>
  </w:font>
  <w:font w:name="Arial">
    <w:panose1 w:val="020B0604020202020204"/>
    <w:charset w:val="01"/>
    <w:family w:val="swiss"/>
    <w:pitch w:val="default"/>
    <w:sig w:usb0="E0002AFF" w:usb1="C0007843" w:usb2="00000009" w:usb3="00000000" w:csb0="400001FF" w:csb1="FFFF0000"/>
    <w:embedRegular r:id="rId2" w:fontKey="{D99CFD76-F72F-4CAF-9F0F-EDD24B6313F5}"/>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embedRegular r:id="rId3" w:fontKey="{180212CA-F89E-4547-8CA8-780759F20295}"/>
  </w:font>
  <w:font w:name="Symbol">
    <w:panose1 w:val="05050102010706020507"/>
    <w:charset w:val="02"/>
    <w:family w:val="roman"/>
    <w:pitch w:val="default"/>
    <w:sig w:usb0="00000000" w:usb1="00000000" w:usb2="00000000" w:usb3="00000000" w:csb0="80000000" w:csb1="00000000"/>
    <w:embedRegular r:id="rId4" w:fontKey="{EAB75DD5-271E-44DB-B52A-EFAEC59FE43A}"/>
  </w:font>
  <w:font w:name="Calibri">
    <w:panose1 w:val="020F0502020204030204"/>
    <w:charset w:val="00"/>
    <w:family w:val="swiss"/>
    <w:pitch w:val="default"/>
    <w:sig w:usb0="E10002FF" w:usb1="4000ACFF" w:usb2="00000009" w:usb3="00000000" w:csb0="2000019F" w:csb1="00000000"/>
    <w:embedRegular r:id="rId5" w:fontKey="{4321E56E-0AB0-49F4-8B5F-934930D60977}"/>
  </w:font>
  <w:font w:name="方正小标宋_GBK">
    <w:panose1 w:val="03000509000000000000"/>
    <w:charset w:val="86"/>
    <w:family w:val="script"/>
    <w:pitch w:val="default"/>
    <w:sig w:usb0="00000001" w:usb1="080E0000" w:usb2="00000000" w:usb3="00000000" w:csb0="00040000" w:csb1="00000000"/>
    <w:embedRegular r:id="rId6" w:fontKey="{A0823BA7-C802-4A8D-A7C0-CF985C37B9B0}"/>
  </w:font>
  <w:font w:name="方正黑体_GBK">
    <w:panose1 w:val="03000509000000000000"/>
    <w:charset w:val="86"/>
    <w:family w:val="script"/>
    <w:pitch w:val="default"/>
    <w:sig w:usb0="00000001" w:usb1="080E0000" w:usb2="00000000" w:usb3="00000000" w:csb0="00040000" w:csb1="00000000"/>
    <w:embedRegular r:id="rId7" w:fontKey="{2575EC2B-FFD6-43AC-B4BE-F35388AF7CD9}"/>
  </w:font>
  <w:font w:name="方正仿宋_GBK">
    <w:panose1 w:val="02000000000000000000"/>
    <w:charset w:val="86"/>
    <w:family w:val="script"/>
    <w:pitch w:val="default"/>
    <w:sig w:usb0="A00002BF" w:usb1="38CF7CFA" w:usb2="00082016" w:usb3="00000000" w:csb0="00040001" w:csb1="00000000"/>
    <w:embedRegular r:id="rId8" w:fontKey="{4507DE7A-0DE2-4B9A-9F08-7C54C6E6E684}"/>
  </w:font>
  <w:font w:name="FZKTJW--GB1-0">
    <w:altName w:val="宋体"/>
    <w:panose1 w:val="00000000000000000000"/>
    <w:charset w:val="86"/>
    <w:family w:val="auto"/>
    <w:pitch w:val="default"/>
    <w:sig w:usb0="00000000" w:usb1="00000000" w:usb2="00000010" w:usb3="00000000" w:csb0="00040000" w:csb1="00000000"/>
  </w:font>
  <w:font w:name="FZSSJW--GB1-0">
    <w:altName w:val="宋体"/>
    <w:panose1 w:val="00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429609"/>
    </w:sdtPr>
    <w:sdtContent>
      <w:sdt>
        <w:sdtPr>
          <w:id w:val="1728636285"/>
        </w:sdtPr>
        <w:sdtContent>
          <w:p w14:paraId="373AFCA1">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14:paraId="6CFA8C78">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472B68"/>
    <w:multiLevelType w:val="multilevel"/>
    <w:tmpl w:val="7B472B68"/>
    <w:lvl w:ilvl="0" w:tentative="0">
      <w:start w:val="1"/>
      <w:numFmt w:val="decimal"/>
      <w:lvlText w:val="（%1）"/>
      <w:lvlJc w:val="left"/>
      <w:pPr>
        <w:ind w:left="1640" w:hanging="108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00237FAC"/>
    <w:rsid w:val="0003303A"/>
    <w:rsid w:val="00034E5E"/>
    <w:rsid w:val="00041D78"/>
    <w:rsid w:val="000452DC"/>
    <w:rsid w:val="00066C36"/>
    <w:rsid w:val="000762AA"/>
    <w:rsid w:val="000864BA"/>
    <w:rsid w:val="000916DF"/>
    <w:rsid w:val="000970B8"/>
    <w:rsid w:val="000A7568"/>
    <w:rsid w:val="000B4FED"/>
    <w:rsid w:val="000C590D"/>
    <w:rsid w:val="000D54AB"/>
    <w:rsid w:val="000D735A"/>
    <w:rsid w:val="000E2603"/>
    <w:rsid w:val="000F62B9"/>
    <w:rsid w:val="0010646E"/>
    <w:rsid w:val="00107E62"/>
    <w:rsid w:val="00121CD0"/>
    <w:rsid w:val="00133F80"/>
    <w:rsid w:val="00143D81"/>
    <w:rsid w:val="0015668A"/>
    <w:rsid w:val="001769B7"/>
    <w:rsid w:val="00180412"/>
    <w:rsid w:val="00180B25"/>
    <w:rsid w:val="00185211"/>
    <w:rsid w:val="00186B77"/>
    <w:rsid w:val="001916DF"/>
    <w:rsid w:val="00196534"/>
    <w:rsid w:val="001B2282"/>
    <w:rsid w:val="001B24EA"/>
    <w:rsid w:val="001B273F"/>
    <w:rsid w:val="001B301C"/>
    <w:rsid w:val="001C287B"/>
    <w:rsid w:val="001D31DB"/>
    <w:rsid w:val="001D32F8"/>
    <w:rsid w:val="001E7D2B"/>
    <w:rsid w:val="001F4CFE"/>
    <w:rsid w:val="001F6D08"/>
    <w:rsid w:val="002364AA"/>
    <w:rsid w:val="00237FAC"/>
    <w:rsid w:val="00242887"/>
    <w:rsid w:val="00265025"/>
    <w:rsid w:val="00275B86"/>
    <w:rsid w:val="00276429"/>
    <w:rsid w:val="00297249"/>
    <w:rsid w:val="002B311E"/>
    <w:rsid w:val="002B39E9"/>
    <w:rsid w:val="002B70A5"/>
    <w:rsid w:val="002B7572"/>
    <w:rsid w:val="002C160F"/>
    <w:rsid w:val="002D440B"/>
    <w:rsid w:val="002E00D4"/>
    <w:rsid w:val="002E5EA6"/>
    <w:rsid w:val="00312995"/>
    <w:rsid w:val="00320E9B"/>
    <w:rsid w:val="0033225B"/>
    <w:rsid w:val="00365BD9"/>
    <w:rsid w:val="00366754"/>
    <w:rsid w:val="0038416D"/>
    <w:rsid w:val="00385E83"/>
    <w:rsid w:val="003B3FD2"/>
    <w:rsid w:val="003C09C0"/>
    <w:rsid w:val="003D5067"/>
    <w:rsid w:val="003D7363"/>
    <w:rsid w:val="003E24E4"/>
    <w:rsid w:val="003F6661"/>
    <w:rsid w:val="003F7A40"/>
    <w:rsid w:val="00400B89"/>
    <w:rsid w:val="00404F1A"/>
    <w:rsid w:val="00410453"/>
    <w:rsid w:val="004178CC"/>
    <w:rsid w:val="0043023E"/>
    <w:rsid w:val="0044005E"/>
    <w:rsid w:val="004461C5"/>
    <w:rsid w:val="0046199C"/>
    <w:rsid w:val="00491C2F"/>
    <w:rsid w:val="004C26CF"/>
    <w:rsid w:val="004C405D"/>
    <w:rsid w:val="004D24E1"/>
    <w:rsid w:val="004E0E26"/>
    <w:rsid w:val="00511FC7"/>
    <w:rsid w:val="00563B9F"/>
    <w:rsid w:val="00587ECE"/>
    <w:rsid w:val="00594937"/>
    <w:rsid w:val="005A102C"/>
    <w:rsid w:val="005A7569"/>
    <w:rsid w:val="005B0017"/>
    <w:rsid w:val="005B13D5"/>
    <w:rsid w:val="005B480B"/>
    <w:rsid w:val="005C14A2"/>
    <w:rsid w:val="005C168D"/>
    <w:rsid w:val="005C74A1"/>
    <w:rsid w:val="005E05E9"/>
    <w:rsid w:val="005E5592"/>
    <w:rsid w:val="005F6903"/>
    <w:rsid w:val="006003EF"/>
    <w:rsid w:val="00604545"/>
    <w:rsid w:val="0061762B"/>
    <w:rsid w:val="006214D4"/>
    <w:rsid w:val="006366B7"/>
    <w:rsid w:val="00646272"/>
    <w:rsid w:val="00646B96"/>
    <w:rsid w:val="006556BB"/>
    <w:rsid w:val="006570E2"/>
    <w:rsid w:val="00677FB0"/>
    <w:rsid w:val="00684BB6"/>
    <w:rsid w:val="0069644D"/>
    <w:rsid w:val="006979CA"/>
    <w:rsid w:val="006B095D"/>
    <w:rsid w:val="006B0A96"/>
    <w:rsid w:val="006B58AE"/>
    <w:rsid w:val="006C41E5"/>
    <w:rsid w:val="006C7112"/>
    <w:rsid w:val="006E3B16"/>
    <w:rsid w:val="007258E5"/>
    <w:rsid w:val="00731185"/>
    <w:rsid w:val="00736F64"/>
    <w:rsid w:val="00740426"/>
    <w:rsid w:val="0074061C"/>
    <w:rsid w:val="0075347D"/>
    <w:rsid w:val="00761874"/>
    <w:rsid w:val="0076223A"/>
    <w:rsid w:val="00763BF3"/>
    <w:rsid w:val="0077440A"/>
    <w:rsid w:val="0077643C"/>
    <w:rsid w:val="00781BD5"/>
    <w:rsid w:val="007948E3"/>
    <w:rsid w:val="007A1A11"/>
    <w:rsid w:val="007A2BB9"/>
    <w:rsid w:val="007A7D9F"/>
    <w:rsid w:val="007B5C2B"/>
    <w:rsid w:val="007B6825"/>
    <w:rsid w:val="007D34B8"/>
    <w:rsid w:val="007D39EF"/>
    <w:rsid w:val="007F79A2"/>
    <w:rsid w:val="00833C7E"/>
    <w:rsid w:val="00844434"/>
    <w:rsid w:val="008470A0"/>
    <w:rsid w:val="0086071F"/>
    <w:rsid w:val="00892336"/>
    <w:rsid w:val="008A4E48"/>
    <w:rsid w:val="008C40ED"/>
    <w:rsid w:val="008D5215"/>
    <w:rsid w:val="008D5BF4"/>
    <w:rsid w:val="008E367F"/>
    <w:rsid w:val="008E3845"/>
    <w:rsid w:val="008E6EE9"/>
    <w:rsid w:val="008F4904"/>
    <w:rsid w:val="008F5388"/>
    <w:rsid w:val="00913771"/>
    <w:rsid w:val="00923C8F"/>
    <w:rsid w:val="00923E14"/>
    <w:rsid w:val="00947CBE"/>
    <w:rsid w:val="009515ED"/>
    <w:rsid w:val="00970F31"/>
    <w:rsid w:val="009A134A"/>
    <w:rsid w:val="009A5F7E"/>
    <w:rsid w:val="009A6D60"/>
    <w:rsid w:val="009B1DA4"/>
    <w:rsid w:val="009B79EC"/>
    <w:rsid w:val="009E46D3"/>
    <w:rsid w:val="009F0E24"/>
    <w:rsid w:val="009F7A28"/>
    <w:rsid w:val="00A014C7"/>
    <w:rsid w:val="00A109D7"/>
    <w:rsid w:val="00A24DFE"/>
    <w:rsid w:val="00A3039A"/>
    <w:rsid w:val="00A3667E"/>
    <w:rsid w:val="00A43BC5"/>
    <w:rsid w:val="00A50D83"/>
    <w:rsid w:val="00A538AD"/>
    <w:rsid w:val="00A7116B"/>
    <w:rsid w:val="00A753FF"/>
    <w:rsid w:val="00A94AF1"/>
    <w:rsid w:val="00AA38C7"/>
    <w:rsid w:val="00AC3255"/>
    <w:rsid w:val="00AF065F"/>
    <w:rsid w:val="00AF66D2"/>
    <w:rsid w:val="00B0569C"/>
    <w:rsid w:val="00B0589F"/>
    <w:rsid w:val="00B172C6"/>
    <w:rsid w:val="00B30B54"/>
    <w:rsid w:val="00B30E8E"/>
    <w:rsid w:val="00B355CC"/>
    <w:rsid w:val="00B43F24"/>
    <w:rsid w:val="00B44867"/>
    <w:rsid w:val="00B66102"/>
    <w:rsid w:val="00B6794F"/>
    <w:rsid w:val="00B87F9C"/>
    <w:rsid w:val="00B91769"/>
    <w:rsid w:val="00BA274C"/>
    <w:rsid w:val="00BC2F1A"/>
    <w:rsid w:val="00BD55A3"/>
    <w:rsid w:val="00BF5922"/>
    <w:rsid w:val="00C01959"/>
    <w:rsid w:val="00C26889"/>
    <w:rsid w:val="00C32305"/>
    <w:rsid w:val="00C40EFC"/>
    <w:rsid w:val="00C4154E"/>
    <w:rsid w:val="00C63D0B"/>
    <w:rsid w:val="00C80C24"/>
    <w:rsid w:val="00CA2062"/>
    <w:rsid w:val="00CA2F16"/>
    <w:rsid w:val="00CB65B6"/>
    <w:rsid w:val="00CC12F4"/>
    <w:rsid w:val="00CC3F16"/>
    <w:rsid w:val="00CC7356"/>
    <w:rsid w:val="00CE26B5"/>
    <w:rsid w:val="00CE543F"/>
    <w:rsid w:val="00D067AC"/>
    <w:rsid w:val="00D14AC3"/>
    <w:rsid w:val="00D328F9"/>
    <w:rsid w:val="00D32BA2"/>
    <w:rsid w:val="00D47E11"/>
    <w:rsid w:val="00D65573"/>
    <w:rsid w:val="00D77CAE"/>
    <w:rsid w:val="00D906CF"/>
    <w:rsid w:val="00DA4771"/>
    <w:rsid w:val="00DB2F20"/>
    <w:rsid w:val="00DC293D"/>
    <w:rsid w:val="00DD6255"/>
    <w:rsid w:val="00DE44D5"/>
    <w:rsid w:val="00E0622F"/>
    <w:rsid w:val="00E0695F"/>
    <w:rsid w:val="00E326FB"/>
    <w:rsid w:val="00E35551"/>
    <w:rsid w:val="00E47459"/>
    <w:rsid w:val="00E55FCF"/>
    <w:rsid w:val="00E64898"/>
    <w:rsid w:val="00E66897"/>
    <w:rsid w:val="00E66AC3"/>
    <w:rsid w:val="00E74B05"/>
    <w:rsid w:val="00E84877"/>
    <w:rsid w:val="00E85CDA"/>
    <w:rsid w:val="00E913CE"/>
    <w:rsid w:val="00E91519"/>
    <w:rsid w:val="00E92817"/>
    <w:rsid w:val="00E94FD6"/>
    <w:rsid w:val="00EB33A6"/>
    <w:rsid w:val="00EB3BBB"/>
    <w:rsid w:val="00EB485F"/>
    <w:rsid w:val="00EC0890"/>
    <w:rsid w:val="00EC6140"/>
    <w:rsid w:val="00EC683D"/>
    <w:rsid w:val="00F24F0B"/>
    <w:rsid w:val="00F36C67"/>
    <w:rsid w:val="00F5230D"/>
    <w:rsid w:val="00F538C6"/>
    <w:rsid w:val="00F57171"/>
    <w:rsid w:val="00F66D3B"/>
    <w:rsid w:val="00F84339"/>
    <w:rsid w:val="00F939D6"/>
    <w:rsid w:val="00FE1564"/>
    <w:rsid w:val="00FF6EFF"/>
    <w:rsid w:val="00FF778F"/>
    <w:rsid w:val="101877A6"/>
    <w:rsid w:val="16D17BDC"/>
    <w:rsid w:val="6862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99"/>
    <w:pPr>
      <w:ind w:firstLine="420" w:firstLineChars="200"/>
    </w:pPr>
  </w:style>
  <w:style w:type="character" w:customStyle="1" w:styleId="7">
    <w:name w:val="页眉 字符"/>
    <w:basedOn w:val="5"/>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diagramQuickStyle" Target="diagrams/quickStyle1.xml"/><Relationship Id="rId8" Type="http://schemas.openxmlformats.org/officeDocument/2006/relationships/diagramLayout" Target="diagrams/layout1.xml"/><Relationship Id="rId7" Type="http://schemas.openxmlformats.org/officeDocument/2006/relationships/diagramData" Target="diagrams/data1.xml"/><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oleObject" Target="embeddings/oleObject3.bin"/><Relationship Id="rId13" Type="http://schemas.openxmlformats.org/officeDocument/2006/relationships/image" Target="media/image2.png"/><Relationship Id="rId12" Type="http://schemas.openxmlformats.org/officeDocument/2006/relationships/oleObject" Target="embeddings/oleObject2.bin"/><Relationship Id="rId11" Type="http://schemas.microsoft.com/office/2007/relationships/diagramDrawing" Target="diagrams/drawing1.xml"/><Relationship Id="rId10" Type="http://schemas.openxmlformats.org/officeDocument/2006/relationships/diagramColors" Target="diagrams/colors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8969D8D-8F61-40D7-B6B3-F8BE3FB38408}" type="doc">
      <dgm:prSet loTypeId="urn:microsoft.com/office/officeart/2005/8/layout/radial5" loCatId="relationship" qsTypeId="urn:microsoft.com/office/officeart/2005/8/quickstyle/simple1" qsCatId="simple" csTypeId="urn:microsoft.com/office/officeart/2005/8/colors/accent1_2" csCatId="accent1" phldr="1"/>
      <dgm:spPr/>
      <dgm:t>
        <a:bodyPr/>
        <a:p>
          <a:endParaRPr lang="zh-CN" altLang="en-US"/>
        </a:p>
      </dgm:t>
    </dgm:pt>
    <dgm:pt modelId="{F36C7288-8167-4104-88EE-4DFB541832A0}">
      <dgm:prSet phldrT="[文本]"/>
      <dgm:spPr/>
      <dgm:t>
        <a:bodyPr/>
        <a:p>
          <a:r>
            <a:rPr lang="zh-CN" altLang="en-US" dirty="0"/>
            <a:t>原则</a:t>
          </a:r>
        </a:p>
      </dgm:t>
    </dgm:pt>
    <dgm:pt modelId="{0F307CFE-E688-44C8-BF13-431B6928FD24}" cxnId="{24D9E9E2-B1DF-4B08-BF5B-981DB6229309}" type="parTrans">
      <dgm:prSet/>
      <dgm:spPr/>
      <dgm:t>
        <a:bodyPr/>
        <a:p>
          <a:endParaRPr lang="zh-CN" altLang="en-US"/>
        </a:p>
      </dgm:t>
    </dgm:pt>
    <dgm:pt modelId="{FD1348C5-5EBD-4190-BDAB-2AA2F86A27B5}" cxnId="{24D9E9E2-B1DF-4B08-BF5B-981DB6229309}" type="sibTrans">
      <dgm:prSet/>
      <dgm:spPr/>
      <dgm:t>
        <a:bodyPr/>
        <a:p>
          <a:endParaRPr lang="zh-CN" altLang="en-US"/>
        </a:p>
      </dgm:t>
    </dgm:pt>
    <dgm:pt modelId="{C55A689D-462B-46FF-B113-04740C4ED5B2}">
      <dgm:prSet phldrT="[文本]"/>
      <dgm:spPr>
        <a:solidFill>
          <a:srgbClr val="CD71B5"/>
        </a:solidFill>
      </dgm:spPr>
      <dgm:t>
        <a:bodyPr/>
        <a:p>
          <a:r>
            <a:rPr lang="zh-CN" altLang="en-US" b="1" dirty="0">
              <a:solidFill>
                <a:schemeClr val="bg2">
                  <a:lumMod val="10000"/>
                </a:schemeClr>
              </a:solidFill>
            </a:rPr>
            <a:t>安全性</a:t>
          </a:r>
        </a:p>
      </dgm:t>
    </dgm:pt>
    <dgm:pt modelId="{5D80FAE7-E114-42C7-BF90-3AAE98CA52F9}" cxnId="{E0C13DB0-C3AA-40AB-BECE-91A6317D8240}" type="parTrans">
      <dgm:prSet/>
      <dgm:spPr/>
      <dgm:t>
        <a:bodyPr/>
        <a:p>
          <a:endParaRPr lang="zh-CN" altLang="en-US"/>
        </a:p>
      </dgm:t>
    </dgm:pt>
    <dgm:pt modelId="{92EC350F-3FDE-4639-8E0B-33FFF412E6B4}" cxnId="{E0C13DB0-C3AA-40AB-BECE-91A6317D8240}" type="sibTrans">
      <dgm:prSet/>
      <dgm:spPr/>
      <dgm:t>
        <a:bodyPr/>
        <a:p>
          <a:endParaRPr lang="zh-CN" altLang="en-US"/>
        </a:p>
      </dgm:t>
    </dgm:pt>
    <dgm:pt modelId="{ACA997F4-5A5E-4B99-B594-F8E83F54C250}">
      <dgm:prSet phldrT="[文本]"/>
      <dgm:spPr>
        <a:solidFill>
          <a:srgbClr val="FC790C"/>
        </a:solidFill>
      </dgm:spPr>
      <dgm:t>
        <a:bodyPr/>
        <a:p>
          <a:r>
            <a:rPr lang="zh-CN" altLang="en-US" b="1" dirty="0">
              <a:solidFill>
                <a:schemeClr val="bg2">
                  <a:lumMod val="10000"/>
                </a:schemeClr>
              </a:solidFill>
            </a:rPr>
            <a:t>丰富性</a:t>
          </a:r>
        </a:p>
      </dgm:t>
    </dgm:pt>
    <dgm:pt modelId="{3C328671-7C39-4B54-B4ED-92897541430F}" cxnId="{DA041C70-68ED-4FA1-A235-768E06D00C0F}" type="parTrans">
      <dgm:prSet/>
      <dgm:spPr/>
      <dgm:t>
        <a:bodyPr/>
        <a:p>
          <a:endParaRPr lang="zh-CN" altLang="en-US"/>
        </a:p>
      </dgm:t>
    </dgm:pt>
    <dgm:pt modelId="{A61F1EF8-476D-4200-8377-4861166F5401}" cxnId="{DA041C70-68ED-4FA1-A235-768E06D00C0F}" type="sibTrans">
      <dgm:prSet/>
      <dgm:spPr/>
      <dgm:t>
        <a:bodyPr/>
        <a:p>
          <a:endParaRPr lang="zh-CN" altLang="en-US"/>
        </a:p>
      </dgm:t>
    </dgm:pt>
    <dgm:pt modelId="{207F1697-CFB0-49DC-BA46-30168AE302F9}">
      <dgm:prSet phldrT="[文本]"/>
      <dgm:spPr>
        <a:solidFill>
          <a:srgbClr val="3498DC"/>
        </a:solidFill>
      </dgm:spPr>
      <dgm:t>
        <a:bodyPr/>
        <a:p>
          <a:r>
            <a:rPr lang="zh-CN" altLang="en-US" b="1" dirty="0">
              <a:solidFill>
                <a:schemeClr val="bg2">
                  <a:lumMod val="10000"/>
                </a:schemeClr>
              </a:solidFill>
            </a:rPr>
            <a:t>发展性</a:t>
          </a:r>
        </a:p>
      </dgm:t>
    </dgm:pt>
    <dgm:pt modelId="{58E51396-521C-4A21-A528-A64BA0423B4F}" cxnId="{80C127B3-321C-43FA-8850-B806D158867A}" type="parTrans">
      <dgm:prSet/>
      <dgm:spPr/>
      <dgm:t>
        <a:bodyPr/>
        <a:p>
          <a:endParaRPr lang="zh-CN" altLang="en-US"/>
        </a:p>
      </dgm:t>
    </dgm:pt>
    <dgm:pt modelId="{64DFB000-EAAC-4FC2-8A2F-E04918C11997}" cxnId="{80C127B3-321C-43FA-8850-B806D158867A}" type="sibTrans">
      <dgm:prSet/>
      <dgm:spPr/>
      <dgm:t>
        <a:bodyPr/>
        <a:p>
          <a:endParaRPr lang="zh-CN" altLang="en-US"/>
        </a:p>
      </dgm:t>
    </dgm:pt>
    <dgm:pt modelId="{3C574087-4E7D-4F02-85F7-2C1A4791C9B6}">
      <dgm:prSet phldrT="[文本]"/>
      <dgm:spPr>
        <a:solidFill>
          <a:srgbClr val="D57B71"/>
        </a:solidFill>
      </dgm:spPr>
      <dgm:t>
        <a:bodyPr/>
        <a:p>
          <a:r>
            <a:rPr lang="zh-CN" altLang="en-US" b="1" dirty="0">
              <a:solidFill>
                <a:schemeClr val="bg2">
                  <a:lumMod val="10000"/>
                </a:schemeClr>
              </a:solidFill>
            </a:rPr>
            <a:t>参与性</a:t>
          </a:r>
        </a:p>
      </dgm:t>
    </dgm:pt>
    <dgm:pt modelId="{3D1BB645-6C93-4E1C-8258-BC16EFC2DAD9}" cxnId="{8E0E42CE-42EC-426A-8E09-5880723E365A}" type="parTrans">
      <dgm:prSet/>
      <dgm:spPr/>
      <dgm:t>
        <a:bodyPr/>
        <a:p>
          <a:endParaRPr lang="zh-CN" altLang="en-US"/>
        </a:p>
      </dgm:t>
    </dgm:pt>
    <dgm:pt modelId="{096E3080-3839-4DA1-A3A8-18784AFF98DA}" cxnId="{8E0E42CE-42EC-426A-8E09-5880723E365A}" type="sibTrans">
      <dgm:prSet/>
      <dgm:spPr/>
      <dgm:t>
        <a:bodyPr/>
        <a:p>
          <a:endParaRPr lang="zh-CN" altLang="en-US"/>
        </a:p>
      </dgm:t>
    </dgm:pt>
    <dgm:pt modelId="{DFD93F00-159A-47F8-AE7B-FF8DE35B04CA}">
      <dgm:prSet phldrT="[文本]"/>
      <dgm:spPr>
        <a:solidFill>
          <a:srgbClr val="ADD711"/>
        </a:solidFill>
      </dgm:spPr>
      <dgm:t>
        <a:bodyPr/>
        <a:p>
          <a:r>
            <a:rPr lang="zh-CN" altLang="en-US" b="1" dirty="0">
              <a:solidFill>
                <a:schemeClr val="bg2">
                  <a:lumMod val="10000"/>
                </a:schemeClr>
              </a:solidFill>
            </a:rPr>
            <a:t>开放性</a:t>
          </a:r>
        </a:p>
      </dgm:t>
    </dgm:pt>
    <dgm:pt modelId="{A939D9EB-94B2-497C-A6D1-2DB072EF1E09}" cxnId="{E4C05C40-CD6F-4FFD-A2C4-FEC604B69C14}" type="parTrans">
      <dgm:prSet/>
      <dgm:spPr/>
      <dgm:t>
        <a:bodyPr/>
        <a:p>
          <a:endParaRPr lang="zh-CN" altLang="en-US"/>
        </a:p>
      </dgm:t>
    </dgm:pt>
    <dgm:pt modelId="{D1A410DA-B4BA-4E0F-8AD9-DF86A2514F97}" cxnId="{E4C05C40-CD6F-4FFD-A2C4-FEC604B69C14}" type="sibTrans">
      <dgm:prSet/>
      <dgm:spPr/>
      <dgm:t>
        <a:bodyPr/>
        <a:p>
          <a:endParaRPr lang="zh-CN" altLang="en-US"/>
        </a:p>
      </dgm:t>
    </dgm:pt>
    <dgm:pt modelId="{ED7BBA2D-E7F2-40E0-B54F-79D2C825B83A}">
      <dgm:prSet phldrT="[文本]"/>
      <dgm:spPr>
        <a:solidFill>
          <a:srgbClr val="CD71B5"/>
        </a:solidFill>
      </dgm:spPr>
      <dgm:t>
        <a:bodyPr/>
        <a:p>
          <a:endParaRPr lang="zh-CN" altLang="en-US" b="1" dirty="0">
            <a:solidFill>
              <a:schemeClr val="bg2">
                <a:lumMod val="10000"/>
              </a:schemeClr>
            </a:solidFill>
          </a:endParaRPr>
        </a:p>
      </dgm:t>
    </dgm:pt>
    <dgm:pt modelId="{54A5FEE9-2139-4A0F-B5C9-2115BB0A3A17}" cxnId="{E442E190-A7AA-4829-90C1-726CC93B8269}" type="parTrans">
      <dgm:prSet/>
      <dgm:spPr/>
      <dgm:t>
        <a:bodyPr/>
        <a:p>
          <a:endParaRPr lang="zh-CN" altLang="en-US"/>
        </a:p>
      </dgm:t>
    </dgm:pt>
    <dgm:pt modelId="{330E8C74-4CA3-497C-A7C0-699AD0E11BBA}" cxnId="{E442E190-A7AA-4829-90C1-726CC93B8269}" type="sibTrans">
      <dgm:prSet/>
      <dgm:spPr/>
      <dgm:t>
        <a:bodyPr/>
        <a:p>
          <a:endParaRPr lang="zh-CN" altLang="en-US"/>
        </a:p>
      </dgm:t>
    </dgm:pt>
    <dgm:pt modelId="{DF86AF04-4F85-4A34-99E0-F733CCAE4453}" type="pres">
      <dgm:prSet presAssocID="{B8969D8D-8F61-40D7-B6B3-F8BE3FB38408}" presName="Name0" presStyleCnt="0">
        <dgm:presLayoutVars>
          <dgm:chMax val="1"/>
          <dgm:dir/>
          <dgm:animLvl val="ctr"/>
          <dgm:resizeHandles val="exact"/>
        </dgm:presLayoutVars>
      </dgm:prSet>
      <dgm:spPr/>
    </dgm:pt>
    <dgm:pt modelId="{C3C69070-00CF-4C0F-BE2F-227DCD934551}" type="pres">
      <dgm:prSet presAssocID="{F36C7288-8167-4104-88EE-4DFB541832A0}" presName="centerShape" presStyleLbl="node0" presStyleIdx="0" presStyleCnt="1"/>
      <dgm:spPr/>
    </dgm:pt>
    <dgm:pt modelId="{6514ABB4-73DB-4864-980F-2579D48CB30B}" type="pres">
      <dgm:prSet presAssocID="{5D80FAE7-E114-42C7-BF90-3AAE98CA52F9}" presName="parTrans" presStyleLbl="sibTrans2D1" presStyleIdx="0" presStyleCnt="5"/>
      <dgm:spPr/>
    </dgm:pt>
    <dgm:pt modelId="{91447FEF-4E6A-434A-82B2-109769475C99}" type="pres">
      <dgm:prSet presAssocID="{5D80FAE7-E114-42C7-BF90-3AAE98CA52F9}" presName="connectorText" presStyleLbl="sibTrans2D1" presStyleIdx="0" presStyleCnt="5"/>
      <dgm:spPr/>
    </dgm:pt>
    <dgm:pt modelId="{A25132EB-080F-4EEB-8A8B-9321C2922DB5}" type="pres">
      <dgm:prSet presAssocID="{C55A689D-462B-46FF-B113-04740C4ED5B2}" presName="node" presStyleLbl="node1" presStyleIdx="0" presStyleCnt="5" custRadScaleRad="100628" custRadScaleInc="1559">
        <dgm:presLayoutVars>
          <dgm:bulletEnabled val="1"/>
        </dgm:presLayoutVars>
      </dgm:prSet>
      <dgm:spPr/>
    </dgm:pt>
    <dgm:pt modelId="{DD785949-DACD-4D5A-B5A6-DBCFF5F9DD2B}" type="pres">
      <dgm:prSet presAssocID="{3C328671-7C39-4B54-B4ED-92897541430F}" presName="parTrans" presStyleLbl="sibTrans2D1" presStyleIdx="1" presStyleCnt="5"/>
      <dgm:spPr/>
    </dgm:pt>
    <dgm:pt modelId="{E524B42F-0507-481D-AA5D-BCBCE116CE4A}" type="pres">
      <dgm:prSet presAssocID="{3C328671-7C39-4B54-B4ED-92897541430F}" presName="connectorText" presStyleLbl="sibTrans2D1" presStyleIdx="1" presStyleCnt="5"/>
      <dgm:spPr/>
    </dgm:pt>
    <dgm:pt modelId="{A8F3440C-E4C9-4990-958D-9C83655B0A8E}" type="pres">
      <dgm:prSet presAssocID="{ACA997F4-5A5E-4B99-B594-F8E83F54C250}" presName="node" presStyleLbl="node1" presStyleIdx="1" presStyleCnt="5" custRadScaleRad="102726" custRadScaleInc="-1711">
        <dgm:presLayoutVars>
          <dgm:bulletEnabled val="1"/>
        </dgm:presLayoutVars>
      </dgm:prSet>
      <dgm:spPr/>
    </dgm:pt>
    <dgm:pt modelId="{6EE3D5CF-A60E-4B22-B525-D0CA4ADFB3FE}" type="pres">
      <dgm:prSet presAssocID="{58E51396-521C-4A21-A528-A64BA0423B4F}" presName="parTrans" presStyleLbl="sibTrans2D1" presStyleIdx="2" presStyleCnt="5"/>
      <dgm:spPr/>
    </dgm:pt>
    <dgm:pt modelId="{09393FE3-1565-4056-8D2F-9BB5B2C0ACD8}" type="pres">
      <dgm:prSet presAssocID="{58E51396-521C-4A21-A528-A64BA0423B4F}" presName="connectorText" presStyleLbl="sibTrans2D1" presStyleIdx="2" presStyleCnt="5"/>
      <dgm:spPr/>
    </dgm:pt>
    <dgm:pt modelId="{E1E003A0-225F-4322-9583-3634F128B9CC}" type="pres">
      <dgm:prSet presAssocID="{207F1697-CFB0-49DC-BA46-30168AE302F9}" presName="node" presStyleLbl="node1" presStyleIdx="2" presStyleCnt="5" custRadScaleRad="100168" custRadScaleInc="-1469">
        <dgm:presLayoutVars>
          <dgm:bulletEnabled val="1"/>
        </dgm:presLayoutVars>
      </dgm:prSet>
      <dgm:spPr/>
    </dgm:pt>
    <dgm:pt modelId="{63A49D98-0BDB-41B7-ACD7-5E56B5344EBA}" type="pres">
      <dgm:prSet presAssocID="{3D1BB645-6C93-4E1C-8258-BC16EFC2DAD9}" presName="parTrans" presStyleLbl="sibTrans2D1" presStyleIdx="3" presStyleCnt="5"/>
      <dgm:spPr/>
    </dgm:pt>
    <dgm:pt modelId="{C596829A-3917-41AD-BE14-28909AAF4243}" type="pres">
      <dgm:prSet presAssocID="{3D1BB645-6C93-4E1C-8258-BC16EFC2DAD9}" presName="connectorText" presStyleLbl="sibTrans2D1" presStyleIdx="3" presStyleCnt="5"/>
      <dgm:spPr/>
    </dgm:pt>
    <dgm:pt modelId="{CA0AD871-A511-4487-A65F-F6BD342E18F2}" type="pres">
      <dgm:prSet presAssocID="{3C574087-4E7D-4F02-85F7-2C1A4791C9B6}" presName="node" presStyleLbl="node1" presStyleIdx="3" presStyleCnt="5">
        <dgm:presLayoutVars>
          <dgm:bulletEnabled val="1"/>
        </dgm:presLayoutVars>
      </dgm:prSet>
      <dgm:spPr/>
    </dgm:pt>
    <dgm:pt modelId="{CBA71E76-DF90-4125-96AD-470BE1777AD4}" type="pres">
      <dgm:prSet presAssocID="{A939D9EB-94B2-497C-A6D1-2DB072EF1E09}" presName="parTrans" presStyleLbl="sibTrans2D1" presStyleIdx="4" presStyleCnt="5"/>
      <dgm:spPr/>
    </dgm:pt>
    <dgm:pt modelId="{D9010CED-ACDC-4862-8611-B3CB3B1DE44D}" type="pres">
      <dgm:prSet presAssocID="{A939D9EB-94B2-497C-A6D1-2DB072EF1E09}" presName="connectorText" presStyleLbl="sibTrans2D1" presStyleIdx="4" presStyleCnt="5"/>
      <dgm:spPr/>
    </dgm:pt>
    <dgm:pt modelId="{3A93B3EB-A875-45EF-9CB4-A6E303B29927}" type="pres">
      <dgm:prSet presAssocID="{DFD93F00-159A-47F8-AE7B-FF8DE35B04CA}" presName="node" presStyleLbl="node1" presStyleIdx="4" presStyleCnt="5" custRadScaleRad="99485" custRadScaleInc="-1773">
        <dgm:presLayoutVars>
          <dgm:bulletEnabled val="1"/>
        </dgm:presLayoutVars>
      </dgm:prSet>
      <dgm:spPr/>
    </dgm:pt>
  </dgm:ptLst>
  <dgm:cxnLst>
    <dgm:cxn modelId="{F54E830B-7643-44C7-BA88-AB1AE0FA6363}" type="presOf" srcId="{B8969D8D-8F61-40D7-B6B3-F8BE3FB38408}" destId="{DF86AF04-4F85-4A34-99E0-F733CCAE4453}" srcOrd="0" destOrd="0" presId="urn:microsoft.com/office/officeart/2005/8/layout/radial5"/>
    <dgm:cxn modelId="{88B6C00E-0DCE-414C-AF29-F6DAE95C5A8C}" type="presOf" srcId="{F36C7288-8167-4104-88EE-4DFB541832A0}" destId="{C3C69070-00CF-4C0F-BE2F-227DCD934551}" srcOrd="0" destOrd="0" presId="urn:microsoft.com/office/officeart/2005/8/layout/radial5"/>
    <dgm:cxn modelId="{E4C05C40-CD6F-4FFD-A2C4-FEC604B69C14}" srcId="{F36C7288-8167-4104-88EE-4DFB541832A0}" destId="{DFD93F00-159A-47F8-AE7B-FF8DE35B04CA}" srcOrd="4" destOrd="0" parTransId="{A939D9EB-94B2-497C-A6D1-2DB072EF1E09}" sibTransId="{D1A410DA-B4BA-4E0F-8AD9-DF86A2514F97}"/>
    <dgm:cxn modelId="{80857F5C-7C24-47AC-8E7E-76492E4ED95C}" type="presOf" srcId="{A939D9EB-94B2-497C-A6D1-2DB072EF1E09}" destId="{D9010CED-ACDC-4862-8611-B3CB3B1DE44D}" srcOrd="1" destOrd="0" presId="urn:microsoft.com/office/officeart/2005/8/layout/radial5"/>
    <dgm:cxn modelId="{F8A6FA5F-F612-4653-AE71-B684C32F03F0}" type="presOf" srcId="{58E51396-521C-4A21-A528-A64BA0423B4F}" destId="{6EE3D5CF-A60E-4B22-B525-D0CA4ADFB3FE}" srcOrd="0" destOrd="0" presId="urn:microsoft.com/office/officeart/2005/8/layout/radial5"/>
    <dgm:cxn modelId="{119ADE66-3364-4CD9-890F-B9860B270B10}" type="presOf" srcId="{5D80FAE7-E114-42C7-BF90-3AAE98CA52F9}" destId="{6514ABB4-73DB-4864-980F-2579D48CB30B}" srcOrd="0" destOrd="0" presId="urn:microsoft.com/office/officeart/2005/8/layout/radial5"/>
    <dgm:cxn modelId="{21F2E44C-6F5D-4283-971A-14DECDD0178E}" type="presOf" srcId="{3D1BB645-6C93-4E1C-8258-BC16EFC2DAD9}" destId="{63A49D98-0BDB-41B7-ACD7-5E56B5344EBA}" srcOrd="0" destOrd="0" presId="urn:microsoft.com/office/officeart/2005/8/layout/radial5"/>
    <dgm:cxn modelId="{DA041C70-68ED-4FA1-A235-768E06D00C0F}" srcId="{F36C7288-8167-4104-88EE-4DFB541832A0}" destId="{ACA997F4-5A5E-4B99-B594-F8E83F54C250}" srcOrd="1" destOrd="0" parTransId="{3C328671-7C39-4B54-B4ED-92897541430F}" sibTransId="{A61F1EF8-476D-4200-8377-4861166F5401}"/>
    <dgm:cxn modelId="{E1081978-1B6B-4322-A744-2C25A92C0862}" type="presOf" srcId="{58E51396-521C-4A21-A528-A64BA0423B4F}" destId="{09393FE3-1565-4056-8D2F-9BB5B2C0ACD8}" srcOrd="1" destOrd="0" presId="urn:microsoft.com/office/officeart/2005/8/layout/radial5"/>
    <dgm:cxn modelId="{E442E190-A7AA-4829-90C1-726CC93B8269}" srcId="{B8969D8D-8F61-40D7-B6B3-F8BE3FB38408}" destId="{ED7BBA2D-E7F2-40E0-B54F-79D2C825B83A}" srcOrd="1" destOrd="0" parTransId="{54A5FEE9-2139-4A0F-B5C9-2115BB0A3A17}" sibTransId="{330E8C74-4CA3-497C-A7C0-699AD0E11BBA}"/>
    <dgm:cxn modelId="{EB224C92-298E-4E8C-B456-438A1D3CADF4}" type="presOf" srcId="{5D80FAE7-E114-42C7-BF90-3AAE98CA52F9}" destId="{91447FEF-4E6A-434A-82B2-109769475C99}" srcOrd="1" destOrd="0" presId="urn:microsoft.com/office/officeart/2005/8/layout/radial5"/>
    <dgm:cxn modelId="{C6354E97-C5A1-4A9E-B3D1-7EF0828F1E65}" type="presOf" srcId="{C55A689D-462B-46FF-B113-04740C4ED5B2}" destId="{A25132EB-080F-4EEB-8A8B-9321C2922DB5}" srcOrd="0" destOrd="0" presId="urn:microsoft.com/office/officeart/2005/8/layout/radial5"/>
    <dgm:cxn modelId="{E0C13DB0-C3AA-40AB-BECE-91A6317D8240}" srcId="{F36C7288-8167-4104-88EE-4DFB541832A0}" destId="{C55A689D-462B-46FF-B113-04740C4ED5B2}" srcOrd="0" destOrd="0" parTransId="{5D80FAE7-E114-42C7-BF90-3AAE98CA52F9}" sibTransId="{92EC350F-3FDE-4639-8E0B-33FFF412E6B4}"/>
    <dgm:cxn modelId="{4CD21CB1-6B03-42C5-9347-2605C73A9732}" type="presOf" srcId="{3C328671-7C39-4B54-B4ED-92897541430F}" destId="{DD785949-DACD-4D5A-B5A6-DBCFF5F9DD2B}" srcOrd="0" destOrd="0" presId="urn:microsoft.com/office/officeart/2005/8/layout/radial5"/>
    <dgm:cxn modelId="{80C127B3-321C-43FA-8850-B806D158867A}" srcId="{F36C7288-8167-4104-88EE-4DFB541832A0}" destId="{207F1697-CFB0-49DC-BA46-30168AE302F9}" srcOrd="2" destOrd="0" parTransId="{58E51396-521C-4A21-A528-A64BA0423B4F}" sibTransId="{64DFB000-EAAC-4FC2-8A2F-E04918C11997}"/>
    <dgm:cxn modelId="{AA5EABC4-E581-4B68-8F37-048843A19899}" type="presOf" srcId="{207F1697-CFB0-49DC-BA46-30168AE302F9}" destId="{E1E003A0-225F-4322-9583-3634F128B9CC}" srcOrd="0" destOrd="0" presId="urn:microsoft.com/office/officeart/2005/8/layout/radial5"/>
    <dgm:cxn modelId="{8A3BD0CA-EE8D-4AE4-8025-BE276C386C5B}" type="presOf" srcId="{3C574087-4E7D-4F02-85F7-2C1A4791C9B6}" destId="{CA0AD871-A511-4487-A65F-F6BD342E18F2}" srcOrd="0" destOrd="0" presId="urn:microsoft.com/office/officeart/2005/8/layout/radial5"/>
    <dgm:cxn modelId="{68E37DCC-65B7-44A9-873B-4592B37B01D3}" type="presOf" srcId="{3C328671-7C39-4B54-B4ED-92897541430F}" destId="{E524B42F-0507-481D-AA5D-BCBCE116CE4A}" srcOrd="1" destOrd="0" presId="urn:microsoft.com/office/officeart/2005/8/layout/radial5"/>
    <dgm:cxn modelId="{B0FFE1CD-57DA-4CA8-8E0F-9CF38C26CCEA}" type="presOf" srcId="{A939D9EB-94B2-497C-A6D1-2DB072EF1E09}" destId="{CBA71E76-DF90-4125-96AD-470BE1777AD4}" srcOrd="0" destOrd="0" presId="urn:microsoft.com/office/officeart/2005/8/layout/radial5"/>
    <dgm:cxn modelId="{8E0E42CE-42EC-426A-8E09-5880723E365A}" srcId="{F36C7288-8167-4104-88EE-4DFB541832A0}" destId="{3C574087-4E7D-4F02-85F7-2C1A4791C9B6}" srcOrd="3" destOrd="0" parTransId="{3D1BB645-6C93-4E1C-8258-BC16EFC2DAD9}" sibTransId="{096E3080-3839-4DA1-A3A8-18784AFF98DA}"/>
    <dgm:cxn modelId="{282A69D4-4EC5-4D6E-A452-A103242A76D9}" type="presOf" srcId="{DFD93F00-159A-47F8-AE7B-FF8DE35B04CA}" destId="{3A93B3EB-A875-45EF-9CB4-A6E303B29927}" srcOrd="0" destOrd="0" presId="urn:microsoft.com/office/officeart/2005/8/layout/radial5"/>
    <dgm:cxn modelId="{2CB8A0DF-CA0D-4063-B06D-A42282CE9005}" type="presOf" srcId="{3D1BB645-6C93-4E1C-8258-BC16EFC2DAD9}" destId="{C596829A-3917-41AD-BE14-28909AAF4243}" srcOrd="1" destOrd="0" presId="urn:microsoft.com/office/officeart/2005/8/layout/radial5"/>
    <dgm:cxn modelId="{24D9E9E2-B1DF-4B08-BF5B-981DB6229309}" srcId="{B8969D8D-8F61-40D7-B6B3-F8BE3FB38408}" destId="{F36C7288-8167-4104-88EE-4DFB541832A0}" srcOrd="0" destOrd="0" parTransId="{0F307CFE-E688-44C8-BF13-431B6928FD24}" sibTransId="{FD1348C5-5EBD-4190-BDAB-2AA2F86A27B5}"/>
    <dgm:cxn modelId="{1D6897FD-6FD9-43C8-8FFE-9E4ADC0B3A56}" type="presOf" srcId="{ACA997F4-5A5E-4B99-B594-F8E83F54C250}" destId="{A8F3440C-E4C9-4990-958D-9C83655B0A8E}" srcOrd="0" destOrd="0" presId="urn:microsoft.com/office/officeart/2005/8/layout/radial5"/>
    <dgm:cxn modelId="{B41A4936-01FE-482A-B272-FBEC5189FBD3}" type="presParOf" srcId="{DF86AF04-4F85-4A34-99E0-F733CCAE4453}" destId="{C3C69070-00CF-4C0F-BE2F-227DCD934551}" srcOrd="0" destOrd="0" presId="urn:microsoft.com/office/officeart/2005/8/layout/radial5"/>
    <dgm:cxn modelId="{01A6F3CB-C66B-4E33-9D2D-E50DCAE295CF}" type="presParOf" srcId="{DF86AF04-4F85-4A34-99E0-F733CCAE4453}" destId="{6514ABB4-73DB-4864-980F-2579D48CB30B}" srcOrd="1" destOrd="0" presId="urn:microsoft.com/office/officeart/2005/8/layout/radial5"/>
    <dgm:cxn modelId="{039F56AB-8B06-4A55-BBF2-246365FA9D35}" type="presParOf" srcId="{6514ABB4-73DB-4864-980F-2579D48CB30B}" destId="{91447FEF-4E6A-434A-82B2-109769475C99}" srcOrd="0" destOrd="0" presId="urn:microsoft.com/office/officeart/2005/8/layout/radial5"/>
    <dgm:cxn modelId="{DEA1360B-AFAA-433D-8D5C-A3BA3EF350B6}" type="presParOf" srcId="{DF86AF04-4F85-4A34-99E0-F733CCAE4453}" destId="{A25132EB-080F-4EEB-8A8B-9321C2922DB5}" srcOrd="2" destOrd="0" presId="urn:microsoft.com/office/officeart/2005/8/layout/radial5"/>
    <dgm:cxn modelId="{C4833F41-D40C-48C5-A839-AFE98079C82B}" type="presParOf" srcId="{DF86AF04-4F85-4A34-99E0-F733CCAE4453}" destId="{DD785949-DACD-4D5A-B5A6-DBCFF5F9DD2B}" srcOrd="3" destOrd="0" presId="urn:microsoft.com/office/officeart/2005/8/layout/radial5"/>
    <dgm:cxn modelId="{A905AC81-3298-4609-9139-1A19E5713E3F}" type="presParOf" srcId="{DD785949-DACD-4D5A-B5A6-DBCFF5F9DD2B}" destId="{E524B42F-0507-481D-AA5D-BCBCE116CE4A}" srcOrd="0" destOrd="0" presId="urn:microsoft.com/office/officeart/2005/8/layout/radial5"/>
    <dgm:cxn modelId="{82DC150A-F38B-4A00-A808-BFC666457421}" type="presParOf" srcId="{DF86AF04-4F85-4A34-99E0-F733CCAE4453}" destId="{A8F3440C-E4C9-4990-958D-9C83655B0A8E}" srcOrd="4" destOrd="0" presId="urn:microsoft.com/office/officeart/2005/8/layout/radial5"/>
    <dgm:cxn modelId="{390243F4-F457-4A62-8A3E-B62B786D867B}" type="presParOf" srcId="{DF86AF04-4F85-4A34-99E0-F733CCAE4453}" destId="{6EE3D5CF-A60E-4B22-B525-D0CA4ADFB3FE}" srcOrd="5" destOrd="0" presId="urn:microsoft.com/office/officeart/2005/8/layout/radial5"/>
    <dgm:cxn modelId="{DDFE55B5-9A7A-4B7F-8677-4BC0A12CEA53}" type="presParOf" srcId="{6EE3D5CF-A60E-4B22-B525-D0CA4ADFB3FE}" destId="{09393FE3-1565-4056-8D2F-9BB5B2C0ACD8}" srcOrd="0" destOrd="0" presId="urn:microsoft.com/office/officeart/2005/8/layout/radial5"/>
    <dgm:cxn modelId="{4387C0D2-4C16-424A-BAC3-5F25CB0F91DC}" type="presParOf" srcId="{DF86AF04-4F85-4A34-99E0-F733CCAE4453}" destId="{E1E003A0-225F-4322-9583-3634F128B9CC}" srcOrd="6" destOrd="0" presId="urn:microsoft.com/office/officeart/2005/8/layout/radial5"/>
    <dgm:cxn modelId="{7873CF19-54A9-4D5A-BF61-828137284302}" type="presParOf" srcId="{DF86AF04-4F85-4A34-99E0-F733CCAE4453}" destId="{63A49D98-0BDB-41B7-ACD7-5E56B5344EBA}" srcOrd="7" destOrd="0" presId="urn:microsoft.com/office/officeart/2005/8/layout/radial5"/>
    <dgm:cxn modelId="{6FD168AD-442A-498B-8AD2-9D936550CBD7}" type="presParOf" srcId="{63A49D98-0BDB-41B7-ACD7-5E56B5344EBA}" destId="{C596829A-3917-41AD-BE14-28909AAF4243}" srcOrd="0" destOrd="0" presId="urn:microsoft.com/office/officeart/2005/8/layout/radial5"/>
    <dgm:cxn modelId="{60859CC4-41D7-459C-8F16-74530905EEDD}" type="presParOf" srcId="{DF86AF04-4F85-4A34-99E0-F733CCAE4453}" destId="{CA0AD871-A511-4487-A65F-F6BD342E18F2}" srcOrd="8" destOrd="0" presId="urn:microsoft.com/office/officeart/2005/8/layout/radial5"/>
    <dgm:cxn modelId="{F5E717AE-CCE9-42EE-A766-EAFAAA46DD13}" type="presParOf" srcId="{DF86AF04-4F85-4A34-99E0-F733CCAE4453}" destId="{CBA71E76-DF90-4125-96AD-470BE1777AD4}" srcOrd="9" destOrd="0" presId="urn:microsoft.com/office/officeart/2005/8/layout/radial5"/>
    <dgm:cxn modelId="{1C58F675-3197-44B8-90E0-DA1151EC1FF5}" type="presParOf" srcId="{CBA71E76-DF90-4125-96AD-470BE1777AD4}" destId="{D9010CED-ACDC-4862-8611-B3CB3B1DE44D}" srcOrd="0" destOrd="0" presId="urn:microsoft.com/office/officeart/2005/8/layout/radial5"/>
    <dgm:cxn modelId="{DEDC4640-4CB4-4A1E-82D5-FCD84C55200B}" type="presParOf" srcId="{DF86AF04-4F85-4A34-99E0-F733CCAE4453}" destId="{3A93B3EB-A875-45EF-9CB4-A6E303B29927}" srcOrd="10" destOrd="0" presId="urn:microsoft.com/office/officeart/2005/8/layout/radial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952750" cy="1790700"/>
        <a:chOff x="0" y="0"/>
        <a:chExt cx="2952750" cy="1790700"/>
      </a:xfrm>
    </dsp:grpSpPr>
    <dsp:sp modelId="{C3C69070-00CF-4C0F-BE2F-227DCD934551}">
      <dsp:nvSpPr>
        <dsp:cNvPr id="3" name="椭圆 2"/>
        <dsp:cNvSpPr/>
      </dsp:nvSpPr>
      <dsp:spPr bwMode="white">
        <a:xfrm>
          <a:off x="1222923" y="709665"/>
          <a:ext cx="506904" cy="506904"/>
        </a:xfrm>
        <a:prstGeom prst="ellipse">
          <a:avLst/>
        </a:prstGeom>
      </dsp:spPr>
      <dsp:style>
        <a:lnRef idx="2">
          <a:schemeClr val="lt1"/>
        </a:lnRef>
        <a:fillRef idx="1">
          <a:schemeClr val="accent1"/>
        </a:fillRef>
        <a:effectRef idx="0">
          <a:scrgbClr r="0" g="0" b="0"/>
        </a:effectRef>
        <a:fontRef idx="minor">
          <a:schemeClr val="lt1"/>
        </a:fontRef>
      </dsp:style>
      <dsp:txBody>
        <a:bodyPr lIns="15240" tIns="15240" rIns="15240" bIns="1524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pPr>
          <a:r>
            <a:rPr lang="zh-CN" altLang="en-US" dirty="0"/>
            <a:t>原则</a:t>
          </a:r>
        </a:p>
      </dsp:txBody>
      <dsp:txXfrm>
        <a:off x="1222923" y="709665"/>
        <a:ext cx="506904" cy="506904"/>
      </dsp:txXfrm>
    </dsp:sp>
    <dsp:sp modelId="{6514ABB4-73DB-4864-980F-2579D48CB30B}">
      <dsp:nvSpPr>
        <dsp:cNvPr id="4" name="右箭头 3"/>
        <dsp:cNvSpPr/>
      </dsp:nvSpPr>
      <dsp:spPr bwMode="white">
        <a:xfrm rot="-5366115">
          <a:off x="1426132" y="522111"/>
          <a:ext cx="107482" cy="172347"/>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rot="-5366115">
        <a:off x="1426132" y="522111"/>
        <a:ext cx="107482" cy="172347"/>
      </dsp:txXfrm>
    </dsp:sp>
    <dsp:sp modelId="{A25132EB-080F-4EEB-8A8B-9321C2922DB5}">
      <dsp:nvSpPr>
        <dsp:cNvPr id="5" name="椭圆 4"/>
        <dsp:cNvSpPr/>
      </dsp:nvSpPr>
      <dsp:spPr bwMode="white">
        <a:xfrm>
          <a:off x="1229918" y="0"/>
          <a:ext cx="506904" cy="506904"/>
        </a:xfrm>
        <a:prstGeom prst="ellipse">
          <a:avLst/>
        </a:prstGeom>
        <a:solidFill>
          <a:srgbClr val="CD71B5"/>
        </a:solidFill>
      </dsp:spPr>
      <dsp:style>
        <a:lnRef idx="2">
          <a:schemeClr val="lt1"/>
        </a:lnRef>
        <a:fillRef idx="1">
          <a:schemeClr val="accent1"/>
        </a:fillRef>
        <a:effectRef idx="0">
          <a:scrgbClr r="0" g="0" b="0"/>
        </a:effectRef>
        <a:fontRef idx="minor">
          <a:schemeClr val="lt1"/>
        </a:fontRef>
      </dsp:style>
      <dsp:txBody>
        <a:bodyPr lIns="12700" tIns="12700" rIns="12700" bIns="1270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a:solidFill>
                <a:schemeClr val="bg2">
                  <a:lumMod val="10000"/>
                </a:schemeClr>
              </a:solidFill>
            </a:rPr>
            <a:t>安全性</a:t>
          </a:r>
        </a:p>
      </dsp:txBody>
      <dsp:txXfrm>
        <a:off x="1229918" y="0"/>
        <a:ext cx="506904" cy="506904"/>
      </dsp:txXfrm>
    </dsp:sp>
    <dsp:sp modelId="{DD785949-DACD-4D5A-B5A6-DBCFF5F9DD2B}">
      <dsp:nvSpPr>
        <dsp:cNvPr id="6" name="右箭头 5"/>
        <dsp:cNvSpPr/>
      </dsp:nvSpPr>
      <dsp:spPr bwMode="white">
        <a:xfrm rot="-1116957">
          <a:off x="1762951" y="760585"/>
          <a:ext cx="117717" cy="172347"/>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rot="-1116957">
        <a:off x="1762951" y="760585"/>
        <a:ext cx="117717" cy="172347"/>
      </dsp:txXfrm>
    </dsp:sp>
    <dsp:sp modelId="{A8F3440C-E4C9-4990-958D-9C83655B0A8E}">
      <dsp:nvSpPr>
        <dsp:cNvPr id="7" name="椭圆 6"/>
        <dsp:cNvSpPr/>
      </dsp:nvSpPr>
      <dsp:spPr bwMode="white">
        <a:xfrm>
          <a:off x="1913792" y="476948"/>
          <a:ext cx="506904" cy="506904"/>
        </a:xfrm>
        <a:prstGeom prst="ellipse">
          <a:avLst/>
        </a:prstGeom>
        <a:solidFill>
          <a:srgbClr val="FC790C"/>
        </a:solidFill>
      </dsp:spPr>
      <dsp:style>
        <a:lnRef idx="2">
          <a:schemeClr val="lt1"/>
        </a:lnRef>
        <a:fillRef idx="1">
          <a:schemeClr val="accent1"/>
        </a:fillRef>
        <a:effectRef idx="0">
          <a:scrgbClr r="0" g="0" b="0"/>
        </a:effectRef>
        <a:fontRef idx="minor">
          <a:schemeClr val="lt1"/>
        </a:fontRef>
      </dsp:style>
      <dsp:txBody>
        <a:bodyPr lIns="12700" tIns="12700" rIns="12700" bIns="1270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a:solidFill>
                <a:schemeClr val="bg2">
                  <a:lumMod val="10000"/>
                </a:schemeClr>
              </a:solidFill>
            </a:rPr>
            <a:t>丰富性</a:t>
          </a:r>
        </a:p>
      </dsp:txBody>
      <dsp:txXfrm>
        <a:off x="1913792" y="476948"/>
        <a:ext cx="506904" cy="506904"/>
      </dsp:txXfrm>
    </dsp:sp>
    <dsp:sp modelId="{6EE3D5CF-A60E-4B22-B525-D0CA4ADFB3FE}">
      <dsp:nvSpPr>
        <dsp:cNvPr id="8" name="右箭头 7"/>
        <dsp:cNvSpPr/>
      </dsp:nvSpPr>
      <dsp:spPr bwMode="white">
        <a:xfrm rot="3208269">
          <a:off x="1633888" y="1162551"/>
          <a:ext cx="108095" cy="172347"/>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rot="3208269">
        <a:off x="1633888" y="1162551"/>
        <a:ext cx="108095" cy="172347"/>
      </dsp:txXfrm>
    </dsp:sp>
    <dsp:sp modelId="{E1E003A0-225F-4322-9583-3634F128B9CC}">
      <dsp:nvSpPr>
        <dsp:cNvPr id="9" name="椭圆 8"/>
        <dsp:cNvSpPr/>
      </dsp:nvSpPr>
      <dsp:spPr bwMode="white">
        <a:xfrm>
          <a:off x="1646045" y="1280880"/>
          <a:ext cx="506904" cy="506904"/>
        </a:xfrm>
        <a:prstGeom prst="ellipse">
          <a:avLst/>
        </a:prstGeom>
        <a:solidFill>
          <a:srgbClr val="3498DC"/>
        </a:solidFill>
      </dsp:spPr>
      <dsp:style>
        <a:lnRef idx="2">
          <a:schemeClr val="lt1"/>
        </a:lnRef>
        <a:fillRef idx="1">
          <a:schemeClr val="accent1"/>
        </a:fillRef>
        <a:effectRef idx="0">
          <a:scrgbClr r="0" g="0" b="0"/>
        </a:effectRef>
        <a:fontRef idx="minor">
          <a:schemeClr val="lt1"/>
        </a:fontRef>
      </dsp:style>
      <dsp:txBody>
        <a:bodyPr lIns="12700" tIns="12700" rIns="12700" bIns="1270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a:solidFill>
                <a:schemeClr val="bg2">
                  <a:lumMod val="10000"/>
                </a:schemeClr>
              </a:solidFill>
            </a:rPr>
            <a:t>发展性</a:t>
          </a:r>
        </a:p>
      </dsp:txBody>
      <dsp:txXfrm>
        <a:off x="1646045" y="1280880"/>
        <a:ext cx="506904" cy="506904"/>
      </dsp:txXfrm>
    </dsp:sp>
    <dsp:sp modelId="{63A49D98-0BDB-41B7-ACD7-5E56B5344EBA}">
      <dsp:nvSpPr>
        <dsp:cNvPr id="10" name="右箭头 9"/>
        <dsp:cNvSpPr/>
      </dsp:nvSpPr>
      <dsp:spPr bwMode="white">
        <a:xfrm rot="7560000">
          <a:off x="1214078" y="1164009"/>
          <a:ext cx="107464" cy="172347"/>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rot="7560000">
        <a:off x="1214078" y="1164009"/>
        <a:ext cx="107464" cy="172347"/>
      </dsp:txXfrm>
    </dsp:sp>
    <dsp:sp modelId="{CA0AD871-A511-4487-A65F-F6BD342E18F2}">
      <dsp:nvSpPr>
        <dsp:cNvPr id="11" name="椭圆 10"/>
        <dsp:cNvSpPr/>
      </dsp:nvSpPr>
      <dsp:spPr bwMode="white">
        <a:xfrm>
          <a:off x="805792" y="1283796"/>
          <a:ext cx="506904" cy="506904"/>
        </a:xfrm>
        <a:prstGeom prst="ellipse">
          <a:avLst/>
        </a:prstGeom>
        <a:solidFill>
          <a:srgbClr val="D57B71"/>
        </a:solidFill>
      </dsp:spPr>
      <dsp:style>
        <a:lnRef idx="2">
          <a:schemeClr val="lt1"/>
        </a:lnRef>
        <a:fillRef idx="1">
          <a:schemeClr val="accent1"/>
        </a:fillRef>
        <a:effectRef idx="0">
          <a:scrgbClr r="0" g="0" b="0"/>
        </a:effectRef>
        <a:fontRef idx="minor">
          <a:schemeClr val="lt1"/>
        </a:fontRef>
      </dsp:style>
      <dsp:txBody>
        <a:bodyPr lIns="12700" tIns="12700" rIns="12700" bIns="1270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a:solidFill>
                <a:schemeClr val="bg2">
                  <a:lumMod val="10000"/>
                </a:schemeClr>
              </a:solidFill>
            </a:rPr>
            <a:t>参与性</a:t>
          </a:r>
        </a:p>
      </dsp:txBody>
      <dsp:txXfrm>
        <a:off x="805792" y="1283796"/>
        <a:ext cx="506904" cy="506904"/>
      </dsp:txXfrm>
    </dsp:sp>
    <dsp:sp modelId="{CBA71E76-DF90-4125-96AD-470BE1777AD4}">
      <dsp:nvSpPr>
        <dsp:cNvPr id="12" name="右箭头 11"/>
        <dsp:cNvSpPr/>
      </dsp:nvSpPr>
      <dsp:spPr bwMode="white">
        <a:xfrm rot="11841703">
          <a:off x="1086689" y="771605"/>
          <a:ext cx="105527" cy="172347"/>
        </a:xfrm>
        <a:prstGeom prst="righ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Body>
        <a:bodyPr rot="10800000"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rot="11841703">
        <a:off x="1086689" y="771605"/>
        <a:ext cx="105527" cy="172347"/>
      </dsp:txXfrm>
    </dsp:sp>
    <dsp:sp modelId="{3A93B3EB-A875-45EF-9CB4-A6E303B29927}">
      <dsp:nvSpPr>
        <dsp:cNvPr id="13" name="椭圆 12"/>
        <dsp:cNvSpPr/>
      </dsp:nvSpPr>
      <dsp:spPr bwMode="white">
        <a:xfrm>
          <a:off x="549079" y="498989"/>
          <a:ext cx="506904" cy="506904"/>
        </a:xfrm>
        <a:prstGeom prst="ellipse">
          <a:avLst/>
        </a:prstGeom>
        <a:solidFill>
          <a:srgbClr val="ADD711"/>
        </a:solidFill>
      </dsp:spPr>
      <dsp:style>
        <a:lnRef idx="2">
          <a:schemeClr val="lt1"/>
        </a:lnRef>
        <a:fillRef idx="1">
          <a:schemeClr val="accent1"/>
        </a:fillRef>
        <a:effectRef idx="0">
          <a:scrgbClr r="0" g="0" b="0"/>
        </a:effectRef>
        <a:fontRef idx="minor">
          <a:schemeClr val="lt1"/>
        </a:fontRef>
      </dsp:style>
      <dsp:txBody>
        <a:bodyPr lIns="12700" tIns="12700" rIns="12700" bIns="12700" anchor="ctr"/>
        <a:lstStyle>
          <a:lvl1pPr algn="ctr">
            <a:defRPr sz="10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zh-CN" altLang="en-US" b="1" dirty="0">
              <a:solidFill>
                <a:schemeClr val="bg2">
                  <a:lumMod val="10000"/>
                </a:schemeClr>
              </a:solidFill>
            </a:rPr>
            <a:t>开放性</a:t>
          </a:r>
        </a:p>
      </dsp:txBody>
      <dsp:txXfrm>
        <a:off x="549079" y="498989"/>
        <a:ext cx="506904" cy="506904"/>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C920F-BEE8-4C61-A618-7AA8131D7F1E}">
  <ds:schemaRefs/>
</ds:datastoreItem>
</file>

<file path=docProps/app.xml><?xml version="1.0" encoding="utf-8"?>
<Properties xmlns="http://schemas.openxmlformats.org/officeDocument/2006/extended-properties" xmlns:vt="http://schemas.openxmlformats.org/officeDocument/2006/docPropsVTypes">
  <Template>Normal</Template>
  <Pages>30</Pages>
  <Words>12639</Words>
  <Characters>12996</Characters>
  <Lines>105</Lines>
  <Paragraphs>29</Paragraphs>
  <TotalTime>1</TotalTime>
  <ScaleCrop>false</ScaleCrop>
  <LinksUpToDate>false</LinksUpToDate>
  <CharactersWithSpaces>13898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2021-06-02T03:04:00Z</dcterms:created>
  <dc:creator>Administrator</dc:creator>
  <cp:lastModifiedBy>陆陆</cp:lastModifiedBy>
  <dcterms:modified xsi:type="dcterms:W3CDTF">2024-10-04T03:32:45Z</dcterms:modified>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SaveFontToCloudKey">
    <vt:lpwstr>682808435_embed</vt:lpwstr>
  </property>
  <property fmtid="{D5CDD505-2E9C-101B-9397-08002B2CF9AE}" pid="4" name="ICV">
    <vt:lpwstr>DF8E6C4F2E50471F9E88B920FD55C35B</vt:lpwstr>
  </property>
</Properties>
</file>