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2451E1">
      <w:pPr>
        <w:jc w:val="center"/>
        <w:rPr>
          <w:rFonts w:hint="eastAsia" w:ascii="方正小标宋简体" w:hAnsi="方正小标宋简体" w:eastAsia="方正小标宋简体" w:cs="方正小标宋简体"/>
          <w:b w:val="0"/>
          <w:bCs w:val="0"/>
          <w:sz w:val="44"/>
          <w:szCs w:val="44"/>
          <w:lang w:eastAsia="zh-CN"/>
        </w:rPr>
      </w:pPr>
      <w:r>
        <w:rPr>
          <w:rFonts w:hint="eastAsia" w:ascii="方正小标宋简体" w:hAnsi="方正小标宋简体" w:eastAsia="方正小标宋简体" w:cs="方正小标宋简体"/>
          <w:b w:val="0"/>
          <w:bCs w:val="0"/>
          <w:sz w:val="44"/>
          <w:szCs w:val="44"/>
          <w:lang w:eastAsia="zh-CN"/>
        </w:rPr>
        <w:t>德宏职业学院</w:t>
      </w:r>
    </w:p>
    <w:p w14:paraId="2252EC90">
      <w:pPr>
        <w:jc w:val="center"/>
        <w:rPr>
          <w:rFonts w:hint="eastAsia" w:ascii="方正小标宋简体" w:hAnsi="方正小标宋简体" w:eastAsia="方正小标宋简体" w:cs="方正小标宋简体"/>
          <w:b w:val="0"/>
          <w:bCs w:val="0"/>
          <w:sz w:val="36"/>
          <w:szCs w:val="36"/>
          <w:lang w:eastAsia="zh-CN"/>
        </w:rPr>
      </w:pPr>
      <w:r>
        <w:rPr>
          <w:rFonts w:hint="eastAsia" w:ascii="方正小标宋简体" w:hAnsi="方正小标宋简体" w:eastAsia="方正小标宋简体" w:cs="方正小标宋简体"/>
          <w:b w:val="0"/>
          <w:bCs w:val="0"/>
          <w:sz w:val="36"/>
          <w:szCs w:val="36"/>
          <w:lang w:eastAsia="zh-CN"/>
        </w:rPr>
        <w:t>《</w:t>
      </w:r>
      <w:r>
        <w:rPr>
          <w:rFonts w:hint="eastAsia" w:ascii="方正小标宋简体" w:hAnsi="方正小标宋简体" w:eastAsia="方正小标宋简体" w:cs="方正小标宋简体"/>
          <w:b w:val="0"/>
          <w:bCs w:val="0"/>
          <w:sz w:val="36"/>
          <w:szCs w:val="36"/>
          <w:lang w:val="en-US" w:eastAsia="zh-CN"/>
        </w:rPr>
        <w:t>幼儿游戏与指导</w:t>
      </w:r>
      <w:r>
        <w:rPr>
          <w:rFonts w:hint="eastAsia" w:ascii="方正小标宋简体" w:hAnsi="方正小标宋简体" w:eastAsia="方正小标宋简体" w:cs="方正小标宋简体"/>
          <w:b w:val="0"/>
          <w:bCs w:val="0"/>
          <w:sz w:val="36"/>
          <w:szCs w:val="36"/>
          <w:lang w:eastAsia="zh-CN"/>
        </w:rPr>
        <w:t>》课程标准</w:t>
      </w:r>
    </w:p>
    <w:p w14:paraId="22CC2B6D">
      <w:pPr>
        <w:jc w:val="center"/>
        <w:rPr>
          <w:rFonts w:hint="eastAsia" w:ascii="仿宋" w:hAnsi="仿宋" w:eastAsia="仿宋" w:cs="仿宋"/>
          <w:b/>
          <w:bCs/>
          <w:sz w:val="21"/>
          <w:szCs w:val="21"/>
          <w:lang w:eastAsia="zh-CN"/>
        </w:rPr>
      </w:pPr>
    </w:p>
    <w:p w14:paraId="657302D9">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firstLine="640" w:firstLineChars="200"/>
        <w:textAlignment w:val="auto"/>
        <w:rPr>
          <w:rFonts w:hint="eastAsia" w:ascii="方正黑体简体" w:hAnsi="方正黑体简体" w:eastAsia="方正黑体简体" w:cs="方正黑体简体"/>
          <w:b w:val="0"/>
          <w:bCs w:val="0"/>
          <w:sz w:val="32"/>
          <w:szCs w:val="32"/>
          <w:lang w:eastAsia="zh-CN"/>
        </w:rPr>
      </w:pPr>
      <w:r>
        <w:rPr>
          <w:rFonts w:hint="eastAsia" w:ascii="方正黑体简体" w:hAnsi="方正黑体简体" w:eastAsia="方正黑体简体" w:cs="方正黑体简体"/>
          <w:b w:val="0"/>
          <w:bCs w:val="0"/>
          <w:sz w:val="32"/>
          <w:szCs w:val="32"/>
          <w:lang w:eastAsia="zh-CN"/>
        </w:rPr>
        <w:t>课程概述</w:t>
      </w:r>
    </w:p>
    <w:p w14:paraId="6E397A90">
      <w:pPr>
        <w:keepNext w:val="0"/>
        <w:keepLines w:val="0"/>
        <w:pageBreakBefore w:val="0"/>
        <w:widowControl w:val="0"/>
        <w:numPr>
          <w:ilvl w:val="0"/>
          <w:numId w:val="2"/>
        </w:numPr>
        <w:kinsoku/>
        <w:wordWrap/>
        <w:overflowPunct/>
        <w:topLinePunct w:val="0"/>
        <w:autoSpaceDE/>
        <w:autoSpaceDN/>
        <w:bidi w:val="0"/>
        <w:adjustRightInd w:val="0"/>
        <w:snapToGrid w:val="0"/>
        <w:spacing w:line="360" w:lineRule="auto"/>
        <w:ind w:firstLine="643" w:firstLineChars="200"/>
        <w:textAlignment w:val="auto"/>
        <w:rPr>
          <w:rFonts w:hint="eastAsia" w:ascii="仿宋" w:hAnsi="仿宋" w:eastAsia="仿宋" w:cs="仿宋"/>
          <w:b/>
          <w:bCs/>
          <w:sz w:val="32"/>
          <w:szCs w:val="32"/>
          <w:lang w:eastAsia="zh-CN"/>
        </w:rPr>
      </w:pPr>
      <w:r>
        <w:rPr>
          <w:rFonts w:hint="eastAsia" w:ascii="仿宋" w:hAnsi="仿宋" w:eastAsia="仿宋" w:cs="仿宋"/>
          <w:b/>
          <w:bCs/>
          <w:sz w:val="32"/>
          <w:szCs w:val="32"/>
          <w:lang w:eastAsia="zh-CN"/>
        </w:rPr>
        <w:t>课程基本信息</w:t>
      </w:r>
    </w:p>
    <w:p w14:paraId="55AF412A">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课程名称：</w:t>
      </w:r>
      <w:r>
        <w:rPr>
          <w:rFonts w:hint="eastAsia" w:ascii="仿宋" w:hAnsi="仿宋" w:eastAsia="仿宋" w:cs="仿宋"/>
          <w:sz w:val="32"/>
          <w:szCs w:val="32"/>
          <w:lang w:val="en-US" w:eastAsia="zh-CN"/>
        </w:rPr>
        <w:t xml:space="preserve">幼儿游戏与指导  </w:t>
      </w:r>
      <w:r>
        <w:rPr>
          <w:rFonts w:hint="eastAsia" w:ascii="仿宋" w:hAnsi="仿宋" w:eastAsia="仿宋" w:cs="仿宋"/>
          <w:sz w:val="32"/>
          <w:szCs w:val="32"/>
          <w:lang w:eastAsia="zh-CN"/>
        </w:rPr>
        <w:t>课程编码：</w:t>
      </w:r>
    </w:p>
    <w:p w14:paraId="2C9B13C7">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default" w:ascii="仿宋" w:hAnsi="仿宋" w:eastAsia="仿宋" w:cs="仿宋"/>
          <w:sz w:val="32"/>
          <w:szCs w:val="32"/>
          <w:lang w:val="en-US" w:eastAsia="zh-CN"/>
        </w:rPr>
      </w:pPr>
      <w:r>
        <w:rPr>
          <w:rFonts w:hint="eastAsia" w:ascii="仿宋" w:hAnsi="仿宋" w:eastAsia="仿宋" w:cs="仿宋"/>
          <w:sz w:val="32"/>
          <w:szCs w:val="32"/>
          <w:lang w:eastAsia="zh-CN"/>
        </w:rPr>
        <w:t>课程类型：</w:t>
      </w:r>
      <w:r>
        <w:rPr>
          <w:rFonts w:hint="eastAsia" w:ascii="仿宋" w:hAnsi="仿宋" w:eastAsia="仿宋" w:cs="仿宋"/>
          <w:sz w:val="32"/>
          <w:szCs w:val="32"/>
          <w:lang w:val="en-US" w:eastAsia="zh-CN"/>
        </w:rPr>
        <w:t xml:space="preserve">专业核心课      </w:t>
      </w:r>
      <w:r>
        <w:rPr>
          <w:rFonts w:hint="eastAsia" w:ascii="仿宋" w:hAnsi="仿宋" w:eastAsia="仿宋" w:cs="仿宋"/>
          <w:sz w:val="32"/>
          <w:szCs w:val="32"/>
          <w:lang w:eastAsia="zh-CN"/>
        </w:rPr>
        <w:t>课程性质：</w:t>
      </w:r>
      <w:r>
        <w:rPr>
          <w:rFonts w:hint="eastAsia" w:ascii="仿宋" w:hAnsi="仿宋" w:eastAsia="仿宋" w:cs="仿宋"/>
          <w:sz w:val="32"/>
          <w:szCs w:val="32"/>
          <w:lang w:val="en-US" w:eastAsia="zh-CN"/>
        </w:rPr>
        <w:t>必修</w:t>
      </w:r>
    </w:p>
    <w:p w14:paraId="1700BEA3">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default" w:ascii="仿宋" w:hAnsi="仿宋" w:eastAsia="仿宋" w:cs="仿宋"/>
          <w:sz w:val="32"/>
          <w:szCs w:val="32"/>
          <w:lang w:val="en-US" w:eastAsia="zh-CN"/>
        </w:rPr>
      </w:pPr>
      <w:r>
        <w:rPr>
          <w:rFonts w:hint="eastAsia" w:ascii="仿宋" w:hAnsi="仿宋" w:eastAsia="仿宋" w:cs="仿宋"/>
          <w:sz w:val="32"/>
          <w:szCs w:val="32"/>
          <w:lang w:eastAsia="zh-CN"/>
        </w:rPr>
        <w:t>适用专业：</w:t>
      </w:r>
      <w:r>
        <w:rPr>
          <w:rFonts w:hint="eastAsia" w:ascii="仿宋" w:hAnsi="仿宋" w:eastAsia="仿宋" w:cs="仿宋"/>
          <w:sz w:val="32"/>
          <w:szCs w:val="32"/>
          <w:lang w:val="en-US" w:eastAsia="zh-CN"/>
        </w:rPr>
        <w:t xml:space="preserve">学前教育        </w:t>
      </w:r>
      <w:r>
        <w:rPr>
          <w:rFonts w:hint="eastAsia" w:ascii="仿宋" w:hAnsi="仿宋" w:eastAsia="仿宋" w:cs="仿宋"/>
          <w:sz w:val="32"/>
          <w:szCs w:val="32"/>
          <w:lang w:eastAsia="zh-CN"/>
        </w:rPr>
        <w:t>课程学时（学分）：</w:t>
      </w:r>
      <w:r>
        <w:rPr>
          <w:rFonts w:hint="eastAsia" w:ascii="仿宋" w:hAnsi="仿宋" w:eastAsia="仿宋" w:cs="仿宋"/>
          <w:sz w:val="32"/>
          <w:szCs w:val="32"/>
          <w:lang w:val="en-US" w:eastAsia="zh-CN"/>
        </w:rPr>
        <w:t>4</w:t>
      </w:r>
    </w:p>
    <w:p w14:paraId="7D898E13">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eastAsia="zh-CN"/>
        </w:rPr>
        <w:t>先修课程：</w:t>
      </w:r>
      <w:r>
        <w:rPr>
          <w:rFonts w:hint="eastAsia" w:ascii="仿宋" w:hAnsi="仿宋" w:eastAsia="仿宋" w:cs="仿宋"/>
          <w:sz w:val="32"/>
          <w:szCs w:val="32"/>
          <w:lang w:val="en-US" w:eastAsia="zh-CN"/>
        </w:rPr>
        <w:t>学前儿童心理学</w:t>
      </w:r>
    </w:p>
    <w:p w14:paraId="776C3558">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default" w:ascii="仿宋" w:hAnsi="仿宋" w:eastAsia="仿宋" w:cs="仿宋"/>
          <w:sz w:val="32"/>
          <w:szCs w:val="32"/>
          <w:lang w:val="en-US" w:eastAsia="zh-CN"/>
        </w:rPr>
      </w:pPr>
      <w:r>
        <w:rPr>
          <w:rFonts w:hint="eastAsia" w:ascii="仿宋" w:hAnsi="仿宋" w:eastAsia="仿宋" w:cs="仿宋"/>
          <w:sz w:val="32"/>
          <w:szCs w:val="32"/>
          <w:lang w:eastAsia="zh-CN"/>
        </w:rPr>
        <w:t>后续课程：</w:t>
      </w:r>
      <w:r>
        <w:rPr>
          <w:rFonts w:hint="eastAsia" w:ascii="仿宋" w:hAnsi="仿宋" w:eastAsia="仿宋" w:cs="仿宋"/>
          <w:sz w:val="32"/>
          <w:szCs w:val="32"/>
          <w:lang w:val="en-US" w:eastAsia="zh-CN"/>
        </w:rPr>
        <w:t>幼儿园教育活动设计与实施、幼儿园课程概论</w:t>
      </w:r>
    </w:p>
    <w:p w14:paraId="65A63D8B">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default" w:ascii="仿宋" w:hAnsi="仿宋" w:eastAsia="仿宋" w:cs="仿宋"/>
          <w:sz w:val="32"/>
          <w:szCs w:val="32"/>
          <w:lang w:val="en-US" w:eastAsia="zh-CN"/>
        </w:rPr>
      </w:pPr>
      <w:r>
        <w:rPr>
          <w:rFonts w:hint="eastAsia" w:ascii="仿宋" w:hAnsi="仿宋" w:eastAsia="仿宋" w:cs="仿宋"/>
          <w:sz w:val="32"/>
          <w:szCs w:val="32"/>
          <w:lang w:eastAsia="zh-CN"/>
        </w:rPr>
        <w:t>课程负责人：</w:t>
      </w:r>
      <w:r>
        <w:rPr>
          <w:rFonts w:hint="eastAsia" w:ascii="仿宋" w:hAnsi="仿宋" w:eastAsia="仿宋" w:cs="仿宋"/>
          <w:sz w:val="32"/>
          <w:szCs w:val="32"/>
          <w:lang w:val="en-US" w:eastAsia="zh-CN"/>
        </w:rPr>
        <w:t xml:space="preserve">景玉梦云      </w:t>
      </w:r>
      <w:r>
        <w:rPr>
          <w:rFonts w:hint="eastAsia" w:ascii="仿宋" w:hAnsi="仿宋" w:eastAsia="仿宋" w:cs="仿宋"/>
          <w:sz w:val="32"/>
          <w:szCs w:val="32"/>
          <w:lang w:eastAsia="zh-CN"/>
        </w:rPr>
        <w:t>修订时间：</w:t>
      </w:r>
      <w:r>
        <w:rPr>
          <w:rFonts w:hint="eastAsia" w:ascii="仿宋" w:hAnsi="仿宋" w:eastAsia="仿宋" w:cs="仿宋"/>
          <w:sz w:val="32"/>
          <w:szCs w:val="32"/>
          <w:lang w:val="en-US" w:eastAsia="zh-CN"/>
        </w:rPr>
        <w:t>2025年8月</w:t>
      </w:r>
    </w:p>
    <w:p w14:paraId="34969837">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default" w:ascii="仿宋" w:hAnsi="仿宋" w:eastAsia="仿宋" w:cs="仿宋"/>
          <w:sz w:val="32"/>
          <w:szCs w:val="32"/>
          <w:lang w:val="en-US" w:eastAsia="zh-CN"/>
        </w:rPr>
      </w:pPr>
      <w:r>
        <w:rPr>
          <w:rFonts w:hint="eastAsia" w:ascii="仿宋" w:hAnsi="仿宋" w:eastAsia="仿宋" w:cs="仿宋"/>
          <w:sz w:val="32"/>
          <w:szCs w:val="32"/>
          <w:lang w:eastAsia="zh-CN"/>
        </w:rPr>
        <w:t>课程标准审批人：</w:t>
      </w:r>
      <w:r>
        <w:rPr>
          <w:rFonts w:hint="eastAsia" w:ascii="仿宋" w:hAnsi="仿宋" w:eastAsia="仿宋" w:cs="仿宋"/>
          <w:sz w:val="32"/>
          <w:szCs w:val="32"/>
          <w:lang w:val="en-US" w:eastAsia="zh-CN"/>
        </w:rPr>
        <w:t>陆春艳、段雯舒</w:t>
      </w:r>
    </w:p>
    <w:p w14:paraId="0A4B3CCE">
      <w:pPr>
        <w:keepNext w:val="0"/>
        <w:keepLines w:val="0"/>
        <w:pageBreakBefore w:val="0"/>
        <w:widowControl w:val="0"/>
        <w:numPr>
          <w:ilvl w:val="0"/>
          <w:numId w:val="2"/>
        </w:numPr>
        <w:kinsoku/>
        <w:wordWrap/>
        <w:overflowPunct/>
        <w:topLinePunct w:val="0"/>
        <w:autoSpaceDE/>
        <w:autoSpaceDN/>
        <w:bidi w:val="0"/>
        <w:adjustRightInd w:val="0"/>
        <w:snapToGrid w:val="0"/>
        <w:spacing w:line="360" w:lineRule="auto"/>
        <w:ind w:left="0" w:leftChars="0" w:firstLine="643" w:firstLineChars="200"/>
        <w:textAlignment w:val="auto"/>
        <w:rPr>
          <w:rFonts w:hint="eastAsia" w:ascii="仿宋" w:hAnsi="仿宋" w:eastAsia="仿宋" w:cs="仿宋"/>
          <w:b/>
          <w:bCs/>
          <w:sz w:val="32"/>
          <w:szCs w:val="32"/>
          <w:lang w:eastAsia="zh-CN"/>
        </w:rPr>
      </w:pPr>
      <w:r>
        <w:rPr>
          <w:rFonts w:hint="eastAsia" w:ascii="仿宋" w:hAnsi="仿宋" w:eastAsia="仿宋" w:cs="仿宋"/>
          <w:b/>
          <w:bCs/>
          <w:sz w:val="32"/>
          <w:szCs w:val="32"/>
          <w:lang w:eastAsia="zh-CN"/>
        </w:rPr>
        <w:t>课程定位与课程设计</w:t>
      </w:r>
    </w:p>
    <w:p w14:paraId="5B301C5B">
      <w:pPr>
        <w:keepNext w:val="0"/>
        <w:keepLines w:val="0"/>
        <w:pageBreakBefore w:val="0"/>
        <w:widowControl w:val="0"/>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课程简介：“幼儿游戏与指导”课程是学前教育专业一门重要的专业核心课。它全面、系统、科学地阐释了学前儿童游戏的基本理论、幼儿园游戏教育活动的主要内容、基本方法和基本技能，主要涉及游戏的理论流派、游戏与儿童发展、游戏材料、环境创设与规划、观察与评价、游戏治疗及各类游戏如角色游戏、表演游戏、结构游戏、体育游戏、规则游戏、民间游戏等的指导。</w:t>
      </w:r>
    </w:p>
    <w:p w14:paraId="50CC5A5A">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2、课程性质与定位</w:t>
      </w:r>
    </w:p>
    <w:p w14:paraId="10AA10A8">
      <w:pPr>
        <w:keepNext w:val="0"/>
        <w:keepLines w:val="0"/>
        <w:pageBreakBefore w:val="0"/>
        <w:widowControl w:val="0"/>
        <w:kinsoku/>
        <w:wordWrap/>
        <w:overflowPunct/>
        <w:topLinePunct w:val="0"/>
        <w:autoSpaceDE/>
        <w:autoSpaceDN/>
        <w:bidi w:val="0"/>
        <w:adjustRightInd w:val="0"/>
        <w:snapToGrid w:val="0"/>
        <w:spacing w:line="360" w:lineRule="auto"/>
        <w:ind w:firstLine="640" w:firstLineChars="200"/>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（1）课程性质：属于专业核心课、必修课。</w:t>
      </w:r>
    </w:p>
    <w:p w14:paraId="4C95480E">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2）课程定位：本课程兼顾理论学习，又倡导融入德宏地区本土民族文化。既可以为学生进一步学习幼儿教育活动设计等专业课程打下基础，又可以使学生对幼儿园游戏教育教学活动有一个较为全面的认识。德宏地区丰富的少数民族文化资源，如傣族、景颇族、阿昌族、德昂族、傈僳族等各民族都有独特的传统游戏及非遗文化，这些游戏和文化不仅是民族文化的重要组成部分，也是幼儿认知世界、传承文化的重要方式。通过学习这些民族传统游戏和文化，学生能够更好地理解多元文化背景下幼儿游戏的多样性，为今后在德宏地区或其他少数民族地区开展幼儿教育工作打牢基础。</w:t>
      </w:r>
    </w:p>
    <w:p w14:paraId="310A73F8">
      <w:pPr>
        <w:keepNext w:val="0"/>
        <w:keepLines w:val="0"/>
        <w:pageBreakBefore w:val="0"/>
        <w:widowControl w:val="0"/>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课程基本理念：根据学前教育专业培养目标，本专业培养的学生对应的职业岗位是幼儿园教师、早教机构工作人员等，所以培养合格的幼儿园一线教师是本课程内容选择的主要依据。因此本课程重视与幼儿园合作，注重基于工作过程的课程开发与设计。课程设计以工作过程为导向，对接职业岗位工作环节、工作环境及岗位典型工作任务。课程目标尤其是职业能力目标以完成职业任务、胜任岗位资格所需要的专业技能和人文素质为导向来设定；教学内容以职业岗位典型工作任务的内容为依据来构建；教学组织与实施以职业岗位工作环节和实际情境为逻辑来安排；课程考核以职业岗位工作规程、作业标准等为规范来进行。在此基础上，在各类游戏的具体设计上融入德宏地区民族元素、非遗元素、红色元素等内容，不仅能够提升学生的专业技能和文化素养，更能够培养学生的社会责任感、职业道德和爱国情怀，为培养德智体美劳全面发展的社会主义建设者和接班人奠定坚实的基础。</w:t>
      </w:r>
    </w:p>
    <w:p w14:paraId="23B0E630">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课程设计的思路：坚持以高职教育培养目标为依据，遵循“以应用为目的、以够用为尺度、以传承为核心”的原则，以“掌握概念、强化应用、培养技能”为重点，力图做到“精选内容、适度理论、夯实基础、突出应用、融合文化”。</w:t>
      </w:r>
    </w:p>
    <w:p w14:paraId="2C082566">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符合学生的认识过程和接受能力，遵循由普通到专业、有浅到深、由易到难、循序渐进的认识规律。</w:t>
      </w:r>
    </w:p>
    <w:p w14:paraId="5CCED5B4">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结合高职高专学生认知与学习特点，充分利用校内实训条件，采用行之有效的教学方法和手段，注重发展学生将游戏应用到教学岗位的能力。</w:t>
      </w:r>
    </w:p>
    <w:p w14:paraId="0E21D780">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强调综合素质教育，以培养学生良好的社会适应性为教学目标，为学生踏入社会尽早做好准备。</w:t>
      </w:r>
    </w:p>
    <w:p w14:paraId="184F6EE3">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课程目标</w:t>
      </w:r>
    </w:p>
    <w:p w14:paraId="11DAD209">
      <w:pPr>
        <w:keepNext w:val="0"/>
        <w:keepLines w:val="0"/>
        <w:pageBreakBefore w:val="0"/>
        <w:widowControl w:val="0"/>
        <w:numPr>
          <w:ilvl w:val="0"/>
          <w:numId w:val="3"/>
        </w:numPr>
        <w:kinsoku/>
        <w:wordWrap/>
        <w:overflowPunct/>
        <w:topLinePunct w:val="0"/>
        <w:autoSpaceDE/>
        <w:autoSpaceDN/>
        <w:bidi w:val="0"/>
        <w:adjustRightInd w:val="0"/>
        <w:snapToGrid w:val="0"/>
        <w:spacing w:line="360" w:lineRule="auto"/>
        <w:ind w:leftChars="0"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总体目标</w:t>
      </w:r>
    </w:p>
    <w:p w14:paraId="3C298836">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使学生了解儿童游戏的相关理论学说，在理解游戏的本质特征的基础上，深刻认识幼儿游戏的特点，掌握各类游戏的特点，进而能根据幼儿发展的实际水平指导幼儿游戏，能较好地运用游戏形式融入传统文化、民族文化、红色文化来组织幼儿的教育教学活动。</w:t>
      </w:r>
    </w:p>
    <w:p w14:paraId="624F62B7">
      <w:pPr>
        <w:keepNext w:val="0"/>
        <w:keepLines w:val="0"/>
        <w:pageBreakBefore w:val="0"/>
        <w:widowControl w:val="0"/>
        <w:numPr>
          <w:ilvl w:val="0"/>
          <w:numId w:val="3"/>
        </w:numPr>
        <w:kinsoku/>
        <w:wordWrap/>
        <w:overflowPunct/>
        <w:topLinePunct w:val="0"/>
        <w:autoSpaceDE/>
        <w:autoSpaceDN/>
        <w:bidi w:val="0"/>
        <w:adjustRightInd w:val="0"/>
        <w:snapToGrid w:val="0"/>
        <w:spacing w:line="360" w:lineRule="auto"/>
        <w:ind w:leftChars="0"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具体目标</w:t>
      </w:r>
    </w:p>
    <w:p w14:paraId="2B9D9FD5">
      <w:pPr>
        <w:keepNext w:val="0"/>
        <w:keepLines w:val="0"/>
        <w:pageBreakBefore w:val="0"/>
        <w:widowControl w:val="0"/>
        <w:numPr>
          <w:ilvl w:val="0"/>
          <w:numId w:val="4"/>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知识目标：熟悉游戏的理论流派、游戏与儿童发展、游戏材料、环境创设与规划、观察与评价、游戏治疗等，重点对角色游戏、结构游戏、表演游戏和规则游戏等几类常见游戏的特点、相关的理论阐释，熟悉常见游戏的年龄段特征。</w:t>
      </w:r>
    </w:p>
    <w:p w14:paraId="0C8CDD29">
      <w:pPr>
        <w:keepNext w:val="0"/>
        <w:keepLines w:val="0"/>
        <w:pageBreakBefore w:val="0"/>
        <w:widowControl w:val="0"/>
        <w:numPr>
          <w:ilvl w:val="0"/>
          <w:numId w:val="4"/>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能力目标：使学生理解游戏的教育作用，掌握各类游戏的特点，能根据幼儿发展的实际水平指导幼儿游戏，能较好地运用游戏形式组织幼儿的教育教学活动。通过实践训练，使学生掌握一定的角色游戏、表演游戏、建构游戏、体育游戏、智力游戏等基本游戏技能，掌握设计与创编游戏的基本方法，初步具备创编各类教学游戏的能力，并且在游戏创编的过程中能有意识地融入传统文化、民族文化、红色文化。</w:t>
      </w:r>
    </w:p>
    <w:p w14:paraId="48186CA9">
      <w:pPr>
        <w:keepNext w:val="0"/>
        <w:keepLines w:val="0"/>
        <w:pageBreakBefore w:val="0"/>
        <w:widowControl w:val="0"/>
        <w:numPr>
          <w:ilvl w:val="0"/>
          <w:numId w:val="4"/>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素质目标：通过学习，帮助学生认识游戏教育在学前教育中的重要意义，从而树立正确的学前教育观念。使学生进一步加深对学前教育的认识，培养和提高学生从事幼儿教育工作的素质和能力。培养学生对德宏少数民族文化的尊重和热爱，增强学生的文化传承意识和民族团结意识，使学生具备在多元文化背景下开展幼儿教育工作的能力和素质。</w:t>
      </w:r>
    </w:p>
    <w:p w14:paraId="5E83C16E">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与前后课程的关系</w:t>
      </w:r>
    </w:p>
    <w:p w14:paraId="38733A48">
      <w:pPr>
        <w:keepNext w:val="0"/>
        <w:keepLines w:val="0"/>
        <w:pageBreakBefore w:val="0"/>
        <w:widowControl w:val="0"/>
        <w:numPr>
          <w:ilvl w:val="0"/>
          <w:numId w:val="5"/>
        </w:numPr>
        <w:kinsoku/>
        <w:wordWrap/>
        <w:overflowPunct/>
        <w:topLinePunct w:val="0"/>
        <w:autoSpaceDE/>
        <w:autoSpaceDN/>
        <w:bidi w:val="0"/>
        <w:adjustRightInd w:val="0"/>
        <w:snapToGrid w:val="0"/>
        <w:spacing w:line="360" w:lineRule="auto"/>
        <w:ind w:leftChars="0"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与前序课程的关系</w:t>
      </w:r>
    </w:p>
    <w:p w14:paraId="6E41F0C1">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本课程（《幼儿游戏与指导》）与《学前儿童心理学》中的情绪发展内容构成紧密的“理论实践”循环。《学前儿童心理学》为本课程提供关于幼儿情绪发展规律、特点及需求的核心理论基础，使学生深刻理解游戏作为幼儿情绪核心表达途径与发展场域的重要性。本课程则聚焦于实践应用，指导学生掌握如何通过科学观察、设计、组织、引导和介入各类游戏活动，创造性地运用游戏这一天然媒介，有效促进幼儿的情绪识别、表达、理解、调节及共情能力的发展，将心理学理论转化为具体的、可操作的幼儿情绪支持策略，共同服务于幼儿社会性与情感的健康发展目标。</w:t>
      </w:r>
    </w:p>
    <w:p w14:paraId="0E1DF5F6">
      <w:pPr>
        <w:keepNext w:val="0"/>
        <w:keepLines w:val="0"/>
        <w:pageBreakBefore w:val="0"/>
        <w:widowControl w:val="0"/>
        <w:numPr>
          <w:ilvl w:val="0"/>
          <w:numId w:val="5"/>
        </w:numPr>
        <w:kinsoku/>
        <w:wordWrap/>
        <w:overflowPunct/>
        <w:topLinePunct w:val="0"/>
        <w:autoSpaceDE/>
        <w:autoSpaceDN/>
        <w:bidi w:val="0"/>
        <w:adjustRightInd w:val="0"/>
        <w:snapToGrid w:val="0"/>
        <w:spacing w:line="360" w:lineRule="auto"/>
        <w:ind w:leftChars="0"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与后继课</w:t>
      </w:r>
      <w:bookmarkStart w:id="0" w:name="_GoBack"/>
      <w:bookmarkEnd w:id="0"/>
      <w:r>
        <w:rPr>
          <w:rFonts w:hint="eastAsia" w:ascii="仿宋" w:hAnsi="仿宋" w:eastAsia="仿宋" w:cs="仿宋"/>
          <w:b/>
          <w:bCs/>
          <w:sz w:val="32"/>
          <w:szCs w:val="32"/>
          <w:lang w:val="en-US" w:eastAsia="zh-CN"/>
        </w:rPr>
        <w:t>程的关系</w:t>
      </w:r>
    </w:p>
    <w:p w14:paraId="75D41E08">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default"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本课程所培养的对游戏本质的理解、游戏环境创设能力、游戏观察分析技能以及游戏引导策略，是学生未来科学设计和有效实施各类幼儿园活动（特别是区域活动、游戏化教学活动及生成课程）的核心能力基础。游戏作为幼儿园“基本活动”的理念，将贯穿于活动设计的全过程，确保活动符合幼儿学习特点，充满吸引力和发展价值。此外，本课程提供了理解幼儿园课程核心理念（如儿童中心、建构主义、整合性、生活化）的关键实践场域和生动例证。学生在游戏中观察到的幼儿学习与发展过程，以及对游戏价值的深刻认识，将为其后续学习课程理论、理解不同课程模式（如高瞻、瑞吉欧）提供坚实的经验支撑和感性认识，帮助其更深刻地把握幼儿园课程的本质与精髓。本课程培养的游戏观察能力也是评价课程实施效果的重要基础。</w:t>
      </w:r>
    </w:p>
    <w:p w14:paraId="061ADF88">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课程内容标准</w:t>
      </w:r>
    </w:p>
    <w:p w14:paraId="7F0A7CC8">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单元一：幼儿游戏概述 </w:t>
      </w:r>
    </w:p>
    <w:p w14:paraId="4841B996">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1. 知识目标 </w:t>
      </w:r>
    </w:p>
    <w:p w14:paraId="71E780A9">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能定义游戏本质，阐述游戏的六大特征（自主性、愉悦性、虚构性、过程性、规则内隐、具体实践）。比较经典游戏理论（精力过剩说、松弛说、复演说）与现代理论（皮亚杰认知发展论、维果斯基社会文化论）的核心观点。  </w:t>
      </w:r>
    </w:p>
    <w:p w14:paraId="3E28FD05">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2. 能力目标  </w:t>
      </w:r>
    </w:p>
    <w:p w14:paraId="1AF5371F">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能结合案例，分析游戏对幼儿五大领域发展的价值（认知探索、语言表达、社会合作、情绪调节、身体协调）。  </w:t>
      </w:r>
    </w:p>
    <w:p w14:paraId="6C833E22">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能识别影响幼儿游戏的三大因素（个体差异、物理/心理环境、文化背景）并提出优化建议。</w:t>
      </w:r>
    </w:p>
    <w:p w14:paraId="0CE50746">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 单元二：幼儿游戏环境创设  </w:t>
      </w:r>
    </w:p>
    <w:p w14:paraId="72C0E8B7">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1. 知识目标  </w:t>
      </w:r>
    </w:p>
    <w:p w14:paraId="7C78FD9B">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列举游戏环境创设的五大原则：安全性、开放性、适宜性、层次性、动态性等。  </w:t>
      </w:r>
    </w:p>
    <w:p w14:paraId="43EBA61A">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2. 能力目标  </w:t>
      </w:r>
    </w:p>
    <w:p w14:paraId="72C4D0B1">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能设计符合不同年龄段（小/中/大班）的室内外游戏空间布局图（含区域划分、动线规划）。  </w:t>
      </w:r>
    </w:p>
    <w:p w14:paraId="1AEAF35E">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能运用低结构材料（纸箱、布料、自然物）设计3种以上可变游戏材料，并说明教育意图。</w:t>
      </w:r>
    </w:p>
    <w:p w14:paraId="5883676E">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 单元三：角色游戏  </w:t>
      </w:r>
    </w:p>
    <w:p w14:paraId="4B7E8749">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1. 知识目标  </w:t>
      </w:r>
    </w:p>
    <w:p w14:paraId="1AF5BF16">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解释角色游戏的社会性发展功能（角色扮演、规则理解、冲突解决）。  </w:t>
      </w:r>
    </w:p>
    <w:p w14:paraId="5156D07A">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2. 能力目标  </w:t>
      </w:r>
    </w:p>
    <w:p w14:paraId="189B0639">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能设计主题性角色游戏方案（如“医院”“超市”），包含情境创设、材料清单、预期发展目标。  </w:t>
      </w:r>
    </w:p>
    <w:p w14:paraId="21583A6A">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能在模拟教学中演示3种角色游戏介入策略（平行游戏、角色代入、开放式提问）。</w:t>
      </w:r>
    </w:p>
    <w:p w14:paraId="6A5A1773">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 单元四：表演游戏  </w:t>
      </w:r>
    </w:p>
    <w:p w14:paraId="7CD322B2">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1. 知识目标  </w:t>
      </w:r>
    </w:p>
    <w:p w14:paraId="4D7F2C67">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区分表演游戏与角色游戏的异同（剧本依赖性、艺术表现性）。  </w:t>
      </w:r>
    </w:p>
    <w:p w14:paraId="2E0A1075">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2. 能力目标  </w:t>
      </w:r>
    </w:p>
    <w:p w14:paraId="2DAE7CF4">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能改编具有民族特色的简短绘本、故事为幼儿表演剧本，突出动作与对话的儿童化设计。  </w:t>
      </w:r>
    </w:p>
    <w:p w14:paraId="54400469">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能指导幼儿使用道具、音效增强表演表现力，录制并分析幼儿表演案例。</w:t>
      </w:r>
    </w:p>
    <w:p w14:paraId="05D58118">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 单元五：建构游戏  </w:t>
      </w:r>
    </w:p>
    <w:p w14:paraId="5D0A1E40">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1. 知识目标  </w:t>
      </w:r>
    </w:p>
    <w:p w14:paraId="7F4C40C9">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归纳建构游戏的认知发展价值（空间思维、数概念、物理经验）。  </w:t>
      </w:r>
    </w:p>
    <w:p w14:paraId="7DB7BC10">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2. 能力目标  </w:t>
      </w:r>
    </w:p>
    <w:p w14:paraId="23B77344">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能搭建具有结构复杂性的示范作品（桥梁、塔楼），并解说关键建构技能，并在搭建过程中融入本土文化。  </w:t>
      </w:r>
    </w:p>
    <w:p w14:paraId="0D200DCA">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能设计“建构挑战任务卡”（如“抗地震的房子”），培养幼儿问题解决能力。</w:t>
      </w:r>
    </w:p>
    <w:p w14:paraId="14D4AFB5">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 单元六：体育游戏  </w:t>
      </w:r>
    </w:p>
    <w:p w14:paraId="5AA4BF4D">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1. 知识目标  </w:t>
      </w:r>
    </w:p>
    <w:p w14:paraId="642807FB">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阐明体育游戏设计的运动负荷原则（强度、密度、时长适配年龄）。  </w:t>
      </w:r>
    </w:p>
    <w:p w14:paraId="58CAB715">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2. 能力目标  </w:t>
      </w:r>
    </w:p>
    <w:p w14:paraId="1E386149">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default"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能创编3个发展基本动作的游戏（跑跳、投掷、平衡），包含安全规则图解，并在创编过程中融入少数民族相关的体育运动元素。</w:t>
      </w:r>
    </w:p>
    <w:p w14:paraId="0BCFDE90">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 单元七：智力游戏  </w:t>
      </w:r>
    </w:p>
    <w:p w14:paraId="54530887">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1. 知识目标  </w:t>
      </w:r>
    </w:p>
    <w:p w14:paraId="63DD1D5E">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分类智力游戏类型：记忆类、推理类、观察类、语言类、数学类。  </w:t>
      </w:r>
    </w:p>
    <w:p w14:paraId="4D82A61C">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2. 能力目标  </w:t>
      </w:r>
    </w:p>
    <w:p w14:paraId="60398E77">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能自制2种思维训练玩教具（如“属性分类盘”“路径推理棋”）。  </w:t>
      </w:r>
    </w:p>
    <w:p w14:paraId="4A4D312C">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能通过游戏行为分析幼儿认知发展水平（如守恒概念、序列逻辑）。</w:t>
      </w:r>
    </w:p>
    <w:p w14:paraId="39C1E3AF">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 单元八：非游戏活动游戏化  </w:t>
      </w:r>
    </w:p>
    <w:p w14:paraId="7CF2C145">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1. 知识目标  </w:t>
      </w:r>
    </w:p>
    <w:p w14:paraId="2C8BF5BF">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解释“游戏化”的核心要素：挑战、叙事、即时反馈、自主选择。  </w:t>
      </w:r>
    </w:p>
    <w:p w14:paraId="73D3CF0B">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2. 能力目标  </w:t>
      </w:r>
    </w:p>
    <w:p w14:paraId="6AA69CE0">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能将生活环节（整理玩具、洗手）转化为游戏化流程（计时挑战、儿歌任务）。  </w:t>
      </w:r>
    </w:p>
    <w:p w14:paraId="4D04A1E6">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能设计学科融合游戏方案（如“数学寻宝”“科学探秘”）。</w:t>
      </w:r>
    </w:p>
    <w:p w14:paraId="06D83CF2">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 单元九：幼儿亲子游戏  </w:t>
      </w:r>
    </w:p>
    <w:p w14:paraId="7EF2B304">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1. 知识目标  </w:t>
      </w:r>
    </w:p>
    <w:p w14:paraId="6F82BE79">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总结亲子游戏的三大功能：安全依恋建立、家庭文化传递、社会性延伸。  </w:t>
      </w:r>
    </w:p>
    <w:p w14:paraId="5F13D521">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2. 能力目标  </w:t>
      </w:r>
    </w:p>
    <w:p w14:paraId="1BD787D9">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能设计4类亲子游戏方案（运动协作、艺术共创、科学探索、语言互动）。  </w:t>
      </w:r>
    </w:p>
    <w:p w14:paraId="4DA77B98">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能编写《家长游戏指导手册》，包含材料准备、互动话术、常见问题应对。</w:t>
      </w:r>
    </w:p>
    <w:p w14:paraId="55D818D0">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 单元十：幼儿游戏的观察与评价  </w:t>
      </w:r>
    </w:p>
    <w:p w14:paraId="5FADC2C0">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1. 知识目标  </w:t>
      </w:r>
    </w:p>
    <w:p w14:paraId="7BA83A60">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比较游戏观察工具：学习故事（Narrative）vs 检核表（Checklist）的适用场景。  </w:t>
      </w:r>
    </w:p>
    <w:p w14:paraId="6AAD7369">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2. 能力目标  </w:t>
      </w:r>
    </w:p>
    <w:p w14:paraId="1FAB9643">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能运用“PDCA循环”完成游戏观察实践：  </w:t>
      </w:r>
    </w:p>
    <w:p w14:paraId="4D62D498">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计划(Plan)：选定观察焦点（如建构游戏中的合作行为）  </w:t>
      </w:r>
    </w:p>
    <w:p w14:paraId="2B54FB4C">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执行(Do)：使用视频+轶事记录法采集数据  </w:t>
      </w:r>
    </w:p>
    <w:p w14:paraId="3AA5B5E4">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检查(Check)：分析游戏水平（基于Smilansky量表）  </w:t>
      </w:r>
    </w:p>
    <w:p w14:paraId="0A415918">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改进(Act)：提出环境/指导策略优化方案  </w:t>
      </w:r>
    </w:p>
    <w:p w14:paraId="3407E64D">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能撰写专业游戏评价报告，包含发展分析、支持策略、家园共育建议。</w:t>
      </w:r>
    </w:p>
    <w:p w14:paraId="024AA718">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教学实施的建议</w:t>
      </w:r>
    </w:p>
    <w:p w14:paraId="7F134972">
      <w:pPr>
        <w:keepNext w:val="0"/>
        <w:keepLines w:val="0"/>
        <w:pageBreakBefore w:val="0"/>
        <w:widowControl w:val="0"/>
        <w:numPr>
          <w:ilvl w:val="0"/>
          <w:numId w:val="6"/>
        </w:numPr>
        <w:kinsoku/>
        <w:wordWrap/>
        <w:overflowPunct/>
        <w:topLinePunct w:val="0"/>
        <w:autoSpaceDE/>
        <w:autoSpaceDN/>
        <w:bidi w:val="0"/>
        <w:adjustRightInd w:val="0"/>
        <w:snapToGrid w:val="0"/>
        <w:spacing w:line="360" w:lineRule="auto"/>
        <w:ind w:leftChars="0"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教材选用和编写建议</w:t>
      </w:r>
    </w:p>
    <w:p w14:paraId="0F0A6981">
      <w:pPr>
        <w:keepNext w:val="0"/>
        <w:keepLines w:val="0"/>
        <w:pageBreakBefore w:val="0"/>
        <w:widowControl w:val="0"/>
        <w:numPr>
          <w:ilvl w:val="0"/>
          <w:numId w:val="7"/>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教材编写原则与要求：</w:t>
      </w:r>
    </w:p>
    <w:p w14:paraId="7931E7D1">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（1）实践导向原则  </w:t>
      </w:r>
    </w:p>
    <w:p w14:paraId="3E535F1E">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要求：  </w:t>
      </w:r>
    </w:p>
    <w:p w14:paraId="44B5E3E9">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以真实幼儿园游戏场景为案例基底（如区域活动、户外游戏冲突实录）。  </w:t>
      </w:r>
    </w:p>
    <w:p w14:paraId="2CCBB305">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每章设置任务驱动模块（如“设计一个建构游戏方案”“分析某游戏观察视频”）。  </w:t>
      </w:r>
    </w:p>
    <w:p w14:paraId="188C95B7">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技能类知识占比≥60%，减少纯理论堆砌。  </w:t>
      </w:r>
    </w:p>
    <w:p w14:paraId="462ACD93">
      <w:pPr>
        <w:keepNext w:val="0"/>
        <w:keepLines w:val="0"/>
        <w:pageBreakBefore w:val="0"/>
        <w:widowControl w:val="0"/>
        <w:numPr>
          <w:ilvl w:val="0"/>
          <w:numId w:val="8"/>
        </w:numPr>
        <w:kinsoku/>
        <w:wordWrap/>
        <w:overflowPunct/>
        <w:topLinePunct w:val="0"/>
        <w:autoSpaceDE/>
        <w:autoSpaceDN/>
        <w:bidi w:val="0"/>
        <w:adjustRightInd w:val="0"/>
        <w:snapToGrid w:val="0"/>
        <w:spacing w:line="360" w:lineRule="auto"/>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学生中心原则  </w:t>
      </w:r>
    </w:p>
    <w:p w14:paraId="258E4C0E">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要求：  </w:t>
      </w:r>
    </w:p>
    <w:p w14:paraId="785212FA">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语言通俗化，避免学术术语堆砌（例：用“幼儿假装行为”替代“象征性表征”）。  </w:t>
      </w:r>
    </w:p>
    <w:p w14:paraId="5B835FE2">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设置学习阶梯：基础知识→案例解析→技能训练→拓展反思。  </w:t>
      </w:r>
    </w:p>
    <w:p w14:paraId="215BE072">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每章开篇列明能力目标（如“学完本章，你将能：设计角色游戏环境/介入游戏冲突”）。  </w:t>
      </w:r>
    </w:p>
    <w:p w14:paraId="594AFB4E">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（3）科学性与时代性统一原则  </w:t>
      </w:r>
    </w:p>
    <w:p w14:paraId="789BF240">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要求：  </w:t>
      </w:r>
    </w:p>
    <w:p w14:paraId="0424668A">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理论依据注明出处（如引用《3—6岁儿童学习与发展指南》游戏指标）。  </w:t>
      </w:r>
    </w:p>
    <w:p w14:paraId="750EA3A1">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融入前沿实践模式：学习故事（Learning Stories）、生成课程、低结构材料应用。  </w:t>
      </w:r>
    </w:p>
    <w:p w14:paraId="0E591259">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更新传统游戏案例（如增加“编程启蒙游戏”“生态种植游戏”等现代形态）。  </w:t>
      </w:r>
    </w:p>
    <w:p w14:paraId="6D504EC0">
      <w:pPr>
        <w:keepNext w:val="0"/>
        <w:keepLines w:val="0"/>
        <w:pageBreakBefore w:val="0"/>
        <w:widowControl w:val="0"/>
        <w:numPr>
          <w:ilvl w:val="0"/>
          <w:numId w:val="8"/>
        </w:numPr>
        <w:kinsoku/>
        <w:wordWrap/>
        <w:overflowPunct/>
        <w:topLinePunct w:val="0"/>
        <w:autoSpaceDE/>
        <w:autoSpaceDN/>
        <w:bidi w:val="0"/>
        <w:adjustRightInd w:val="0"/>
        <w:snapToGrid w:val="0"/>
        <w:spacing w:line="360" w:lineRule="auto"/>
        <w:ind w:left="0" w:leftChars="0" w:firstLine="0" w:firstLineChars="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文化适应性原则  </w:t>
      </w:r>
    </w:p>
    <w:p w14:paraId="7115D30F">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要求：  </w:t>
      </w:r>
    </w:p>
    <w:p w14:paraId="1EA8E597">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游戏案例体现德宏地区民族文化元素（如传统节庆角色游戏、民间体育游戏、民族故事传说）。  </w:t>
      </w:r>
    </w:p>
    <w:p w14:paraId="015CB686">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强调安全伦理规范（如材料符合GB 6675玩具安全标准）。</w:t>
      </w:r>
    </w:p>
    <w:p w14:paraId="05E50F5E">
      <w:pPr>
        <w:keepNext w:val="0"/>
        <w:keepLines w:val="0"/>
        <w:pageBreakBefore w:val="0"/>
        <w:widowControl w:val="0"/>
        <w:numPr>
          <w:ilvl w:val="0"/>
          <w:numId w:val="7"/>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教材、教学参考资料使用建议：</w:t>
      </w:r>
    </w:p>
    <w:p w14:paraId="4071229B">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教材：吴亭亭、刘静、梁娟主编：《幼儿游戏与指导》，湖南师范大学出版社，2023年版。</w:t>
      </w:r>
    </w:p>
    <w:p w14:paraId="50F8238D">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参考书：梁周全、尚玉芳主编：《幼儿园游戏与指导》，北京师范大学出版社，2011年版；华爱华：《幼儿游戏理论》，上海教育出版社，2003年版；谢应琴、彭涛主编：《学前儿童游戏活动设计与指导项目化教材》，化学工业出版社，2015年版；杨枫主编：《学前儿童游戏》，高等教育出版社，2014年版。</w:t>
      </w:r>
    </w:p>
    <w:p w14:paraId="05D95A44">
      <w:pPr>
        <w:keepNext w:val="0"/>
        <w:keepLines w:val="0"/>
        <w:pageBreakBefore w:val="0"/>
        <w:widowControl w:val="0"/>
        <w:numPr>
          <w:ilvl w:val="0"/>
          <w:numId w:val="6"/>
        </w:numPr>
        <w:kinsoku/>
        <w:wordWrap/>
        <w:overflowPunct/>
        <w:topLinePunct w:val="0"/>
        <w:autoSpaceDE/>
        <w:autoSpaceDN/>
        <w:bidi w:val="0"/>
        <w:adjustRightInd w:val="0"/>
        <w:snapToGrid w:val="0"/>
        <w:spacing w:line="360" w:lineRule="auto"/>
        <w:ind w:left="0" w:leftChars="0"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教学建议</w:t>
      </w:r>
    </w:p>
    <w:p w14:paraId="694593D0">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1、师资条件：需要配备高学历、高素质教师队伍以及对德宏少数民族文化有深刻理解和认识的教师。</w:t>
      </w:r>
    </w:p>
    <w:p w14:paraId="3E55A96D">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教学设施：需要校内实训室、操场及校外幼儿园实践基地开展相关实训课程。在实验实训设备配置中，建议增加一些具有德宏少数民族文化特色的设备和道具，如少数民族传统游戏的玩具、道具、服装等，为学生开展具有民族特色的幼儿游戏实践活动提供物质支持。同时，可以与德宏地区的幼儿园或民族村寨合作，建立校外实践基地，让学生有机会在真实的民族文化环境中进行实践锻炼，提高学生对德宏少数民族文化的理解和应用能力。</w:t>
      </w:r>
    </w:p>
    <w:p w14:paraId="330D614B">
      <w:pPr>
        <w:keepNext w:val="0"/>
        <w:keepLines w:val="0"/>
        <w:pageBreakBefore w:val="0"/>
        <w:widowControl w:val="0"/>
        <w:numPr>
          <w:ilvl w:val="0"/>
          <w:numId w:val="6"/>
        </w:numPr>
        <w:kinsoku/>
        <w:wordWrap/>
        <w:overflowPunct/>
        <w:topLinePunct w:val="0"/>
        <w:autoSpaceDE/>
        <w:autoSpaceDN/>
        <w:bidi w:val="0"/>
        <w:adjustRightInd w:val="0"/>
        <w:snapToGrid w:val="0"/>
        <w:spacing w:line="360" w:lineRule="auto"/>
        <w:ind w:left="0" w:leftChars="0"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课程资源开发与利用</w:t>
      </w:r>
    </w:p>
    <w:p w14:paraId="5D31F9F0">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jc w:val="center"/>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核心资源库建设清单</w:t>
      </w:r>
    </w:p>
    <w:tbl>
      <w:tblPr>
        <w:tblStyle w:val="3"/>
        <w:tblW w:w="5000" w:type="pct"/>
        <w:tblInd w:w="0" w:type="dxa"/>
        <w:tblLayout w:type="autofit"/>
        <w:tblCellMar>
          <w:top w:w="0" w:type="dxa"/>
          <w:left w:w="0" w:type="dxa"/>
          <w:bottom w:w="0" w:type="dxa"/>
          <w:right w:w="0" w:type="dxa"/>
        </w:tblCellMar>
      </w:tblPr>
      <w:tblGrid>
        <w:gridCol w:w="1496"/>
        <w:gridCol w:w="4950"/>
        <w:gridCol w:w="2752"/>
      </w:tblGrid>
      <w:tr w14:paraId="500F65CA">
        <w:tblPrEx>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11FE4D9">
            <w:pPr>
              <w:jc w:val="center"/>
              <w:rPr>
                <w:rFonts w:hint="eastAsia" w:ascii="仿宋" w:hAnsi="仿宋" w:eastAsia="仿宋" w:cs="仿宋"/>
                <w:b/>
              </w:rPr>
            </w:pPr>
            <w:r>
              <w:rPr>
                <w:rFonts w:hint="eastAsia" w:ascii="仿宋" w:hAnsi="仿宋" w:eastAsia="仿宋" w:cs="仿宋"/>
                <w:b/>
              </w:rPr>
              <w:t>资源类型</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F3FCB2C">
            <w:pPr>
              <w:jc w:val="center"/>
              <w:rPr>
                <w:rFonts w:hint="eastAsia" w:ascii="仿宋" w:hAnsi="仿宋" w:eastAsia="仿宋" w:cs="仿宋"/>
                <w:b/>
              </w:rPr>
            </w:pPr>
            <w:r>
              <w:rPr>
                <w:rFonts w:hint="eastAsia" w:ascii="仿宋" w:hAnsi="仿宋" w:eastAsia="仿宋" w:cs="仿宋"/>
                <w:b/>
              </w:rPr>
              <w:t>开发要求</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243C50B">
            <w:pPr>
              <w:jc w:val="center"/>
              <w:rPr>
                <w:rFonts w:hint="eastAsia" w:ascii="仿宋" w:hAnsi="仿宋" w:eastAsia="仿宋" w:cs="仿宋"/>
                <w:b/>
              </w:rPr>
            </w:pPr>
            <w:r>
              <w:rPr>
                <w:rFonts w:hint="eastAsia" w:ascii="仿宋" w:hAnsi="仿宋" w:eastAsia="仿宋" w:cs="仿宋"/>
                <w:b/>
              </w:rPr>
              <w:t>应用场景</w:t>
            </w:r>
          </w:p>
        </w:tc>
      </w:tr>
      <w:tr w14:paraId="2EBB7DA7">
        <w:tblPrEx>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28AD70D">
            <w:pPr>
              <w:jc w:val="left"/>
              <w:rPr>
                <w:rFonts w:hint="eastAsia" w:ascii="仿宋" w:hAnsi="仿宋" w:eastAsia="仿宋" w:cs="仿宋"/>
              </w:rPr>
            </w:pPr>
            <w:r>
              <w:rPr>
                <w:rFonts w:hint="eastAsia" w:ascii="仿宋" w:hAnsi="仿宋" w:eastAsia="仿宋" w:cs="仿宋"/>
              </w:rPr>
              <w:t>1. 游戏案例视频库</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AA83569">
            <w:pPr>
              <w:jc w:val="left"/>
              <w:rPr>
                <w:rFonts w:hint="eastAsia" w:ascii="仿宋" w:hAnsi="仿宋" w:eastAsia="仿宋" w:cs="仿宋"/>
              </w:rPr>
            </w:pPr>
            <w:r>
              <w:rPr>
                <w:rFonts w:hint="eastAsia" w:ascii="仿宋" w:hAnsi="仿宋" w:eastAsia="仿宋" w:cs="仿宋"/>
              </w:rPr>
              <w:t>每个游戏类型（角色/表演/建构等）≥10个实录片段（含正反例对比）</w:t>
            </w:r>
            <w:r>
              <w:rPr>
                <w:rFonts w:hint="eastAsia" w:ascii="仿宋" w:hAnsi="仿宋" w:eastAsia="仿宋" w:cs="仿宋"/>
              </w:rPr>
              <w:br w:type="textWrapping"/>
            </w:r>
            <w:r>
              <w:rPr>
                <w:rFonts w:hint="eastAsia" w:ascii="仿宋" w:hAnsi="仿宋" w:eastAsia="仿宋" w:cs="仿宋"/>
              </w:rPr>
              <w:t>配套结构化分析标签（如“社会性冲突”“材料创新用法”）</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A427BF1">
            <w:pPr>
              <w:jc w:val="left"/>
              <w:rPr>
                <w:rFonts w:hint="eastAsia" w:ascii="仿宋" w:hAnsi="仿宋" w:eastAsia="仿宋" w:cs="仿宋"/>
              </w:rPr>
            </w:pPr>
            <w:r>
              <w:rPr>
                <w:rFonts w:hint="eastAsia" w:ascii="仿宋" w:hAnsi="仿宋" w:eastAsia="仿宋" w:cs="仿宋"/>
              </w:rPr>
              <w:t>课堂诊断训练、微格教学反思</w:t>
            </w:r>
          </w:p>
        </w:tc>
      </w:tr>
      <w:tr w14:paraId="0BE40665">
        <w:tblPrEx>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FCBF8A5">
            <w:pPr>
              <w:jc w:val="left"/>
              <w:rPr>
                <w:rFonts w:hint="eastAsia" w:ascii="仿宋" w:hAnsi="仿宋" w:eastAsia="仿宋" w:cs="仿宋"/>
              </w:rPr>
            </w:pPr>
            <w:r>
              <w:rPr>
                <w:rFonts w:hint="eastAsia" w:ascii="仿宋" w:hAnsi="仿宋" w:eastAsia="仿宋" w:cs="仿宋"/>
              </w:rPr>
              <w:t>2. 环境创设图鉴</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F57E6BF">
            <w:pPr>
              <w:jc w:val="left"/>
              <w:rPr>
                <w:rFonts w:hint="eastAsia" w:ascii="仿宋" w:hAnsi="仿宋" w:eastAsia="仿宋" w:cs="仿宋"/>
              </w:rPr>
            </w:pPr>
            <w:r>
              <w:rPr>
                <w:rFonts w:hint="eastAsia" w:ascii="仿宋" w:hAnsi="仿宋" w:eastAsia="仿宋" w:cs="仿宋"/>
              </w:rPr>
              <w:t>收集100+所幼儿园实景图（区域划分、材料收纳、户外设施）</w:t>
            </w:r>
            <w:r>
              <w:rPr>
                <w:rFonts w:hint="eastAsia" w:ascii="仿宋" w:hAnsi="仿宋" w:eastAsia="仿宋" w:cs="仿宋"/>
              </w:rPr>
              <w:br w:type="textWrapping"/>
            </w:r>
            <w:r>
              <w:rPr>
                <w:rFonts w:hint="eastAsia" w:ascii="仿宋" w:hAnsi="仿宋" w:eastAsia="仿宋" w:cs="仿宋"/>
              </w:rPr>
              <w:t>标注设计要点（如“小班娃娃家半封闭设计”）</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64D17D5">
            <w:pPr>
              <w:jc w:val="left"/>
              <w:rPr>
                <w:rFonts w:hint="eastAsia" w:ascii="仿宋" w:hAnsi="仿宋" w:eastAsia="仿宋" w:cs="仿宋"/>
              </w:rPr>
            </w:pPr>
            <w:r>
              <w:rPr>
                <w:rFonts w:hint="eastAsia" w:ascii="仿宋" w:hAnsi="仿宋" w:eastAsia="仿宋" w:cs="仿宋"/>
              </w:rPr>
              <w:t>环境规划作业参考、实训基地建设依据</w:t>
            </w:r>
          </w:p>
        </w:tc>
      </w:tr>
      <w:tr w14:paraId="601850E7">
        <w:tblPrEx>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32A5DDC">
            <w:pPr>
              <w:jc w:val="left"/>
              <w:rPr>
                <w:rFonts w:hint="eastAsia" w:ascii="仿宋" w:hAnsi="仿宋" w:eastAsia="仿宋" w:cs="仿宋"/>
              </w:rPr>
            </w:pPr>
            <w:r>
              <w:rPr>
                <w:rFonts w:hint="eastAsia" w:ascii="仿宋" w:hAnsi="仿宋" w:eastAsia="仿宋" w:cs="仿宋"/>
              </w:rPr>
              <w:t>3. 实训任务工具箱</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AD0C199">
            <w:pPr>
              <w:jc w:val="left"/>
              <w:rPr>
                <w:rFonts w:hint="eastAsia" w:ascii="仿宋" w:hAnsi="仿宋" w:eastAsia="仿宋" w:cs="仿宋"/>
              </w:rPr>
            </w:pPr>
            <w:r>
              <w:rPr>
                <w:rFonts w:hint="eastAsia" w:ascii="仿宋" w:hAnsi="仿宋" w:eastAsia="仿宋" w:cs="仿宋"/>
              </w:rPr>
              <w:t>单元配套任务包：</w:t>
            </w:r>
            <w:r>
              <w:rPr>
                <w:rFonts w:hint="eastAsia" w:ascii="仿宋" w:hAnsi="仿宋" w:eastAsia="仿宋" w:cs="仿宋"/>
              </w:rPr>
              <w:br w:type="textWrapping"/>
            </w:r>
            <w:r>
              <w:rPr>
                <w:rFonts w:hint="eastAsia" w:ascii="仿宋" w:hAnsi="仿宋" w:eastAsia="仿宋" w:cs="仿宋"/>
              </w:rPr>
              <w:t>▪ 观察工具包（检核表+学习故事模板）</w:t>
            </w:r>
            <w:r>
              <w:rPr>
                <w:rFonts w:hint="eastAsia" w:ascii="仿宋" w:hAnsi="仿宋" w:eastAsia="仿宋" w:cs="仿宋"/>
              </w:rPr>
              <w:br w:type="textWrapping"/>
            </w:r>
            <w:r>
              <w:rPr>
                <w:rFonts w:hint="eastAsia" w:ascii="仿宋" w:hAnsi="仿宋" w:eastAsia="仿宋" w:cs="仿宋"/>
              </w:rPr>
              <w:t>▪ 游戏设计包（方案框架+评价量表）</w:t>
            </w:r>
            <w:r>
              <w:rPr>
                <w:rFonts w:hint="eastAsia" w:ascii="仿宋" w:hAnsi="仿宋" w:eastAsia="仿宋" w:cs="仿宋"/>
              </w:rPr>
              <w:br w:type="textWrapping"/>
            </w:r>
            <w:r>
              <w:rPr>
                <w:rFonts w:hint="eastAsia" w:ascii="仿宋" w:hAnsi="仿宋" w:eastAsia="仿宋" w:cs="仿宋"/>
              </w:rPr>
              <w:t>▪ 安全检测包（材料毒性速查卡）</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F6A2DF4">
            <w:pPr>
              <w:jc w:val="left"/>
              <w:rPr>
                <w:rFonts w:hint="eastAsia" w:ascii="仿宋" w:hAnsi="仿宋" w:eastAsia="仿宋" w:cs="仿宋"/>
              </w:rPr>
            </w:pPr>
            <w:r>
              <w:rPr>
                <w:rFonts w:hint="eastAsia" w:ascii="仿宋" w:hAnsi="仿宋" w:eastAsia="仿宋" w:cs="仿宋"/>
              </w:rPr>
              <w:t>学生实训操作、技能考核材料</w:t>
            </w:r>
          </w:p>
        </w:tc>
      </w:tr>
      <w:tr w14:paraId="16B0A1CC">
        <w:tblPrEx>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310E238">
            <w:pPr>
              <w:jc w:val="left"/>
              <w:rPr>
                <w:rFonts w:hint="eastAsia" w:ascii="仿宋" w:hAnsi="仿宋" w:eastAsia="仿宋" w:cs="仿宋"/>
              </w:rPr>
            </w:pPr>
            <w:r>
              <w:rPr>
                <w:rFonts w:hint="eastAsia" w:ascii="仿宋" w:hAnsi="仿宋" w:eastAsia="仿宋" w:cs="仿宋"/>
              </w:rPr>
              <w:t>4. 法律规范汇编</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746665D">
            <w:pPr>
              <w:jc w:val="left"/>
              <w:rPr>
                <w:rFonts w:hint="eastAsia" w:ascii="仿宋" w:hAnsi="仿宋" w:eastAsia="仿宋" w:cs="仿宋"/>
              </w:rPr>
            </w:pPr>
            <w:r>
              <w:rPr>
                <w:rFonts w:hint="eastAsia" w:ascii="仿宋" w:hAnsi="仿宋" w:eastAsia="仿宋" w:cs="仿宋"/>
              </w:rPr>
              <w:t>整合最新国标文件：</w:t>
            </w:r>
            <w:r>
              <w:rPr>
                <w:rFonts w:hint="eastAsia" w:ascii="仿宋" w:hAnsi="仿宋" w:eastAsia="仿宋" w:cs="仿宋"/>
              </w:rPr>
              <w:br w:type="textWrapping"/>
            </w:r>
            <w:r>
              <w:rPr>
                <w:rFonts w:hint="eastAsia" w:ascii="仿宋" w:hAnsi="仿宋" w:eastAsia="仿宋" w:cs="仿宋"/>
              </w:rPr>
              <w:t>▪ 《幼儿园玩教具配备目录》</w:t>
            </w:r>
            <w:r>
              <w:rPr>
                <w:rFonts w:hint="eastAsia" w:ascii="仿宋" w:hAnsi="仿宋" w:eastAsia="仿宋" w:cs="仿宋"/>
              </w:rPr>
              <w:br w:type="textWrapping"/>
            </w:r>
            <w:r>
              <w:rPr>
                <w:rFonts w:hint="eastAsia" w:ascii="仿宋" w:hAnsi="仿宋" w:eastAsia="仿宋" w:cs="仿宋"/>
              </w:rPr>
              <w:t>▪ 《GBT 28007-2011 游戏场地安全》</w:t>
            </w:r>
            <w:r>
              <w:rPr>
                <w:rFonts w:hint="eastAsia" w:ascii="仿宋" w:hAnsi="仿宋" w:eastAsia="仿宋" w:cs="仿宋"/>
              </w:rPr>
              <w:br w:type="textWrapping"/>
            </w:r>
            <w:r>
              <w:rPr>
                <w:rFonts w:hint="eastAsia" w:ascii="仿宋" w:hAnsi="仿宋" w:eastAsia="仿宋" w:cs="仿宋"/>
              </w:rPr>
              <w:t>▪ 《未成年人保护法》游戏相关条款</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4E0A14E">
            <w:pPr>
              <w:jc w:val="left"/>
              <w:rPr>
                <w:rFonts w:hint="eastAsia" w:ascii="仿宋" w:hAnsi="仿宋" w:eastAsia="仿宋" w:cs="仿宋"/>
              </w:rPr>
            </w:pPr>
            <w:r>
              <w:rPr>
                <w:rFonts w:hint="eastAsia" w:ascii="仿宋" w:hAnsi="仿宋" w:eastAsia="仿宋" w:cs="仿宋"/>
              </w:rPr>
              <w:t>游戏环境安全审查、侵权风险规避</w:t>
            </w:r>
          </w:p>
        </w:tc>
      </w:tr>
      <w:tr w14:paraId="1D7C2EE6">
        <w:tblPrEx>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0EA8033">
            <w:pPr>
              <w:jc w:val="left"/>
              <w:rPr>
                <w:rFonts w:hint="eastAsia" w:ascii="仿宋" w:hAnsi="仿宋" w:eastAsia="仿宋" w:cs="仿宋"/>
              </w:rPr>
            </w:pPr>
            <w:r>
              <w:rPr>
                <w:rFonts w:hint="eastAsia" w:ascii="仿宋" w:hAnsi="仿宋" w:eastAsia="仿宋" w:cs="仿宋"/>
              </w:rPr>
              <w:t>5. 传统文化游戏库</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5823AA7">
            <w:pPr>
              <w:jc w:val="left"/>
              <w:rPr>
                <w:rFonts w:hint="eastAsia" w:ascii="仿宋" w:hAnsi="仿宋" w:eastAsia="仿宋" w:cs="仿宋"/>
              </w:rPr>
            </w:pPr>
            <w:r>
              <w:rPr>
                <w:rFonts w:hint="eastAsia" w:ascii="仿宋" w:hAnsi="仿宋" w:eastAsia="仿宋" w:cs="仿宋"/>
              </w:rPr>
              <w:t>开发20+个民间游戏教案（抽陀螺、翻花绳、踢毽子）</w:t>
            </w:r>
            <w:r>
              <w:rPr>
                <w:rFonts w:hint="eastAsia" w:ascii="仿宋" w:hAnsi="仿宋" w:eastAsia="仿宋" w:cs="仿宋"/>
              </w:rPr>
              <w:br w:type="textWrapping"/>
            </w:r>
            <w:r>
              <w:rPr>
                <w:rFonts w:hint="eastAsia" w:ascii="仿宋" w:hAnsi="仿宋" w:eastAsia="仿宋" w:cs="仿宋"/>
              </w:rPr>
              <w:t>配套文化背景解说视频（非遗传承人演示）</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FDE5A36">
            <w:pPr>
              <w:jc w:val="left"/>
              <w:rPr>
                <w:rFonts w:hint="eastAsia" w:ascii="仿宋" w:hAnsi="仿宋" w:eastAsia="仿宋" w:cs="仿宋"/>
              </w:rPr>
            </w:pPr>
            <w:r>
              <w:rPr>
                <w:rFonts w:hint="eastAsia" w:ascii="仿宋" w:hAnsi="仿宋" w:eastAsia="仿宋" w:cs="仿宋"/>
              </w:rPr>
              <w:t>文化传承教学、亲子活动设计</w:t>
            </w:r>
          </w:p>
        </w:tc>
      </w:tr>
    </w:tbl>
    <w:p w14:paraId="6EE00887">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textAlignment w:val="auto"/>
        <w:rPr>
          <w:rFonts w:hint="eastAsia" w:ascii="仿宋" w:hAnsi="仿宋" w:eastAsia="仿宋" w:cs="仿宋"/>
          <w:b/>
          <w:bCs/>
          <w:sz w:val="32"/>
          <w:szCs w:val="32"/>
          <w:lang w:val="en-US" w:eastAsia="zh-CN"/>
        </w:rPr>
      </w:pPr>
    </w:p>
    <w:p w14:paraId="4E651481">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textAlignment w:val="auto"/>
        <w:rPr>
          <w:rFonts w:hint="eastAsia" w:ascii="仿宋" w:hAnsi="仿宋" w:eastAsia="仿宋" w:cs="仿宋"/>
          <w:b/>
          <w:bCs/>
          <w:sz w:val="32"/>
          <w:szCs w:val="32"/>
          <w:lang w:val="en-US" w:eastAsia="zh-CN"/>
        </w:rPr>
      </w:pPr>
    </w:p>
    <w:p w14:paraId="5391C0C5">
      <w:pPr>
        <w:jc w:val="center"/>
        <w:rPr>
          <w:rFonts w:hint="eastAsia" w:ascii="仿宋" w:hAnsi="仿宋" w:eastAsia="仿宋" w:cs="仿宋"/>
        </w:rPr>
      </w:pPr>
    </w:p>
    <w:p w14:paraId="3A9B125E">
      <w:pPr>
        <w:jc w:val="center"/>
        <w:rPr>
          <w:rFonts w:hint="eastAsia" w:ascii="仿宋" w:hAnsi="仿宋" w:eastAsia="仿宋" w:cs="仿宋"/>
        </w:rPr>
      </w:pPr>
    </w:p>
    <w:p w14:paraId="217915E7">
      <w:pPr>
        <w:jc w:val="center"/>
        <w:rPr>
          <w:rFonts w:hint="eastAsia" w:ascii="仿宋" w:hAnsi="仿宋" w:eastAsia="仿宋" w:cs="仿宋"/>
          <w:sz w:val="32"/>
          <w:szCs w:val="32"/>
        </w:rPr>
      </w:pPr>
      <w:r>
        <w:rPr>
          <w:rFonts w:hint="eastAsia" w:ascii="仿宋" w:hAnsi="仿宋" w:eastAsia="仿宋" w:cs="仿宋"/>
          <w:sz w:val="32"/>
          <w:szCs w:val="32"/>
        </w:rPr>
        <w:t>实体资源开发要求</w:t>
      </w:r>
    </w:p>
    <w:tbl>
      <w:tblPr>
        <w:tblStyle w:val="3"/>
        <w:tblW w:w="5000" w:type="pct"/>
        <w:tblInd w:w="0" w:type="dxa"/>
        <w:tblLayout w:type="autofit"/>
        <w:tblCellMar>
          <w:top w:w="0" w:type="dxa"/>
          <w:left w:w="0" w:type="dxa"/>
          <w:bottom w:w="0" w:type="dxa"/>
          <w:right w:w="0" w:type="dxa"/>
        </w:tblCellMar>
      </w:tblPr>
      <w:tblGrid>
        <w:gridCol w:w="1579"/>
        <w:gridCol w:w="4701"/>
        <w:gridCol w:w="2918"/>
      </w:tblGrid>
      <w:tr w14:paraId="6C71C8FE">
        <w:tblPrEx>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28C87D8">
            <w:pPr>
              <w:jc w:val="center"/>
              <w:rPr>
                <w:rFonts w:hint="eastAsia" w:ascii="仿宋" w:hAnsi="仿宋" w:eastAsia="仿宋" w:cs="仿宋"/>
                <w:b/>
              </w:rPr>
            </w:pPr>
            <w:r>
              <w:rPr>
                <w:rFonts w:hint="eastAsia" w:ascii="仿宋" w:hAnsi="仿宋" w:eastAsia="仿宋" w:cs="仿宋"/>
                <w:b/>
              </w:rPr>
              <w:t>资源名称</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7C36E6F">
            <w:pPr>
              <w:jc w:val="center"/>
              <w:rPr>
                <w:rFonts w:hint="eastAsia" w:ascii="仿宋" w:hAnsi="仿宋" w:eastAsia="仿宋" w:cs="仿宋"/>
                <w:b/>
              </w:rPr>
            </w:pPr>
            <w:r>
              <w:rPr>
                <w:rFonts w:hint="eastAsia" w:ascii="仿宋" w:hAnsi="仿宋" w:eastAsia="仿宋" w:cs="仿宋"/>
                <w:b/>
              </w:rPr>
              <w:t>规格标准</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FBB6F28">
            <w:pPr>
              <w:jc w:val="center"/>
              <w:rPr>
                <w:rFonts w:hint="eastAsia" w:ascii="仿宋" w:hAnsi="仿宋" w:eastAsia="仿宋" w:cs="仿宋"/>
                <w:b/>
              </w:rPr>
            </w:pPr>
            <w:r>
              <w:rPr>
                <w:rFonts w:hint="eastAsia" w:ascii="仿宋" w:hAnsi="仿宋" w:eastAsia="仿宋" w:cs="仿宋"/>
                <w:b/>
              </w:rPr>
              <w:t>教学应用</w:t>
            </w:r>
          </w:p>
        </w:tc>
      </w:tr>
      <w:tr w14:paraId="440FD667">
        <w:tblPrEx>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B78E64B">
            <w:pPr>
              <w:jc w:val="left"/>
              <w:rPr>
                <w:rFonts w:hint="eastAsia" w:ascii="仿宋" w:hAnsi="仿宋" w:eastAsia="仿宋" w:cs="仿宋"/>
              </w:rPr>
            </w:pPr>
            <w:r>
              <w:rPr>
                <w:rFonts w:hint="eastAsia" w:ascii="仿宋" w:hAnsi="仿宋" w:eastAsia="仿宋" w:cs="仿宋"/>
              </w:rPr>
              <w:t>低结构材料箱</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3DFE06E">
            <w:pPr>
              <w:jc w:val="left"/>
              <w:rPr>
                <w:rFonts w:hint="eastAsia" w:ascii="仿宋" w:hAnsi="仿宋" w:eastAsia="仿宋" w:cs="仿宋"/>
              </w:rPr>
            </w:pPr>
            <w:r>
              <w:rPr>
                <w:rFonts w:hint="eastAsia" w:ascii="仿宋" w:hAnsi="仿宋" w:eastAsia="仿宋" w:cs="仿宋"/>
              </w:rPr>
              <w:t>含8类基础材料（纸筒/布料/木片/绳结等）+5种组合范例卡</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964CA90">
            <w:pPr>
              <w:jc w:val="left"/>
              <w:rPr>
                <w:rFonts w:hint="eastAsia" w:ascii="仿宋" w:hAnsi="仿宋" w:eastAsia="仿宋" w:cs="仿宋"/>
              </w:rPr>
            </w:pPr>
            <w:r>
              <w:rPr>
                <w:rFonts w:hint="eastAsia" w:ascii="仿宋" w:hAnsi="仿宋" w:eastAsia="仿宋" w:cs="仿宋"/>
              </w:rPr>
              <w:t>单元二环境创设、单元八游戏化改造</w:t>
            </w:r>
          </w:p>
        </w:tc>
      </w:tr>
      <w:tr w14:paraId="51EF1F4B">
        <w:tblPrEx>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06D252F">
            <w:pPr>
              <w:jc w:val="left"/>
              <w:rPr>
                <w:rFonts w:hint="eastAsia" w:ascii="仿宋" w:hAnsi="仿宋" w:eastAsia="仿宋" w:cs="仿宋"/>
              </w:rPr>
            </w:pPr>
            <w:r>
              <w:rPr>
                <w:rFonts w:hint="eastAsia" w:ascii="仿宋" w:hAnsi="仿宋" w:eastAsia="仿宋" w:cs="仿宋"/>
              </w:rPr>
              <w:t>游戏观察记录包</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B6EC831">
            <w:pPr>
              <w:jc w:val="left"/>
              <w:rPr>
                <w:rFonts w:hint="eastAsia" w:ascii="仿宋" w:hAnsi="仿宋" w:eastAsia="仿宋" w:cs="仿宋"/>
              </w:rPr>
            </w:pPr>
            <w:r>
              <w:rPr>
                <w:rFonts w:hint="eastAsia" w:ascii="仿宋" w:hAnsi="仿宋" w:eastAsia="仿宋" w:cs="仿宋"/>
              </w:rPr>
              <w:t>防水便携本+色标贴纸（红：冲突/蓝：合作/黄：创新行为）</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243B0AA">
            <w:pPr>
              <w:jc w:val="left"/>
              <w:rPr>
                <w:rFonts w:hint="eastAsia" w:ascii="仿宋" w:hAnsi="仿宋" w:eastAsia="仿宋" w:cs="仿宋"/>
              </w:rPr>
            </w:pPr>
            <w:r>
              <w:rPr>
                <w:rFonts w:hint="eastAsia" w:ascii="仿宋" w:hAnsi="仿宋" w:eastAsia="仿宋" w:cs="仿宋"/>
              </w:rPr>
              <w:t>单元十观察实践、田野记录</w:t>
            </w:r>
          </w:p>
        </w:tc>
      </w:tr>
      <w:tr w14:paraId="2C8E6330">
        <w:tblPrEx>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DC1AF6C">
            <w:pPr>
              <w:jc w:val="left"/>
              <w:rPr>
                <w:rFonts w:hint="eastAsia" w:ascii="仿宋" w:hAnsi="仿宋" w:eastAsia="仿宋" w:cs="仿宋"/>
              </w:rPr>
            </w:pPr>
            <w:r>
              <w:rPr>
                <w:rFonts w:hint="eastAsia" w:ascii="仿宋" w:hAnsi="仿宋" w:eastAsia="仿宋" w:cs="仿宋"/>
              </w:rPr>
              <w:t>安全教具检测仪</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5BA67D8">
            <w:pPr>
              <w:jc w:val="left"/>
              <w:rPr>
                <w:rFonts w:hint="eastAsia" w:ascii="仿宋" w:hAnsi="仿宋" w:eastAsia="仿宋" w:cs="仿宋"/>
              </w:rPr>
            </w:pPr>
            <w:r>
              <w:rPr>
                <w:rFonts w:hint="eastAsia" w:ascii="仿宋" w:hAnsi="仿宋" w:eastAsia="仿宋" w:cs="仿宋"/>
              </w:rPr>
              <w:t>便携式材料毒性检测笔（测甲醛/重金属）+使用教程视频</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A6F1820">
            <w:pPr>
              <w:jc w:val="left"/>
              <w:rPr>
                <w:rFonts w:hint="eastAsia" w:ascii="仿宋" w:hAnsi="仿宋" w:eastAsia="仿宋" w:cs="仿宋"/>
              </w:rPr>
            </w:pPr>
            <w:r>
              <w:rPr>
                <w:rFonts w:hint="eastAsia" w:ascii="仿宋" w:hAnsi="仿宋" w:eastAsia="仿宋" w:cs="仿宋"/>
              </w:rPr>
              <w:t>单元二材料投放前的安全筛查</w:t>
            </w:r>
          </w:p>
        </w:tc>
      </w:tr>
      <w:tr w14:paraId="354F339B">
        <w:tblPrEx>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E9AC7C7">
            <w:pPr>
              <w:jc w:val="left"/>
              <w:rPr>
                <w:rFonts w:hint="eastAsia" w:ascii="仿宋" w:hAnsi="仿宋" w:eastAsia="仿宋" w:cs="仿宋"/>
              </w:rPr>
            </w:pPr>
            <w:r>
              <w:rPr>
                <w:rFonts w:hint="eastAsia" w:ascii="仿宋" w:hAnsi="仿宋" w:eastAsia="仿宋" w:cs="仿宋"/>
              </w:rPr>
              <w:t>传统游戏实物套组</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4453A1F">
            <w:pPr>
              <w:jc w:val="left"/>
              <w:rPr>
                <w:rFonts w:hint="eastAsia" w:ascii="仿宋" w:hAnsi="仿宋" w:eastAsia="仿宋" w:cs="仿宋"/>
              </w:rPr>
            </w:pPr>
            <w:r>
              <w:rPr>
                <w:rFonts w:hint="eastAsia" w:ascii="仿宋" w:hAnsi="仿宋" w:eastAsia="仿宋" w:cs="仿宋"/>
              </w:rPr>
              <w:t>竹蜻蜓+七巧板+沙包+皮影戏道具，附非遗工艺卡片</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90CF445">
            <w:pPr>
              <w:jc w:val="left"/>
              <w:rPr>
                <w:rFonts w:hint="eastAsia" w:ascii="仿宋" w:hAnsi="仿宋" w:eastAsia="仿宋" w:cs="仿宋"/>
              </w:rPr>
            </w:pPr>
            <w:r>
              <w:rPr>
                <w:rFonts w:hint="eastAsia" w:ascii="仿宋" w:hAnsi="仿宋" w:eastAsia="仿宋" w:cs="仿宋"/>
              </w:rPr>
              <w:t>单元九亲子活动、文化体验课</w:t>
            </w:r>
          </w:p>
        </w:tc>
      </w:tr>
    </w:tbl>
    <w:p w14:paraId="1444FC87">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textAlignment w:val="auto"/>
        <w:rPr>
          <w:rFonts w:hint="eastAsia" w:ascii="仿宋" w:hAnsi="仿宋" w:eastAsia="仿宋" w:cs="仿宋"/>
          <w:b/>
          <w:bCs/>
          <w:sz w:val="32"/>
          <w:szCs w:val="32"/>
          <w:lang w:val="en-US" w:eastAsia="zh-CN"/>
        </w:rPr>
      </w:pPr>
    </w:p>
    <w:p w14:paraId="170F4702">
      <w:pPr>
        <w:keepNext w:val="0"/>
        <w:keepLines w:val="0"/>
        <w:pageBreakBefore w:val="0"/>
        <w:widowControl w:val="0"/>
        <w:numPr>
          <w:ilvl w:val="0"/>
          <w:numId w:val="6"/>
        </w:numPr>
        <w:kinsoku/>
        <w:wordWrap/>
        <w:overflowPunct/>
        <w:topLinePunct w:val="0"/>
        <w:autoSpaceDE/>
        <w:autoSpaceDN/>
        <w:bidi w:val="0"/>
        <w:adjustRightInd w:val="0"/>
        <w:snapToGrid w:val="0"/>
        <w:spacing w:line="360" w:lineRule="auto"/>
        <w:ind w:left="0" w:leftChars="0"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其他说明</w:t>
      </w:r>
    </w:p>
    <w:p w14:paraId="7EE6A566">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具体教学方法建议如下：</w:t>
      </w:r>
    </w:p>
    <w:p w14:paraId="01C955D3">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1.工作过程导向法</w:t>
      </w:r>
    </w:p>
    <w:p w14:paraId="05CECE2D">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以幼儿园游戏指导的要求为导向选取几个具有连贯性的典型工作任务来组织教学，在提出工作任务后，让学生依次完成理论讲述、室内外环境的创设、教玩具制作、游戏观察记录和指导方案。</w:t>
      </w:r>
    </w:p>
    <w:p w14:paraId="2EDBBBF6">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2.任务驱动教学法</w:t>
      </w:r>
    </w:p>
    <w:p w14:paraId="1A048FFF">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每一阶段完成的任务有所不同，由于涉及到不同年龄阶段的不同要求，无法一气呵成形成一个任务，但会根据教学内容的安排，设定相应的任务，以任务驱动学生积极主动地进行实践操作。</w:t>
      </w:r>
    </w:p>
    <w:p w14:paraId="39FF1558">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3.角色体验法</w:t>
      </w:r>
    </w:p>
    <w:p w14:paraId="30103B8F">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如在游戏观察的过程中让学生扮演幼儿或教师等角色，通过互动模拟游戏场景，让学生掌握对于一些游戏行为应如何进行观察和指导。</w:t>
      </w:r>
    </w:p>
    <w:p w14:paraId="6785946E">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4.案例教学法</w:t>
      </w:r>
    </w:p>
    <w:p w14:paraId="16F465D0">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对于理论知识部分内容的讲述中，应充分考虑同学的特点，推行案例教学方法，选取与幼儿游戏相关的思想政治教育案例，如幼儿在游戏中表现出的团结友爱、助人为乐等行为，引导学生进行分析和讨论，让学生理解社会主义核心价值观在幼儿游戏中的体现，通过这些幼儿园的真实案例进行分析，尽可能让学生掌握更多幼儿园教学的真实情况。</w:t>
      </w:r>
    </w:p>
    <w:p w14:paraId="3F8865CE">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5. 民族游戏体验法：利用视频、图片、音频等多媒体资源，展示德宏少数民族传统游戏的精彩瞬间和文化特色，增强学生对少数民族文化的感性认识。在课堂上开展民族游戏体验活动，让学生亲自参与少数民族传统游戏的玩耍，感受游戏的乐趣和文化内涵。</w:t>
      </w:r>
    </w:p>
    <w:p w14:paraId="4CA7FDE5">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教学评价和考核要求</w:t>
      </w:r>
    </w:p>
    <w:p w14:paraId="69BDFCD0">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一）考核方式：本课程有四个考核项目，主要考核评价学生对儿童游戏理论及其基本概念的理解；对学前儿童游戏特点、游戏设计与指导的方法和基本教学技能的掌握，以及运用所学的基本知识分析问题、解决问题的能力。</w:t>
      </w:r>
    </w:p>
    <w:p w14:paraId="612C5582">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考核评价包括考试、技能展示、活动方案设计、作业、提问和态度测评等方面，采用平时考核和期末闭卷考试相结合的形式，其中平时表现占10%，小组作业占25%，下园作业占5%，期末考试成绩占60%，总计100分。</w:t>
      </w:r>
    </w:p>
    <w:p w14:paraId="63198A55">
      <w:pPr>
        <w:keepNext w:val="0"/>
        <w:keepLines w:val="0"/>
        <w:pageBreakBefore w:val="0"/>
        <w:widowControl w:val="0"/>
        <w:numPr>
          <w:ilvl w:val="0"/>
          <w:numId w:val="5"/>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评价标准：</w:t>
      </w:r>
    </w:p>
    <w:p w14:paraId="1B5616E3">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200" w:firstLine="321" w:firstLineChars="1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考核项目一：综合表演技能</w:t>
      </w:r>
    </w:p>
    <w:p w14:paraId="21069327">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类型：小组作业</w:t>
      </w:r>
    </w:p>
    <w:p w14:paraId="2527C616">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形式：幼儿园课堂模拟</w:t>
      </w:r>
    </w:p>
    <w:p w14:paraId="5ED54408">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分值：25%</w:t>
      </w:r>
    </w:p>
    <w:p w14:paraId="52E715B5">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考核项目二：下园作业</w:t>
      </w:r>
    </w:p>
    <w:p w14:paraId="7A2E7385">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类型：个人作业</w:t>
      </w:r>
    </w:p>
    <w:p w14:paraId="37116342">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形式：提交报告</w:t>
      </w:r>
    </w:p>
    <w:p w14:paraId="3F07CA87">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分值：5%</w:t>
      </w:r>
    </w:p>
    <w:p w14:paraId="2178B58E">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考核项目三：综合知识考核</w:t>
      </w:r>
    </w:p>
    <w:p w14:paraId="390AA341">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类型：期末考试</w:t>
      </w:r>
    </w:p>
    <w:p w14:paraId="1C389134">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形式：闭卷</w:t>
      </w:r>
    </w:p>
    <w:p w14:paraId="76203ACE">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分值：60%</w:t>
      </w:r>
    </w:p>
    <w:p w14:paraId="5F957E7E">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课程思政元素融入</w:t>
      </w:r>
    </w:p>
    <w:tbl>
      <w:tblPr>
        <w:tblStyle w:val="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754"/>
        <w:gridCol w:w="1200"/>
        <w:gridCol w:w="1170"/>
        <w:gridCol w:w="2273"/>
      </w:tblGrid>
      <w:tr w14:paraId="3E5864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4754" w:type="dxa"/>
            <w:noWrap w:val="0"/>
            <w:vAlign w:val="center"/>
          </w:tcPr>
          <w:p w14:paraId="167FA798">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教学内容</w:t>
            </w:r>
          </w:p>
        </w:tc>
        <w:tc>
          <w:tcPr>
            <w:tcW w:w="1200" w:type="dxa"/>
            <w:noWrap w:val="0"/>
            <w:vAlign w:val="center"/>
          </w:tcPr>
          <w:p w14:paraId="27097E80">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理论课时</w:t>
            </w:r>
          </w:p>
        </w:tc>
        <w:tc>
          <w:tcPr>
            <w:tcW w:w="1170" w:type="dxa"/>
            <w:noWrap w:val="0"/>
            <w:vAlign w:val="center"/>
          </w:tcPr>
          <w:p w14:paraId="289D0B0F">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实训课时</w:t>
            </w:r>
          </w:p>
        </w:tc>
        <w:tc>
          <w:tcPr>
            <w:tcW w:w="2273" w:type="dxa"/>
            <w:noWrap w:val="0"/>
            <w:vAlign w:val="center"/>
          </w:tcPr>
          <w:p w14:paraId="6362D8C1">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K" w:cs="Times New Roman"/>
                <w:sz w:val="24"/>
                <w:szCs w:val="24"/>
                <w:lang w:val="en-US" w:eastAsia="zh-CN"/>
              </w:rPr>
            </w:pPr>
            <w:r>
              <w:rPr>
                <w:rFonts w:hint="eastAsia" w:ascii="Times New Roman" w:hAnsi="Times New Roman" w:eastAsia="方正仿宋_GBK" w:cs="Times New Roman"/>
                <w:sz w:val="24"/>
                <w:szCs w:val="24"/>
                <w:lang w:val="en-US" w:eastAsia="zh-CN"/>
              </w:rPr>
              <w:t>课程思政元素融入</w:t>
            </w:r>
          </w:p>
        </w:tc>
      </w:tr>
      <w:tr w14:paraId="378644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4754" w:type="dxa"/>
            <w:noWrap w:val="0"/>
            <w:vAlign w:val="center"/>
          </w:tcPr>
          <w:p w14:paraId="4121AF3E">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方正仿宋_GBK" w:cs="Times New Roman"/>
                <w:sz w:val="24"/>
                <w:szCs w:val="24"/>
                <w:lang w:val="en-US" w:eastAsia="zh-Hans"/>
              </w:rPr>
            </w:pPr>
            <w:r>
              <w:rPr>
                <w:rFonts w:hint="default" w:ascii="Times New Roman" w:hAnsi="Times New Roman" w:eastAsia="方正仿宋_GBK" w:cs="Times New Roman"/>
                <w:sz w:val="24"/>
                <w:szCs w:val="24"/>
              </w:rPr>
              <w:t xml:space="preserve">第一单元  </w:t>
            </w:r>
            <w:r>
              <w:rPr>
                <w:rFonts w:hint="default" w:ascii="Times New Roman" w:hAnsi="Times New Roman" w:eastAsia="方正仿宋_GBK" w:cs="Times New Roman"/>
                <w:sz w:val="24"/>
                <w:szCs w:val="24"/>
                <w:lang w:val="en-US" w:eastAsia="zh-Hans"/>
              </w:rPr>
              <w:t>幼儿游戏概述</w:t>
            </w:r>
          </w:p>
        </w:tc>
        <w:tc>
          <w:tcPr>
            <w:tcW w:w="1200" w:type="dxa"/>
            <w:noWrap w:val="0"/>
            <w:vAlign w:val="center"/>
          </w:tcPr>
          <w:p w14:paraId="6E883F23">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2</w:t>
            </w:r>
          </w:p>
        </w:tc>
        <w:tc>
          <w:tcPr>
            <w:tcW w:w="1170" w:type="dxa"/>
            <w:noWrap w:val="0"/>
            <w:vAlign w:val="center"/>
          </w:tcPr>
          <w:p w14:paraId="4E14FF63">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K" w:cs="Times New Roman"/>
                <w:sz w:val="24"/>
                <w:szCs w:val="24"/>
              </w:rPr>
            </w:pPr>
          </w:p>
        </w:tc>
        <w:tc>
          <w:tcPr>
            <w:tcW w:w="2273" w:type="dxa"/>
            <w:noWrap w:val="0"/>
            <w:vAlign w:val="center"/>
          </w:tcPr>
          <w:p w14:paraId="69957ACF">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K" w:cs="Times New Roman"/>
                <w:sz w:val="24"/>
                <w:szCs w:val="24"/>
              </w:rPr>
            </w:pPr>
          </w:p>
        </w:tc>
      </w:tr>
      <w:tr w14:paraId="16493F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4754" w:type="dxa"/>
            <w:noWrap w:val="0"/>
            <w:vAlign w:val="center"/>
          </w:tcPr>
          <w:p w14:paraId="3FEC465F">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方正仿宋_GBK" w:cs="Times New Roman"/>
                <w:sz w:val="24"/>
                <w:szCs w:val="24"/>
                <w:lang w:val="en-US" w:eastAsia="zh-Hans"/>
              </w:rPr>
            </w:pPr>
            <w:r>
              <w:rPr>
                <w:rFonts w:hint="default" w:ascii="Times New Roman" w:hAnsi="Times New Roman" w:eastAsia="方正仿宋_GBK" w:cs="Times New Roman"/>
                <w:sz w:val="24"/>
                <w:szCs w:val="24"/>
              </w:rPr>
              <w:t xml:space="preserve">第二单元  </w:t>
            </w:r>
            <w:r>
              <w:rPr>
                <w:rFonts w:hint="default" w:ascii="Times New Roman" w:hAnsi="Times New Roman" w:eastAsia="方正仿宋_GBK" w:cs="Times New Roman"/>
                <w:sz w:val="24"/>
                <w:szCs w:val="24"/>
                <w:lang w:val="en-US" w:eastAsia="zh-Hans"/>
              </w:rPr>
              <w:t>幼儿园游戏环境创设</w:t>
            </w:r>
          </w:p>
        </w:tc>
        <w:tc>
          <w:tcPr>
            <w:tcW w:w="1200" w:type="dxa"/>
            <w:noWrap w:val="0"/>
            <w:vAlign w:val="center"/>
          </w:tcPr>
          <w:p w14:paraId="45ABA238">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2</w:t>
            </w:r>
          </w:p>
        </w:tc>
        <w:tc>
          <w:tcPr>
            <w:tcW w:w="1170" w:type="dxa"/>
            <w:noWrap w:val="0"/>
            <w:vAlign w:val="center"/>
          </w:tcPr>
          <w:p w14:paraId="3F5BD7CD">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方正仿宋_GBK" w:cs="Times New Roman"/>
                <w:sz w:val="24"/>
                <w:szCs w:val="24"/>
                <w:lang w:eastAsia="zh-CN"/>
              </w:rPr>
            </w:pPr>
            <w:r>
              <w:rPr>
                <w:rFonts w:hint="eastAsia" w:ascii="Times New Roman" w:hAnsi="Times New Roman" w:eastAsia="方正仿宋_GBK" w:cs="Times New Roman"/>
                <w:sz w:val="24"/>
                <w:szCs w:val="24"/>
                <w:lang w:eastAsia="zh-CN"/>
              </w:rPr>
              <w:t>4</w:t>
            </w:r>
          </w:p>
        </w:tc>
        <w:tc>
          <w:tcPr>
            <w:tcW w:w="2273" w:type="dxa"/>
            <w:noWrap w:val="0"/>
            <w:vAlign w:val="center"/>
          </w:tcPr>
          <w:p w14:paraId="7980E81C">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K" w:cs="Times New Roman"/>
                <w:sz w:val="24"/>
                <w:szCs w:val="24"/>
                <w:lang w:val="en-US" w:eastAsia="zh-CN"/>
              </w:rPr>
            </w:pPr>
            <w:r>
              <w:rPr>
                <w:rFonts w:hint="eastAsia" w:ascii="Times New Roman" w:hAnsi="Times New Roman" w:eastAsia="方正仿宋_GBK" w:cs="Times New Roman"/>
                <w:sz w:val="24"/>
                <w:szCs w:val="24"/>
                <w:lang w:val="en-US" w:eastAsia="zh-CN"/>
              </w:rPr>
              <w:t>结合传统节日文化安排实训作业</w:t>
            </w:r>
          </w:p>
        </w:tc>
      </w:tr>
      <w:tr w14:paraId="74EB33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4754" w:type="dxa"/>
            <w:noWrap w:val="0"/>
            <w:vAlign w:val="center"/>
          </w:tcPr>
          <w:p w14:paraId="33B7FA8A">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方正仿宋_GBK" w:cs="Times New Roman"/>
                <w:sz w:val="24"/>
                <w:szCs w:val="24"/>
                <w:lang w:val="en-US" w:eastAsia="zh-Hans"/>
              </w:rPr>
            </w:pPr>
            <w:r>
              <w:rPr>
                <w:rFonts w:hint="default" w:ascii="Times New Roman" w:hAnsi="Times New Roman" w:eastAsia="方正仿宋_GBK" w:cs="Times New Roman"/>
                <w:sz w:val="24"/>
                <w:szCs w:val="24"/>
              </w:rPr>
              <w:t xml:space="preserve">第三单元  </w:t>
            </w:r>
            <w:r>
              <w:rPr>
                <w:rFonts w:hint="default" w:ascii="Times New Roman" w:hAnsi="Times New Roman" w:eastAsia="方正仿宋_GBK" w:cs="Times New Roman"/>
                <w:sz w:val="24"/>
                <w:szCs w:val="24"/>
                <w:lang w:val="en-US" w:eastAsia="zh-Hans"/>
              </w:rPr>
              <w:t>角色游戏</w:t>
            </w:r>
          </w:p>
        </w:tc>
        <w:tc>
          <w:tcPr>
            <w:tcW w:w="1200" w:type="dxa"/>
            <w:noWrap w:val="0"/>
            <w:vAlign w:val="center"/>
          </w:tcPr>
          <w:p w14:paraId="7004CE82">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4</w:t>
            </w:r>
          </w:p>
        </w:tc>
        <w:tc>
          <w:tcPr>
            <w:tcW w:w="1170" w:type="dxa"/>
            <w:noWrap w:val="0"/>
            <w:vAlign w:val="center"/>
          </w:tcPr>
          <w:p w14:paraId="12C44F15">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方正仿宋_GBK" w:cs="Times New Roman"/>
                <w:sz w:val="24"/>
                <w:szCs w:val="24"/>
                <w:lang w:eastAsia="zh-CN"/>
              </w:rPr>
            </w:pPr>
            <w:r>
              <w:rPr>
                <w:rFonts w:hint="eastAsia" w:ascii="Times New Roman" w:hAnsi="Times New Roman" w:eastAsia="方正仿宋_GBK" w:cs="Times New Roman"/>
                <w:sz w:val="24"/>
                <w:szCs w:val="24"/>
                <w:lang w:val="en-US" w:eastAsia="zh-CN"/>
              </w:rPr>
              <w:t>4</w:t>
            </w:r>
          </w:p>
        </w:tc>
        <w:tc>
          <w:tcPr>
            <w:tcW w:w="2273" w:type="dxa"/>
            <w:noWrap w:val="0"/>
            <w:vAlign w:val="center"/>
          </w:tcPr>
          <w:p w14:paraId="5DD0AEF8">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K" w:cs="Times New Roman"/>
                <w:sz w:val="24"/>
                <w:szCs w:val="24"/>
                <w:lang w:val="en-US" w:eastAsia="zh-CN"/>
              </w:rPr>
            </w:pPr>
            <w:r>
              <w:rPr>
                <w:rFonts w:hint="eastAsia" w:ascii="Times New Roman" w:hAnsi="Times New Roman" w:eastAsia="方正仿宋_GBK" w:cs="Times New Roman"/>
                <w:sz w:val="24"/>
                <w:szCs w:val="24"/>
                <w:lang w:val="en-US" w:eastAsia="zh-CN"/>
              </w:rPr>
              <w:t>融入德宏民族文化、非遗文化</w:t>
            </w:r>
          </w:p>
        </w:tc>
      </w:tr>
      <w:tr w14:paraId="62B306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4754" w:type="dxa"/>
            <w:noWrap w:val="0"/>
            <w:vAlign w:val="center"/>
          </w:tcPr>
          <w:p w14:paraId="3CEB7F7A">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方正仿宋_GBK" w:cs="Times New Roman"/>
                <w:sz w:val="24"/>
                <w:szCs w:val="24"/>
                <w:lang w:eastAsia="zh-Hans"/>
              </w:rPr>
            </w:pPr>
            <w:r>
              <w:rPr>
                <w:rFonts w:hint="default" w:ascii="Times New Roman" w:hAnsi="Times New Roman" w:eastAsia="方正仿宋_GBK" w:cs="Times New Roman"/>
                <w:sz w:val="24"/>
                <w:szCs w:val="24"/>
              </w:rPr>
              <w:t xml:space="preserve">第四单元  </w:t>
            </w:r>
            <w:r>
              <w:rPr>
                <w:rFonts w:hint="default" w:ascii="Times New Roman" w:hAnsi="Times New Roman" w:eastAsia="方正仿宋_GBK" w:cs="Times New Roman"/>
                <w:sz w:val="24"/>
                <w:szCs w:val="24"/>
                <w:lang w:val="en-US" w:eastAsia="zh-Hans"/>
              </w:rPr>
              <w:t>表演游戏</w:t>
            </w:r>
          </w:p>
        </w:tc>
        <w:tc>
          <w:tcPr>
            <w:tcW w:w="1200" w:type="dxa"/>
            <w:noWrap w:val="0"/>
            <w:vAlign w:val="center"/>
          </w:tcPr>
          <w:p w14:paraId="7E1A8D36">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4</w:t>
            </w:r>
          </w:p>
        </w:tc>
        <w:tc>
          <w:tcPr>
            <w:tcW w:w="1170" w:type="dxa"/>
            <w:noWrap w:val="0"/>
            <w:vAlign w:val="center"/>
          </w:tcPr>
          <w:p w14:paraId="23C45D50">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方正仿宋_GBK" w:cs="Times New Roman"/>
                <w:sz w:val="24"/>
                <w:szCs w:val="24"/>
                <w:lang w:val="en-US" w:eastAsia="zh-CN"/>
              </w:rPr>
            </w:pPr>
            <w:r>
              <w:rPr>
                <w:rFonts w:hint="eastAsia" w:ascii="Times New Roman" w:hAnsi="Times New Roman" w:eastAsia="方正仿宋_GBK" w:cs="Times New Roman"/>
                <w:sz w:val="24"/>
                <w:szCs w:val="24"/>
                <w:lang w:val="en-US" w:eastAsia="zh-CN"/>
              </w:rPr>
              <w:t>4</w:t>
            </w:r>
          </w:p>
        </w:tc>
        <w:tc>
          <w:tcPr>
            <w:tcW w:w="2273" w:type="dxa"/>
            <w:noWrap w:val="0"/>
            <w:vAlign w:val="center"/>
          </w:tcPr>
          <w:p w14:paraId="24E9DF2C">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综合表演技能考核</w:t>
            </w:r>
          </w:p>
        </w:tc>
      </w:tr>
      <w:tr w14:paraId="1BE301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4754" w:type="dxa"/>
            <w:noWrap w:val="0"/>
            <w:vAlign w:val="center"/>
          </w:tcPr>
          <w:p w14:paraId="2E143801">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方正仿宋_GBK" w:cs="Times New Roman"/>
                <w:sz w:val="24"/>
                <w:szCs w:val="24"/>
                <w:lang w:val="en-US" w:eastAsia="zh-Hans"/>
              </w:rPr>
            </w:pPr>
            <w:r>
              <w:rPr>
                <w:rFonts w:hint="default" w:ascii="Times New Roman" w:hAnsi="Times New Roman" w:eastAsia="方正仿宋_GBK" w:cs="Times New Roman"/>
                <w:sz w:val="24"/>
                <w:szCs w:val="24"/>
                <w:lang w:val="en-US" w:eastAsia="zh-Hans"/>
              </w:rPr>
              <w:t>第五单元</w:t>
            </w:r>
            <w:r>
              <w:rPr>
                <w:rFonts w:hint="default" w:ascii="Times New Roman" w:hAnsi="Times New Roman" w:eastAsia="方正仿宋_GBK" w:cs="Times New Roman"/>
                <w:sz w:val="24"/>
                <w:szCs w:val="24"/>
                <w:lang w:eastAsia="zh-Hans"/>
              </w:rPr>
              <w:t xml:space="preserve">  </w:t>
            </w:r>
            <w:r>
              <w:rPr>
                <w:rFonts w:hint="default" w:ascii="Times New Roman" w:hAnsi="Times New Roman" w:eastAsia="方正仿宋_GBK" w:cs="Times New Roman"/>
                <w:sz w:val="24"/>
                <w:szCs w:val="24"/>
                <w:lang w:val="en-US" w:eastAsia="zh-Hans"/>
              </w:rPr>
              <w:t>建构游戏</w:t>
            </w:r>
          </w:p>
        </w:tc>
        <w:tc>
          <w:tcPr>
            <w:tcW w:w="1200" w:type="dxa"/>
            <w:noWrap w:val="0"/>
            <w:vAlign w:val="center"/>
          </w:tcPr>
          <w:p w14:paraId="0EACFC45">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4</w:t>
            </w:r>
          </w:p>
        </w:tc>
        <w:tc>
          <w:tcPr>
            <w:tcW w:w="1170" w:type="dxa"/>
            <w:noWrap w:val="0"/>
            <w:vAlign w:val="center"/>
          </w:tcPr>
          <w:p w14:paraId="35BBFB38">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方正仿宋_GBK" w:cs="Times New Roman"/>
                <w:sz w:val="24"/>
                <w:szCs w:val="24"/>
                <w:lang w:val="en-US" w:eastAsia="zh-CN"/>
              </w:rPr>
            </w:pPr>
            <w:r>
              <w:rPr>
                <w:rFonts w:hint="eastAsia" w:ascii="Times New Roman" w:hAnsi="Times New Roman" w:eastAsia="方正仿宋_GBK" w:cs="Times New Roman"/>
                <w:sz w:val="24"/>
                <w:szCs w:val="24"/>
                <w:lang w:val="en-US" w:eastAsia="zh-CN"/>
              </w:rPr>
              <w:t>4</w:t>
            </w:r>
          </w:p>
        </w:tc>
        <w:tc>
          <w:tcPr>
            <w:tcW w:w="2273" w:type="dxa"/>
            <w:noWrap w:val="0"/>
            <w:vAlign w:val="center"/>
          </w:tcPr>
          <w:p w14:paraId="4670EDF1">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K" w:cs="Times New Roman"/>
                <w:sz w:val="24"/>
                <w:szCs w:val="24"/>
                <w:lang w:val="en-US" w:eastAsia="zh-CN"/>
              </w:rPr>
            </w:pPr>
            <w:r>
              <w:rPr>
                <w:rFonts w:hint="eastAsia" w:ascii="Times New Roman" w:hAnsi="Times New Roman" w:eastAsia="方正仿宋_GBK" w:cs="Times New Roman"/>
                <w:sz w:val="24"/>
                <w:szCs w:val="24"/>
                <w:lang w:val="en-US" w:eastAsia="zh-CN"/>
              </w:rPr>
              <w:t>搭建红色建筑、结合民族文化</w:t>
            </w:r>
          </w:p>
        </w:tc>
      </w:tr>
      <w:tr w14:paraId="6A69B9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4754" w:type="dxa"/>
            <w:noWrap w:val="0"/>
            <w:vAlign w:val="center"/>
          </w:tcPr>
          <w:p w14:paraId="2A053A60">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方正仿宋_GBK" w:cs="Times New Roman"/>
                <w:sz w:val="24"/>
                <w:szCs w:val="24"/>
                <w:lang w:val="en-US" w:eastAsia="zh-Hans"/>
              </w:rPr>
            </w:pPr>
            <w:r>
              <w:rPr>
                <w:rFonts w:hint="default" w:ascii="Times New Roman" w:hAnsi="Times New Roman" w:eastAsia="方正仿宋_GBK" w:cs="Times New Roman"/>
                <w:sz w:val="24"/>
                <w:szCs w:val="24"/>
              </w:rPr>
              <w:t>第</w:t>
            </w:r>
            <w:r>
              <w:rPr>
                <w:rFonts w:hint="default" w:ascii="Times New Roman" w:hAnsi="Times New Roman" w:eastAsia="方正仿宋_GBK" w:cs="Times New Roman"/>
                <w:sz w:val="24"/>
                <w:szCs w:val="24"/>
                <w:lang w:val="en-US" w:eastAsia="zh-Hans"/>
              </w:rPr>
              <w:t>六</w:t>
            </w:r>
            <w:r>
              <w:rPr>
                <w:rFonts w:hint="default" w:ascii="Times New Roman" w:hAnsi="Times New Roman" w:eastAsia="方正仿宋_GBK" w:cs="Times New Roman"/>
                <w:sz w:val="24"/>
                <w:szCs w:val="24"/>
              </w:rPr>
              <w:t xml:space="preserve">单元  </w:t>
            </w:r>
            <w:r>
              <w:rPr>
                <w:rFonts w:hint="default" w:ascii="Times New Roman" w:hAnsi="Times New Roman" w:eastAsia="方正仿宋_GBK" w:cs="Times New Roman"/>
                <w:sz w:val="24"/>
                <w:szCs w:val="24"/>
                <w:lang w:val="en-US" w:eastAsia="zh-Hans"/>
              </w:rPr>
              <w:t>体育游戏</w:t>
            </w:r>
          </w:p>
        </w:tc>
        <w:tc>
          <w:tcPr>
            <w:tcW w:w="1200" w:type="dxa"/>
            <w:noWrap w:val="0"/>
            <w:vAlign w:val="center"/>
          </w:tcPr>
          <w:p w14:paraId="678A346C">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4</w:t>
            </w:r>
          </w:p>
        </w:tc>
        <w:tc>
          <w:tcPr>
            <w:tcW w:w="1170" w:type="dxa"/>
            <w:noWrap w:val="0"/>
            <w:vAlign w:val="center"/>
          </w:tcPr>
          <w:p w14:paraId="40658086">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方正仿宋_GBK" w:cs="Times New Roman"/>
                <w:sz w:val="24"/>
                <w:szCs w:val="24"/>
                <w:lang w:val="en-US" w:eastAsia="zh-CN"/>
              </w:rPr>
            </w:pPr>
            <w:r>
              <w:rPr>
                <w:rFonts w:hint="eastAsia" w:ascii="Times New Roman" w:hAnsi="Times New Roman" w:eastAsia="方正仿宋_GBK" w:cs="Times New Roman"/>
                <w:sz w:val="24"/>
                <w:szCs w:val="24"/>
                <w:lang w:val="en-US" w:eastAsia="zh-CN"/>
              </w:rPr>
              <w:t>4</w:t>
            </w:r>
          </w:p>
        </w:tc>
        <w:tc>
          <w:tcPr>
            <w:tcW w:w="2273" w:type="dxa"/>
            <w:noWrap w:val="0"/>
            <w:vAlign w:val="center"/>
          </w:tcPr>
          <w:p w14:paraId="5E44917B">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K" w:cs="Times New Roman"/>
                <w:sz w:val="24"/>
                <w:szCs w:val="24"/>
              </w:rPr>
            </w:pPr>
            <w:r>
              <w:rPr>
                <w:rFonts w:hint="eastAsia" w:ascii="Times New Roman" w:hAnsi="Times New Roman" w:eastAsia="方正仿宋_GBK" w:cs="Times New Roman"/>
                <w:sz w:val="24"/>
                <w:szCs w:val="24"/>
                <w:lang w:val="en-US" w:eastAsia="zh-CN"/>
              </w:rPr>
              <w:t>民族体育</w:t>
            </w:r>
            <w:r>
              <w:rPr>
                <w:rFonts w:hint="default" w:ascii="Times New Roman" w:hAnsi="Times New Roman" w:eastAsia="方正仿宋_GBK" w:cs="Times New Roman"/>
                <w:sz w:val="24"/>
                <w:szCs w:val="24"/>
              </w:rPr>
              <w:t>游戏创编与教学方案考核</w:t>
            </w:r>
          </w:p>
        </w:tc>
      </w:tr>
      <w:tr w14:paraId="25D122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4754" w:type="dxa"/>
            <w:noWrap w:val="0"/>
            <w:vAlign w:val="center"/>
          </w:tcPr>
          <w:p w14:paraId="76ED3F0C">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方正仿宋_GBK" w:cs="Times New Roman"/>
                <w:sz w:val="24"/>
                <w:szCs w:val="24"/>
                <w:lang w:val="en-US" w:eastAsia="zh-Hans"/>
              </w:rPr>
            </w:pPr>
            <w:r>
              <w:rPr>
                <w:rFonts w:hint="default" w:ascii="Times New Roman" w:hAnsi="Times New Roman" w:eastAsia="方正仿宋_GBK" w:cs="Times New Roman"/>
                <w:sz w:val="24"/>
                <w:szCs w:val="24"/>
              </w:rPr>
              <w:t>第</w:t>
            </w:r>
            <w:r>
              <w:rPr>
                <w:rFonts w:hint="default" w:ascii="Times New Roman" w:hAnsi="Times New Roman" w:eastAsia="方正仿宋_GBK" w:cs="Times New Roman"/>
                <w:sz w:val="24"/>
                <w:szCs w:val="24"/>
                <w:lang w:val="en-US" w:eastAsia="zh-Hans"/>
              </w:rPr>
              <w:t>七</w:t>
            </w:r>
            <w:r>
              <w:rPr>
                <w:rFonts w:hint="default" w:ascii="Times New Roman" w:hAnsi="Times New Roman" w:eastAsia="方正仿宋_GBK" w:cs="Times New Roman"/>
                <w:sz w:val="24"/>
                <w:szCs w:val="24"/>
              </w:rPr>
              <w:t xml:space="preserve">单元  </w:t>
            </w:r>
            <w:r>
              <w:rPr>
                <w:rFonts w:hint="default" w:ascii="Times New Roman" w:hAnsi="Times New Roman" w:eastAsia="方正仿宋_GBK" w:cs="Times New Roman"/>
                <w:sz w:val="24"/>
                <w:szCs w:val="24"/>
                <w:lang w:val="en-US" w:eastAsia="zh-Hans"/>
              </w:rPr>
              <w:t>智力游戏</w:t>
            </w:r>
          </w:p>
        </w:tc>
        <w:tc>
          <w:tcPr>
            <w:tcW w:w="1200" w:type="dxa"/>
            <w:noWrap w:val="0"/>
            <w:vAlign w:val="center"/>
          </w:tcPr>
          <w:p w14:paraId="074D6216">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4</w:t>
            </w:r>
          </w:p>
        </w:tc>
        <w:tc>
          <w:tcPr>
            <w:tcW w:w="1170" w:type="dxa"/>
            <w:noWrap w:val="0"/>
            <w:vAlign w:val="center"/>
          </w:tcPr>
          <w:p w14:paraId="5C039958">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方正仿宋_GBK" w:cs="Times New Roman"/>
                <w:sz w:val="24"/>
                <w:szCs w:val="24"/>
                <w:lang w:val="en-US" w:eastAsia="zh-CN"/>
              </w:rPr>
            </w:pPr>
            <w:r>
              <w:rPr>
                <w:rFonts w:hint="eastAsia" w:ascii="Times New Roman" w:hAnsi="Times New Roman" w:eastAsia="方正仿宋_GBK" w:cs="Times New Roman"/>
                <w:sz w:val="24"/>
                <w:szCs w:val="24"/>
                <w:lang w:val="en-US" w:eastAsia="zh-CN"/>
              </w:rPr>
              <w:t>4</w:t>
            </w:r>
          </w:p>
        </w:tc>
        <w:tc>
          <w:tcPr>
            <w:tcW w:w="2273" w:type="dxa"/>
            <w:noWrap w:val="0"/>
            <w:vAlign w:val="center"/>
          </w:tcPr>
          <w:p w14:paraId="010F3A86">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棋</w:t>
            </w:r>
            <w:r>
              <w:rPr>
                <w:rFonts w:hint="eastAsia" w:ascii="Times New Roman" w:hAnsi="Times New Roman" w:eastAsia="方正仿宋_GBK" w:cs="Times New Roman"/>
                <w:sz w:val="24"/>
                <w:szCs w:val="24"/>
                <w:lang w:val="en-US" w:eastAsia="zh-CN"/>
              </w:rPr>
              <w:t>类</w:t>
            </w:r>
            <w:r>
              <w:rPr>
                <w:rFonts w:hint="default" w:ascii="Times New Roman" w:hAnsi="Times New Roman" w:eastAsia="方正仿宋_GBK" w:cs="Times New Roman"/>
                <w:sz w:val="24"/>
                <w:szCs w:val="24"/>
              </w:rPr>
              <w:t>游戏设计能力考核</w:t>
            </w:r>
          </w:p>
        </w:tc>
      </w:tr>
      <w:tr w14:paraId="34FF81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4754" w:type="dxa"/>
            <w:noWrap w:val="0"/>
            <w:vAlign w:val="center"/>
          </w:tcPr>
          <w:p w14:paraId="43E5808E">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方正仿宋_GBK" w:cs="Times New Roman"/>
                <w:sz w:val="24"/>
                <w:szCs w:val="24"/>
                <w:lang w:val="en-US" w:eastAsia="zh-Hans"/>
              </w:rPr>
            </w:pPr>
            <w:r>
              <w:rPr>
                <w:rFonts w:hint="default" w:ascii="Times New Roman" w:hAnsi="Times New Roman" w:eastAsia="方正仿宋_GBK" w:cs="Times New Roman"/>
                <w:sz w:val="24"/>
                <w:szCs w:val="24"/>
              </w:rPr>
              <w:t>第</w:t>
            </w:r>
            <w:r>
              <w:rPr>
                <w:rFonts w:hint="default" w:ascii="Times New Roman" w:hAnsi="Times New Roman" w:eastAsia="方正仿宋_GBK" w:cs="Times New Roman"/>
                <w:sz w:val="24"/>
                <w:szCs w:val="24"/>
                <w:lang w:val="en-US" w:eastAsia="zh-Hans"/>
              </w:rPr>
              <w:t>八</w:t>
            </w:r>
            <w:r>
              <w:rPr>
                <w:rFonts w:hint="default" w:ascii="Times New Roman" w:hAnsi="Times New Roman" w:eastAsia="方正仿宋_GBK" w:cs="Times New Roman"/>
                <w:sz w:val="24"/>
                <w:szCs w:val="24"/>
              </w:rPr>
              <w:t xml:space="preserve">单元  </w:t>
            </w:r>
            <w:r>
              <w:rPr>
                <w:rFonts w:hint="default" w:ascii="Times New Roman" w:hAnsi="Times New Roman" w:eastAsia="方正仿宋_GBK" w:cs="Times New Roman"/>
                <w:sz w:val="24"/>
                <w:szCs w:val="24"/>
                <w:lang w:val="en-US" w:eastAsia="zh-Hans"/>
              </w:rPr>
              <w:t>非游戏活动游戏化</w:t>
            </w:r>
          </w:p>
        </w:tc>
        <w:tc>
          <w:tcPr>
            <w:tcW w:w="1200" w:type="dxa"/>
            <w:noWrap w:val="0"/>
            <w:vAlign w:val="center"/>
          </w:tcPr>
          <w:p w14:paraId="44C333CA">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方正仿宋_GBK" w:cs="Times New Roman"/>
                <w:sz w:val="24"/>
                <w:szCs w:val="24"/>
                <w:lang w:eastAsia="zh-CN"/>
              </w:rPr>
            </w:pPr>
            <w:r>
              <w:rPr>
                <w:rFonts w:hint="eastAsia" w:ascii="Times New Roman" w:hAnsi="Times New Roman" w:eastAsia="方正仿宋_GBK" w:cs="Times New Roman"/>
                <w:sz w:val="24"/>
                <w:szCs w:val="24"/>
                <w:lang w:val="en-US" w:eastAsia="zh-CN"/>
              </w:rPr>
              <w:t>4</w:t>
            </w:r>
          </w:p>
        </w:tc>
        <w:tc>
          <w:tcPr>
            <w:tcW w:w="1170" w:type="dxa"/>
            <w:noWrap w:val="0"/>
            <w:vAlign w:val="center"/>
          </w:tcPr>
          <w:p w14:paraId="1EA8A3CB">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方正仿宋_GBK" w:cs="Times New Roman"/>
                <w:sz w:val="24"/>
                <w:szCs w:val="24"/>
                <w:lang w:val="en-US" w:eastAsia="zh-CN"/>
              </w:rPr>
            </w:pPr>
            <w:r>
              <w:rPr>
                <w:rFonts w:hint="eastAsia" w:ascii="Times New Roman" w:hAnsi="Times New Roman" w:eastAsia="方正仿宋_GBK" w:cs="Times New Roman"/>
                <w:sz w:val="24"/>
                <w:szCs w:val="24"/>
                <w:lang w:val="en-US" w:eastAsia="zh-CN"/>
              </w:rPr>
              <w:t>4</w:t>
            </w:r>
          </w:p>
        </w:tc>
        <w:tc>
          <w:tcPr>
            <w:tcW w:w="2273" w:type="dxa"/>
            <w:noWrap w:val="0"/>
            <w:vAlign w:val="center"/>
          </w:tcPr>
          <w:p w14:paraId="1A2CFAA3">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K" w:cs="Times New Roman"/>
                <w:sz w:val="24"/>
                <w:szCs w:val="24"/>
              </w:rPr>
            </w:pPr>
          </w:p>
        </w:tc>
      </w:tr>
      <w:tr w14:paraId="7811D7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4754" w:type="dxa"/>
            <w:noWrap w:val="0"/>
            <w:vAlign w:val="center"/>
          </w:tcPr>
          <w:p w14:paraId="0D65EC82">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方正仿宋_GBK" w:cs="Times New Roman"/>
                <w:sz w:val="24"/>
                <w:szCs w:val="24"/>
                <w:lang w:val="en-US" w:eastAsia="zh-Hans"/>
              </w:rPr>
            </w:pPr>
            <w:r>
              <w:rPr>
                <w:rFonts w:hint="default" w:ascii="Times New Roman" w:hAnsi="Times New Roman" w:eastAsia="方正仿宋_GBK" w:cs="Times New Roman"/>
                <w:sz w:val="24"/>
                <w:szCs w:val="24"/>
              </w:rPr>
              <w:t>第</w:t>
            </w:r>
            <w:r>
              <w:rPr>
                <w:rFonts w:hint="default" w:ascii="Times New Roman" w:hAnsi="Times New Roman" w:eastAsia="方正仿宋_GBK" w:cs="Times New Roman"/>
                <w:sz w:val="24"/>
                <w:szCs w:val="24"/>
                <w:lang w:val="en-US" w:eastAsia="zh-Hans"/>
              </w:rPr>
              <w:t>九</w:t>
            </w:r>
            <w:r>
              <w:rPr>
                <w:rFonts w:hint="default" w:ascii="Times New Roman" w:hAnsi="Times New Roman" w:eastAsia="方正仿宋_GBK" w:cs="Times New Roman"/>
                <w:sz w:val="24"/>
                <w:szCs w:val="24"/>
              </w:rPr>
              <w:t xml:space="preserve">单元  </w:t>
            </w:r>
            <w:r>
              <w:rPr>
                <w:rFonts w:hint="default" w:ascii="Times New Roman" w:hAnsi="Times New Roman" w:eastAsia="方正仿宋_GBK" w:cs="Times New Roman"/>
                <w:sz w:val="24"/>
                <w:szCs w:val="24"/>
                <w:lang w:val="en-US" w:eastAsia="zh-Hans"/>
              </w:rPr>
              <w:t>幼儿亲子游戏</w:t>
            </w:r>
          </w:p>
        </w:tc>
        <w:tc>
          <w:tcPr>
            <w:tcW w:w="1200" w:type="dxa"/>
            <w:noWrap w:val="0"/>
            <w:vAlign w:val="center"/>
          </w:tcPr>
          <w:p w14:paraId="18319423">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方正仿宋_GBK" w:cs="Times New Roman"/>
                <w:sz w:val="24"/>
                <w:szCs w:val="24"/>
                <w:lang w:eastAsia="zh-CN"/>
              </w:rPr>
            </w:pPr>
            <w:r>
              <w:rPr>
                <w:rFonts w:hint="eastAsia" w:ascii="Times New Roman" w:hAnsi="Times New Roman" w:eastAsia="方正仿宋_GBK" w:cs="Times New Roman"/>
                <w:sz w:val="24"/>
                <w:szCs w:val="24"/>
                <w:lang w:val="en-US" w:eastAsia="zh-CN"/>
              </w:rPr>
              <w:t>4</w:t>
            </w:r>
          </w:p>
        </w:tc>
        <w:tc>
          <w:tcPr>
            <w:tcW w:w="1170" w:type="dxa"/>
            <w:noWrap w:val="0"/>
            <w:vAlign w:val="center"/>
          </w:tcPr>
          <w:p w14:paraId="59A19198">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方正仿宋_GBK" w:cs="Times New Roman"/>
                <w:sz w:val="24"/>
                <w:szCs w:val="24"/>
                <w:lang w:val="en-US" w:eastAsia="zh-CN"/>
              </w:rPr>
            </w:pPr>
            <w:r>
              <w:rPr>
                <w:rFonts w:hint="eastAsia" w:ascii="Times New Roman" w:hAnsi="Times New Roman" w:eastAsia="方正仿宋_GBK" w:cs="Times New Roman"/>
                <w:sz w:val="24"/>
                <w:szCs w:val="24"/>
                <w:lang w:val="en-US" w:eastAsia="zh-CN"/>
              </w:rPr>
              <w:t>4</w:t>
            </w:r>
          </w:p>
        </w:tc>
        <w:tc>
          <w:tcPr>
            <w:tcW w:w="2273" w:type="dxa"/>
            <w:noWrap w:val="0"/>
            <w:vAlign w:val="center"/>
          </w:tcPr>
          <w:p w14:paraId="7A0A8DB5">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K" w:cs="Times New Roman"/>
                <w:sz w:val="24"/>
                <w:szCs w:val="24"/>
              </w:rPr>
            </w:pPr>
          </w:p>
        </w:tc>
      </w:tr>
      <w:tr w14:paraId="0FB02F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4754" w:type="dxa"/>
            <w:noWrap w:val="0"/>
            <w:vAlign w:val="center"/>
          </w:tcPr>
          <w:p w14:paraId="350A680C">
            <w:pPr>
              <w:keepNext w:val="0"/>
              <w:keepLines w:val="0"/>
              <w:pageBreakBefore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方正仿宋_GBK" w:cs="Times New Roman"/>
                <w:sz w:val="24"/>
                <w:szCs w:val="24"/>
                <w:lang w:val="en-US" w:eastAsia="zh-Hans"/>
              </w:rPr>
            </w:pPr>
            <w:r>
              <w:rPr>
                <w:rFonts w:hint="default" w:ascii="Times New Roman" w:hAnsi="Times New Roman" w:eastAsia="方正仿宋_GBK" w:cs="Times New Roman"/>
                <w:sz w:val="24"/>
                <w:szCs w:val="24"/>
              </w:rPr>
              <w:t>第</w:t>
            </w:r>
            <w:r>
              <w:rPr>
                <w:rFonts w:hint="default" w:ascii="Times New Roman" w:hAnsi="Times New Roman" w:eastAsia="方正仿宋_GBK" w:cs="Times New Roman"/>
                <w:sz w:val="24"/>
                <w:szCs w:val="24"/>
                <w:lang w:val="en-US" w:eastAsia="zh-Hans"/>
              </w:rPr>
              <w:t>十</w:t>
            </w:r>
            <w:r>
              <w:rPr>
                <w:rFonts w:hint="default" w:ascii="Times New Roman" w:hAnsi="Times New Roman" w:eastAsia="方正仿宋_GBK" w:cs="Times New Roman"/>
                <w:sz w:val="24"/>
                <w:szCs w:val="24"/>
              </w:rPr>
              <w:t xml:space="preserve">单元  </w:t>
            </w:r>
            <w:r>
              <w:rPr>
                <w:rFonts w:hint="default" w:ascii="Times New Roman" w:hAnsi="Times New Roman" w:eastAsia="方正仿宋_GBK" w:cs="Times New Roman"/>
                <w:sz w:val="24"/>
                <w:szCs w:val="24"/>
                <w:lang w:val="en-US" w:eastAsia="zh-Hans"/>
              </w:rPr>
              <w:t>幼儿游戏的观察与评价</w:t>
            </w:r>
          </w:p>
        </w:tc>
        <w:tc>
          <w:tcPr>
            <w:tcW w:w="1200" w:type="dxa"/>
            <w:noWrap w:val="0"/>
            <w:vAlign w:val="center"/>
          </w:tcPr>
          <w:p w14:paraId="0DAADF0E">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方正仿宋_GBK" w:cs="Times New Roman"/>
                <w:sz w:val="24"/>
                <w:szCs w:val="24"/>
                <w:lang w:eastAsia="zh-CN"/>
              </w:rPr>
            </w:pPr>
            <w:r>
              <w:rPr>
                <w:rFonts w:hint="eastAsia" w:ascii="Times New Roman" w:hAnsi="Times New Roman" w:eastAsia="方正仿宋_GBK" w:cs="Times New Roman"/>
                <w:sz w:val="24"/>
                <w:szCs w:val="24"/>
                <w:lang w:val="en-US" w:eastAsia="zh-CN"/>
              </w:rPr>
              <w:t>4</w:t>
            </w:r>
          </w:p>
        </w:tc>
        <w:tc>
          <w:tcPr>
            <w:tcW w:w="1170" w:type="dxa"/>
            <w:noWrap w:val="0"/>
            <w:vAlign w:val="center"/>
          </w:tcPr>
          <w:p w14:paraId="34B24CCD">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方正仿宋_GBK" w:cs="Times New Roman"/>
                <w:sz w:val="24"/>
                <w:szCs w:val="24"/>
                <w:lang w:val="en-US" w:eastAsia="zh-CN"/>
              </w:rPr>
            </w:pPr>
            <w:r>
              <w:rPr>
                <w:rFonts w:hint="eastAsia" w:ascii="Times New Roman" w:hAnsi="Times New Roman" w:eastAsia="方正仿宋_GBK" w:cs="Times New Roman"/>
                <w:sz w:val="24"/>
                <w:szCs w:val="24"/>
                <w:lang w:val="en-US" w:eastAsia="zh-CN"/>
              </w:rPr>
              <w:t>4</w:t>
            </w:r>
          </w:p>
        </w:tc>
        <w:tc>
          <w:tcPr>
            <w:tcW w:w="2273" w:type="dxa"/>
            <w:noWrap w:val="0"/>
            <w:vAlign w:val="center"/>
          </w:tcPr>
          <w:p w14:paraId="6F2105D8">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K" w:cs="Times New Roman"/>
                <w:sz w:val="24"/>
                <w:szCs w:val="24"/>
                <w:lang w:val="en-US" w:eastAsia="zh-CN"/>
              </w:rPr>
            </w:pPr>
            <w:r>
              <w:rPr>
                <w:rFonts w:hint="eastAsia" w:ascii="Times New Roman" w:hAnsi="Times New Roman" w:eastAsia="方正仿宋_GBK" w:cs="Times New Roman"/>
                <w:sz w:val="24"/>
                <w:szCs w:val="24"/>
                <w:lang w:val="en-US" w:eastAsia="zh-CN"/>
              </w:rPr>
              <w:t>见习期间完成</w:t>
            </w:r>
          </w:p>
        </w:tc>
      </w:tr>
      <w:tr w14:paraId="48C40E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4754" w:type="dxa"/>
            <w:noWrap w:val="0"/>
            <w:vAlign w:val="center"/>
          </w:tcPr>
          <w:p w14:paraId="344933A9">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总计</w:t>
            </w:r>
          </w:p>
        </w:tc>
        <w:tc>
          <w:tcPr>
            <w:tcW w:w="1200" w:type="dxa"/>
            <w:noWrap w:val="0"/>
            <w:vAlign w:val="center"/>
          </w:tcPr>
          <w:p w14:paraId="36AA3566">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方正仿宋_GBK" w:cs="Times New Roman"/>
                <w:sz w:val="24"/>
                <w:szCs w:val="24"/>
                <w:lang w:eastAsia="zh-CN"/>
              </w:rPr>
            </w:pPr>
            <w:r>
              <w:rPr>
                <w:rFonts w:hint="default" w:ascii="Times New Roman" w:hAnsi="Times New Roman" w:eastAsia="方正仿宋_GBK" w:cs="Times New Roman"/>
                <w:sz w:val="24"/>
                <w:szCs w:val="24"/>
              </w:rPr>
              <w:t>3</w:t>
            </w:r>
            <w:r>
              <w:rPr>
                <w:rFonts w:hint="eastAsia" w:ascii="Times New Roman" w:hAnsi="Times New Roman" w:eastAsia="方正仿宋_GBK" w:cs="Times New Roman"/>
                <w:sz w:val="24"/>
                <w:szCs w:val="24"/>
                <w:lang w:val="en-US" w:eastAsia="zh-CN"/>
              </w:rPr>
              <w:t>6</w:t>
            </w:r>
          </w:p>
        </w:tc>
        <w:tc>
          <w:tcPr>
            <w:tcW w:w="1170" w:type="dxa"/>
            <w:noWrap w:val="0"/>
            <w:vAlign w:val="center"/>
          </w:tcPr>
          <w:p w14:paraId="788E469B">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K" w:cs="Times New Roman"/>
                <w:sz w:val="24"/>
                <w:szCs w:val="24"/>
                <w:lang w:val="en-US" w:eastAsia="zh-CN"/>
              </w:rPr>
            </w:pPr>
            <w:r>
              <w:rPr>
                <w:rFonts w:hint="eastAsia" w:ascii="Times New Roman" w:hAnsi="Times New Roman" w:eastAsia="方正仿宋_GBK" w:cs="Times New Roman"/>
                <w:sz w:val="24"/>
                <w:szCs w:val="24"/>
                <w:lang w:val="en-US" w:eastAsia="zh-CN"/>
              </w:rPr>
              <w:t>36</w:t>
            </w:r>
          </w:p>
        </w:tc>
        <w:tc>
          <w:tcPr>
            <w:tcW w:w="2273" w:type="dxa"/>
            <w:noWrap w:val="0"/>
            <w:vAlign w:val="center"/>
          </w:tcPr>
          <w:p w14:paraId="2D9C8324">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K" w:cs="Times New Roman"/>
                <w:sz w:val="24"/>
                <w:szCs w:val="24"/>
              </w:rPr>
            </w:pPr>
          </w:p>
        </w:tc>
      </w:tr>
    </w:tbl>
    <w:p w14:paraId="6287BF71">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200"/>
        <w:textAlignment w:val="auto"/>
        <w:rPr>
          <w:rFonts w:hint="eastAsia" w:ascii="方正黑体简体" w:hAnsi="方正黑体简体" w:eastAsia="方正黑体简体" w:cs="方正黑体简体"/>
          <w:b w:val="0"/>
          <w:bCs w:val="0"/>
          <w:sz w:val="32"/>
          <w:szCs w:val="32"/>
          <w:lang w:val="en-US" w:eastAsia="zh-CN"/>
        </w:rPr>
      </w:pPr>
    </w:p>
    <w:p w14:paraId="7CA4881C">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编制依据</w:t>
      </w:r>
    </w:p>
    <w:p w14:paraId="6E7F6B9B">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本标准依据国家政策法规（《幼儿园教育指导纲要》《3-6岁儿童学习与发展指南》对“游戏为基本活动”的定位）、行业规范、教育理论基础及实践需求调研编制，严格对接学前教育专业认证与“1+X幼儿照护”职业技能等级要求，确保课程内容科学性、实践性与时代性同步，修订周期不超过三年。</w:t>
      </w:r>
    </w:p>
    <w:p w14:paraId="17D04A6A"/>
    <w:p w14:paraId="5A5851D3"/>
    <w:sectPr>
      <w:footerReference r:id="rId3" w:type="default"/>
      <w:pgSz w:w="11906" w:h="16838"/>
      <w:pgMar w:top="1440" w:right="1474" w:bottom="1440" w:left="147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1" w:fontKey="{B31C6576-E195-4380-AC0B-90E37849AFFC}"/>
  </w:font>
  <w:font w:name="方正小标宋简体">
    <w:panose1 w:val="02010600010101010101"/>
    <w:charset w:val="86"/>
    <w:family w:val="auto"/>
    <w:pitch w:val="default"/>
    <w:sig w:usb0="00000001" w:usb1="080E0000" w:usb2="00000000" w:usb3="00000000" w:csb0="00040000" w:csb1="00000000"/>
    <w:embedRegular r:id="rId2" w:fontKey="{AE72DE85-217F-4D3D-9497-4A46D8D75311}"/>
  </w:font>
  <w:font w:name="仿宋">
    <w:panose1 w:val="02010609060101010101"/>
    <w:charset w:val="86"/>
    <w:family w:val="auto"/>
    <w:pitch w:val="default"/>
    <w:sig w:usb0="800002BF" w:usb1="38CF7CFA" w:usb2="00000016" w:usb3="00000000" w:csb0="00040001" w:csb1="00000000"/>
    <w:embedRegular r:id="rId3" w:fontKey="{57D12B5E-68B5-490C-833C-31A3121FF195}"/>
  </w:font>
  <w:font w:name="方正黑体简体">
    <w:altName w:val="微软雅黑"/>
    <w:panose1 w:val="02010601030101010101"/>
    <w:charset w:val="86"/>
    <w:family w:val="auto"/>
    <w:pitch w:val="default"/>
    <w:sig w:usb0="00000000" w:usb1="00000000" w:usb2="00000000" w:usb3="00000000" w:csb0="00040000" w:csb1="00000000"/>
    <w:embedRegular r:id="rId4" w:fontKey="{37186347-95AE-4C03-B44B-F7FFF8DDF220}"/>
  </w:font>
  <w:font w:name="微软雅黑">
    <w:panose1 w:val="020B0503020204020204"/>
    <w:charset w:val="86"/>
    <w:family w:val="auto"/>
    <w:pitch w:val="default"/>
    <w:sig w:usb0="80000287" w:usb1="2ACF3C50" w:usb2="00000016" w:usb3="00000000" w:csb0="0004001F" w:csb1="00000000"/>
  </w:font>
  <w:font w:name="方正仿宋_GBK">
    <w:panose1 w:val="03000509000000000000"/>
    <w:charset w:val="86"/>
    <w:family w:val="auto"/>
    <w:pitch w:val="default"/>
    <w:sig w:usb0="00000001" w:usb1="080E0000" w:usb2="00000000" w:usb3="00000000" w:csb0="00040000" w:csb1="00000000"/>
    <w:embedRegular r:id="rId5" w:fontKey="{5FBAD44E-6180-4367-843A-1425ADBDAE6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74060">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AE20F4">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BAE20F4">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317ED1"/>
    <w:multiLevelType w:val="singleLevel"/>
    <w:tmpl w:val="D1317ED1"/>
    <w:lvl w:ilvl="0" w:tentative="0">
      <w:start w:val="1"/>
      <w:numFmt w:val="chineseCounting"/>
      <w:suff w:val="nothing"/>
      <w:lvlText w:val="（%1）"/>
      <w:lvlJc w:val="left"/>
      <w:rPr>
        <w:rFonts w:hint="eastAsia"/>
      </w:rPr>
    </w:lvl>
  </w:abstractNum>
  <w:abstractNum w:abstractNumId="1">
    <w:nsid w:val="D5D798E7"/>
    <w:multiLevelType w:val="singleLevel"/>
    <w:tmpl w:val="D5D798E7"/>
    <w:lvl w:ilvl="0" w:tentative="0">
      <w:start w:val="1"/>
      <w:numFmt w:val="chineseCounting"/>
      <w:suff w:val="nothing"/>
      <w:lvlText w:val="（%1）"/>
      <w:lvlJc w:val="left"/>
      <w:rPr>
        <w:rFonts w:hint="eastAsia"/>
      </w:rPr>
    </w:lvl>
  </w:abstractNum>
  <w:abstractNum w:abstractNumId="2">
    <w:nsid w:val="E4D66174"/>
    <w:multiLevelType w:val="singleLevel"/>
    <w:tmpl w:val="E4D66174"/>
    <w:lvl w:ilvl="0" w:tentative="0">
      <w:start w:val="1"/>
      <w:numFmt w:val="decimal"/>
      <w:suff w:val="nothing"/>
      <w:lvlText w:val="%1、"/>
      <w:lvlJc w:val="left"/>
    </w:lvl>
  </w:abstractNum>
  <w:abstractNum w:abstractNumId="3">
    <w:nsid w:val="03ECAC19"/>
    <w:multiLevelType w:val="singleLevel"/>
    <w:tmpl w:val="03ECAC19"/>
    <w:lvl w:ilvl="0" w:tentative="0">
      <w:start w:val="1"/>
      <w:numFmt w:val="chineseCounting"/>
      <w:suff w:val="nothing"/>
      <w:lvlText w:val="%1、"/>
      <w:lvlJc w:val="left"/>
      <w:rPr>
        <w:rFonts w:hint="eastAsia"/>
      </w:rPr>
    </w:lvl>
  </w:abstractNum>
  <w:abstractNum w:abstractNumId="4">
    <w:nsid w:val="07799577"/>
    <w:multiLevelType w:val="singleLevel"/>
    <w:tmpl w:val="07799577"/>
    <w:lvl w:ilvl="0" w:tentative="0">
      <w:start w:val="2"/>
      <w:numFmt w:val="decimal"/>
      <w:suff w:val="nothing"/>
      <w:lvlText w:val="（%1）"/>
      <w:lvlJc w:val="left"/>
    </w:lvl>
  </w:abstractNum>
  <w:abstractNum w:abstractNumId="5">
    <w:nsid w:val="37A7B3DD"/>
    <w:multiLevelType w:val="singleLevel"/>
    <w:tmpl w:val="37A7B3DD"/>
    <w:lvl w:ilvl="0" w:tentative="0">
      <w:start w:val="1"/>
      <w:numFmt w:val="chineseCounting"/>
      <w:suff w:val="nothing"/>
      <w:lvlText w:val="（%1）"/>
      <w:lvlJc w:val="left"/>
      <w:rPr>
        <w:rFonts w:hint="eastAsia"/>
      </w:rPr>
    </w:lvl>
  </w:abstractNum>
  <w:abstractNum w:abstractNumId="6">
    <w:nsid w:val="65B68748"/>
    <w:multiLevelType w:val="singleLevel"/>
    <w:tmpl w:val="65B68748"/>
    <w:lvl w:ilvl="0" w:tentative="0">
      <w:start w:val="1"/>
      <w:numFmt w:val="chineseCounting"/>
      <w:suff w:val="nothing"/>
      <w:lvlText w:val="（%1）"/>
      <w:lvlJc w:val="left"/>
      <w:rPr>
        <w:rFonts w:hint="eastAsia"/>
      </w:rPr>
    </w:lvl>
  </w:abstractNum>
  <w:abstractNum w:abstractNumId="7">
    <w:nsid w:val="75E9C6B8"/>
    <w:multiLevelType w:val="singleLevel"/>
    <w:tmpl w:val="75E9C6B8"/>
    <w:lvl w:ilvl="0" w:tentative="0">
      <w:start w:val="1"/>
      <w:numFmt w:val="decimal"/>
      <w:suff w:val="nothing"/>
      <w:lvlText w:val="%1、"/>
      <w:lvlJc w:val="left"/>
    </w:lvl>
  </w:abstractNum>
  <w:num w:numId="1">
    <w:abstractNumId w:val="3"/>
  </w:num>
  <w:num w:numId="2">
    <w:abstractNumId w:val="5"/>
  </w:num>
  <w:num w:numId="3">
    <w:abstractNumId w:val="0"/>
  </w:num>
  <w:num w:numId="4">
    <w:abstractNumId w:val="7"/>
  </w:num>
  <w:num w:numId="5">
    <w:abstractNumId w:val="1"/>
  </w:num>
  <w:num w:numId="6">
    <w:abstractNumId w:val="6"/>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AF56FB"/>
    <w:rsid w:val="02AF56FB"/>
    <w:rsid w:val="286E1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德宏州直属党政机关单位</Company>
  <Pages>16</Pages>
  <Words>4744</Words>
  <Characters>4849</Characters>
  <Lines>0</Lines>
  <Paragraphs>0</Paragraphs>
  <TotalTime>15</TotalTime>
  <ScaleCrop>false</ScaleCrop>
  <LinksUpToDate>false</LinksUpToDate>
  <CharactersWithSpaces>5044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2025-08-12T05:21:00Z</dcterms:created>
  <dc:creator>景玉梦云</dc:creator>
  <cp:lastModifiedBy>景玉梦云</cp:lastModifiedBy>
  <dcterms:modified xsi:type="dcterms:W3CDTF">2025-08-18T08:23:08Z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E1908693702A48ADBD32F9C0E8777EF7_11</vt:lpwstr>
  </property>
  <property fmtid="{D5CDD505-2E9C-101B-9397-08002B2CF9AE}" pid="4" name="KSOTemplateDocerSaveRecord">
    <vt:lpwstr>eyJoZGlkIjoiZGI0ZjI0NDJkOGQ4ODFlM2RmMTkzNjgzNDBlZmUzN2YiLCJ1c2VySWQiOiIxNTk5NDU5MTM5In0=</vt:lpwstr>
  </property>
</Properties>
</file>