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_GBK" w:eastAsia="方正小标宋_GBK"/>
          <w:sz w:val="44"/>
          <w:szCs w:val="44"/>
        </w:rPr>
      </w:pPr>
      <w:r>
        <w:rPr>
          <w:rFonts w:hint="eastAsia" w:ascii="方正小标宋_GBK" w:eastAsia="方正小标宋_GBK"/>
          <w:sz w:val="44"/>
          <w:szCs w:val="44"/>
        </w:rPr>
        <w:t>德宏职业学院</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w:t>
      </w:r>
      <w:r>
        <w:rPr>
          <w:rFonts w:hint="eastAsia" w:ascii="方正小标宋简体" w:hAnsi="方正小标宋简体" w:eastAsia="方正小标宋简体" w:cs="方正小标宋简体"/>
          <w:sz w:val="36"/>
          <w:szCs w:val="36"/>
          <w:lang w:val="en-US" w:eastAsia="zh-CN"/>
        </w:rPr>
        <w:t>蒙台梭利教学法</w:t>
      </w:r>
      <w:r>
        <w:rPr>
          <w:rFonts w:hint="eastAsia" w:ascii="方正小标宋简体" w:hAnsi="方正小标宋简体" w:eastAsia="方正小标宋简体" w:cs="方正小标宋简体"/>
          <w:sz w:val="36"/>
          <w:szCs w:val="36"/>
        </w:rPr>
        <w:t>》课程标准</w:t>
      </w:r>
    </w:p>
    <w:p>
      <w:pPr>
        <w:ind w:firstLine="480" w:firstLineChars="150"/>
        <w:rPr>
          <w:rFonts w:ascii="方正黑体_GBK" w:eastAsia="方正黑体_GBK"/>
          <w:color w:val="000000" w:themeColor="text1"/>
          <w:sz w:val="32"/>
          <w:szCs w:val="32"/>
          <w14:textFill>
            <w14:solidFill>
              <w14:schemeClr w14:val="tx1"/>
            </w14:solidFill>
          </w14:textFill>
        </w:rPr>
      </w:pP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一、课程基本信息</w:t>
      </w:r>
    </w:p>
    <w:tbl>
      <w:tblPr>
        <w:tblStyle w:val="4"/>
        <w:tblW w:w="10100" w:type="dxa"/>
        <w:jc w:val="center"/>
        <w:tblLayout w:type="fixed"/>
        <w:tblCellMar>
          <w:top w:w="0" w:type="dxa"/>
          <w:left w:w="108" w:type="dxa"/>
          <w:bottom w:w="0" w:type="dxa"/>
          <w:right w:w="108" w:type="dxa"/>
        </w:tblCellMar>
      </w:tblPr>
      <w:tblGrid>
        <w:gridCol w:w="1742"/>
        <w:gridCol w:w="3082"/>
        <w:gridCol w:w="2126"/>
        <w:gridCol w:w="3150"/>
      </w:tblGrid>
      <w:tr>
        <w:tblPrEx>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课程编码</w:t>
            </w:r>
          </w:p>
        </w:tc>
        <w:tc>
          <w:tcPr>
            <w:tcW w:w="308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color w:val="000000" w:themeColor="text1"/>
                <w:sz w:val="28"/>
                <w:szCs w:val="28"/>
                <w14:textFill>
                  <w14:solidFill>
                    <w14:schemeClr w14:val="tx1"/>
                  </w14:solidFill>
                </w14:textFill>
              </w:rPr>
            </w:pPr>
            <w:r>
              <w:rPr>
                <w:rFonts w:ascii="仿宋" w:hAnsi="仿宋" w:eastAsia="仿宋" w:cs="仿宋"/>
                <w:color w:val="000000" w:themeColor="text1"/>
                <w:sz w:val="28"/>
                <w:szCs w:val="28"/>
                <w14:textFill>
                  <w14:solidFill>
                    <w14:schemeClr w14:val="tx1"/>
                  </w14:solidFill>
                </w14:textFill>
              </w:rPr>
              <w:t>0804310001</w:t>
            </w:r>
          </w:p>
        </w:tc>
        <w:tc>
          <w:tcPr>
            <w:tcW w:w="2126"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课程性质</w:t>
            </w:r>
          </w:p>
        </w:tc>
        <w:tc>
          <w:tcPr>
            <w:tcW w:w="315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专业必修课</w:t>
            </w:r>
          </w:p>
        </w:tc>
      </w:tr>
      <w:tr>
        <w:tblPrEx>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课程名称</w:t>
            </w:r>
          </w:p>
        </w:tc>
        <w:tc>
          <w:tcPr>
            <w:tcW w:w="308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jc w:val="center"/>
              <w:rPr>
                <w:rFonts w:hint="eastAsia" w:ascii="仿宋" w:hAnsi="仿宋" w:eastAsia="仿宋" w:cs="仿宋"/>
                <w:b/>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蒙台梭利教学法</w:t>
            </w:r>
          </w:p>
        </w:tc>
        <w:tc>
          <w:tcPr>
            <w:tcW w:w="2126"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适用专业</w:t>
            </w:r>
          </w:p>
        </w:tc>
        <w:tc>
          <w:tcPr>
            <w:tcW w:w="315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学前教育</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学时</w:t>
            </w:r>
          </w:p>
        </w:tc>
        <w:tc>
          <w:tcPr>
            <w:tcW w:w="3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36</w:t>
            </w:r>
            <w:r>
              <w:rPr>
                <w:rFonts w:hint="eastAsia" w:ascii="仿宋" w:hAnsi="仿宋" w:eastAsia="仿宋" w:cs="仿宋"/>
                <w:color w:val="000000" w:themeColor="text1"/>
                <w:sz w:val="28"/>
                <w:szCs w:val="28"/>
                <w14:textFill>
                  <w14:solidFill>
                    <w14:schemeClr w14:val="tx1"/>
                  </w14:solidFill>
                </w14:textFill>
              </w:rPr>
              <w:t>学时</w:t>
            </w:r>
          </w:p>
        </w:tc>
        <w:tc>
          <w:tcPr>
            <w:tcW w:w="21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学分</w:t>
            </w:r>
          </w:p>
        </w:tc>
        <w:tc>
          <w:tcPr>
            <w:tcW w:w="3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学分</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先修课程</w:t>
            </w:r>
          </w:p>
        </w:tc>
        <w:tc>
          <w:tcPr>
            <w:tcW w:w="3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仿宋" w:hAnsi="仿宋" w:eastAsia="仿宋" w:cs="仿宋"/>
                <w:b/>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教育学、学前教育学、心理学、儿童发展心理学、幼儿科学教育与活动指导</w:t>
            </w:r>
          </w:p>
        </w:tc>
        <w:tc>
          <w:tcPr>
            <w:tcW w:w="21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后续课程</w:t>
            </w:r>
          </w:p>
        </w:tc>
        <w:tc>
          <w:tcPr>
            <w:tcW w:w="3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课程负责人</w:t>
            </w:r>
          </w:p>
        </w:tc>
        <w:tc>
          <w:tcPr>
            <w:tcW w:w="3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仿宋" w:hAnsi="仿宋" w:eastAsia="仿宋" w:cs="仿宋"/>
                <w:b/>
                <w:color w:val="000000" w:themeColor="text1"/>
                <w:sz w:val="28"/>
                <w:szCs w:val="28"/>
                <w:lang w:val="en-US" w:eastAsia="zh-CN"/>
                <w14:textFill>
                  <w14:solidFill>
                    <w14:schemeClr w14:val="tx1"/>
                  </w14:solidFill>
                </w14:textFill>
              </w:rPr>
            </w:pPr>
            <w:r>
              <w:rPr>
                <w:rFonts w:hint="eastAsia" w:ascii="仿宋" w:hAnsi="仿宋" w:eastAsia="仿宋" w:cs="仿宋"/>
                <w:b/>
                <w:color w:val="000000" w:themeColor="text1"/>
                <w:sz w:val="28"/>
                <w:szCs w:val="28"/>
                <w:lang w:val="en-US" w:eastAsia="zh-CN"/>
                <w14:textFill>
                  <w14:solidFill>
                    <w14:schemeClr w14:val="tx1"/>
                  </w14:solidFill>
                </w14:textFill>
              </w:rPr>
              <w:t>闫婷</w:t>
            </w:r>
          </w:p>
        </w:tc>
        <w:tc>
          <w:tcPr>
            <w:tcW w:w="21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审核人</w:t>
            </w:r>
          </w:p>
        </w:tc>
        <w:tc>
          <w:tcPr>
            <w:tcW w:w="3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r>
      <w:tr>
        <w:tblPrEx>
          <w:tblCellMar>
            <w:top w:w="0" w:type="dxa"/>
            <w:left w:w="108" w:type="dxa"/>
            <w:bottom w:w="0" w:type="dxa"/>
            <w:right w:w="108" w:type="dxa"/>
          </w:tblCellMar>
        </w:tblPrEx>
        <w:trPr>
          <w:trHeight w:val="303" w:hRule="atLeast"/>
          <w:jc w:val="center"/>
        </w:trPr>
        <w:tc>
          <w:tcPr>
            <w:tcW w:w="1742" w:type="dxa"/>
            <w:tcBorders>
              <w:top w:val="single" w:color="000000" w:sz="4" w:space="0"/>
              <w:left w:val="single" w:color="000000" w:sz="8" w:space="0"/>
              <w:bottom w:val="single" w:color="000000" w:sz="8"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开课学期</w:t>
            </w:r>
          </w:p>
        </w:tc>
        <w:tc>
          <w:tcPr>
            <w:tcW w:w="308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c>
          <w:tcPr>
            <w:tcW w:w="2126"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修订时间</w:t>
            </w:r>
          </w:p>
        </w:tc>
        <w:tc>
          <w:tcPr>
            <w:tcW w:w="315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r>
    </w:tbl>
    <w:p>
      <w:pPr>
        <w:numPr>
          <w:ilvl w:val="0"/>
          <w:numId w:val="1"/>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课程简介</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蒙台梭利教学法有着系统的理论知识和丰富的实践指导只知识，具有较强的理论性、实践性和应用性，是专门研究蒙氏教育教学、教具操作方法的一门学科，本课程是《婴幼儿托育服务与管理》第四学期开展的课程，属于学前教育专业的选修课程</w:t>
      </w:r>
      <w:r>
        <w:rPr>
          <w:rFonts w:hint="eastAsia" w:ascii="方正仿宋_GBK" w:hAnsi="方正仿宋_GBK" w:eastAsia="方正仿宋_GBK" w:cs="方正仿宋_GBK"/>
          <w:sz w:val="32"/>
          <w:szCs w:val="32"/>
        </w:rPr>
        <w:t>。</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（二）课程性质与定位</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1、课程性质：</w:t>
      </w:r>
      <w:r>
        <w:rPr>
          <w:rFonts w:hint="eastAsia" w:ascii="方正仿宋_GBK" w:hAnsi="方正仿宋_GBK" w:eastAsia="方正仿宋_GBK" w:cs="方正仿宋_GBK"/>
          <w:sz w:val="32"/>
          <w:szCs w:val="32"/>
          <w:lang w:val="en-US" w:eastAsia="zh-CN"/>
        </w:rPr>
        <w:t>蒙台梭利教学法有着系统的理论知识和丰富的实践指导只知识，具有较强的理论性、实践性和应用性，是专门研究蒙氏教育教学、教具操作方法的一门课程</w:t>
      </w:r>
      <w:r>
        <w:rPr>
          <w:rFonts w:hint="eastAsia" w:ascii="方正仿宋_GBK" w:hAnsi="方正仿宋_GBK" w:eastAsia="方正仿宋_GBK" w:cs="方正仿宋_GBK"/>
          <w:sz w:val="32"/>
          <w:szCs w:val="32"/>
        </w:rPr>
        <w:t>。</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2、课程定位：该课程</w:t>
      </w:r>
      <w:r>
        <w:rPr>
          <w:rFonts w:hint="eastAsia" w:ascii="方正仿宋_GBK" w:hAnsi="方正仿宋_GBK" w:eastAsia="方正仿宋_GBK" w:cs="方正仿宋_GBK"/>
          <w:sz w:val="32"/>
          <w:szCs w:val="32"/>
          <w:lang w:val="en-US" w:eastAsia="zh-CN"/>
        </w:rPr>
        <w:t>内容严格遵循传统蒙氏教育理念与方法，并力求完善与发展符合国内幼儿园条件及社会对幼儿教育的要求的“蒙台梭利”教学方法，力求以就业为导向，能力培养为核心，融知识、能力及素质教育为一体，坚持教、学、做合一为理念，丰富蒙氏课程的知识性与趣味性，体现学前教育专业的专业性和综合性，理论与实践的应用性和针对性</w:t>
      </w:r>
      <w:r>
        <w:rPr>
          <w:rFonts w:hint="eastAsia" w:ascii="方正仿宋_GBK" w:hAnsi="方正仿宋_GBK" w:eastAsia="方正仿宋_GBK" w:cs="方正仿宋_GBK"/>
          <w:sz w:val="32"/>
          <w:szCs w:val="32"/>
        </w:rPr>
        <w:t>。</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（三）课程基本理念</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本课程主张以儿童为中心，反对以成人为本位的教学理念</w:t>
      </w:r>
      <w:r>
        <w:rPr>
          <w:rFonts w:hint="eastAsia" w:ascii="方正仿宋_GBK" w:hAnsi="方正仿宋_GBK" w:eastAsia="方正仿宋_GBK" w:cs="方正仿宋_GBK"/>
          <w:sz w:val="32"/>
          <w:szCs w:val="32"/>
        </w:rPr>
        <w:t>。</w:t>
      </w:r>
    </w:p>
    <w:p>
      <w:pPr>
        <w:numPr>
          <w:ilvl w:val="0"/>
          <w:numId w:val="2"/>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课程设计的思路</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该课程</w:t>
      </w:r>
      <w:r>
        <w:rPr>
          <w:rFonts w:hint="eastAsia" w:ascii="方正仿宋_GBK" w:hAnsi="方正仿宋_GBK" w:eastAsia="方正仿宋_GBK" w:cs="方正仿宋_GBK"/>
          <w:sz w:val="32"/>
          <w:szCs w:val="32"/>
          <w:lang w:val="en-US" w:eastAsia="zh-CN"/>
        </w:rPr>
        <w:t>内容严格遵循传统蒙氏教育理念与方法，并力求完善与发展符合国内幼儿园条件及社会对幼儿教育的要求的“蒙台梭利”教学方法，力求以就业为导向，能力培养为核心，融知识、能力及素质教育为一体，坚持教、学、做合一为理念，丰富蒙氏课程的知识性与趣味性，体现学前教育专业的专业性和综合性，理论与实践的应用性和针对性</w:t>
      </w:r>
      <w:r>
        <w:rPr>
          <w:rFonts w:hint="eastAsia" w:ascii="方正仿宋_GBK" w:hAnsi="方正仿宋_GBK" w:eastAsia="方正仿宋_GBK" w:cs="方正仿宋_GBK"/>
          <w:sz w:val="32"/>
          <w:szCs w:val="32"/>
        </w:rPr>
        <w:t>。</w:t>
      </w: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二、课程目标</w:t>
      </w:r>
    </w:p>
    <w:p>
      <w:pPr>
        <w:numPr>
          <w:ilvl w:val="0"/>
          <w:numId w:val="3"/>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知识目标</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了解蒙氏的生平和思想渊源，了解幼儿敏感期的划分，了解蒙氏教学中的三要素，了解蒙氏教育与传统教育的区别，选择性学习日常生活教育理论及教玩具操作，数学教育理论及教玩具操作，语言教育理论及教玩具操作</w:t>
      </w:r>
      <w:r>
        <w:rPr>
          <w:rFonts w:hint="eastAsia" w:ascii="方正仿宋_GBK" w:hAnsi="方正仿宋_GBK" w:eastAsia="方正仿宋_GBK" w:cs="方正仿宋_GBK"/>
          <w:sz w:val="32"/>
          <w:szCs w:val="32"/>
        </w:rPr>
        <w:t>。</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2、能力目标</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初步理解蒙氏教育理念，懂得蒙氏教玩具的操作，探索并灵活运用到幼儿园，及家庭的教育教学中，并懂得寻找在教学运用中存在的问题，尝试寻找解决问题的方法</w:t>
      </w:r>
      <w:r>
        <w:rPr>
          <w:rFonts w:hint="eastAsia" w:ascii="方正仿宋_GBK" w:hAnsi="方正仿宋_GBK" w:eastAsia="方正仿宋_GBK" w:cs="方正仿宋_GBK"/>
          <w:sz w:val="32"/>
          <w:szCs w:val="32"/>
        </w:rPr>
        <w:t>。</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3、素质目标</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通过理论学习，教玩具操作训练，提高自身素质，使学生进一步懂得关注探索并深入思考教育下一代的方法及重要意义</w:t>
      </w:r>
      <w:r>
        <w:rPr>
          <w:rFonts w:hint="eastAsia" w:ascii="方正仿宋_GBK" w:hAnsi="方正仿宋_GBK" w:eastAsia="方正仿宋_GBK" w:cs="方正仿宋_GBK"/>
          <w:sz w:val="32"/>
          <w:szCs w:val="32"/>
        </w:rPr>
        <w:t>。</w:t>
      </w: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lang w:val="en-US" w:eastAsia="zh-CN"/>
          <w14:textFill>
            <w14:solidFill>
              <w14:schemeClr w14:val="tx1"/>
            </w14:solidFill>
          </w14:textFill>
        </w:rPr>
        <w:t>三</w:t>
      </w:r>
      <w:r>
        <w:rPr>
          <w:rFonts w:hint="eastAsia" w:ascii="方正黑体_GBK" w:eastAsia="方正黑体_GBK"/>
          <w:color w:val="000000" w:themeColor="text1"/>
          <w:sz w:val="32"/>
          <w:szCs w:val="32"/>
          <w14:textFill>
            <w14:solidFill>
              <w14:schemeClr w14:val="tx1"/>
            </w14:solidFill>
          </w14:textFill>
        </w:rPr>
        <w:t>、课程安排</w:t>
      </w:r>
    </w:p>
    <w:tbl>
      <w:tblPr>
        <w:tblStyle w:val="5"/>
        <w:tblW w:w="96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1343"/>
        <w:gridCol w:w="1417"/>
        <w:gridCol w:w="44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54" w:type="dxa"/>
            <w:gridSpan w:val="2"/>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课程内容</w:t>
            </w:r>
          </w:p>
        </w:tc>
        <w:tc>
          <w:tcPr>
            <w:tcW w:w="1417"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学时安排</w:t>
            </w:r>
          </w:p>
        </w:tc>
        <w:tc>
          <w:tcPr>
            <w:tcW w:w="4459"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教学手段与方法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1" w:type="dxa"/>
            <w:vMerge w:val="restart"/>
          </w:tcPr>
          <w:p>
            <w:pPr>
              <w:ind w:left="223" w:hanging="222"/>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课程模块1：</w:t>
            </w:r>
          </w:p>
          <w:p>
            <w:pPr>
              <w:ind w:left="223" w:hanging="222"/>
              <w:rPr>
                <w:rFonts w:hint="eastAsia" w:ascii="方正仿宋_GBK" w:hAnsi="方正仿宋_GBK" w:eastAsia="方正仿宋_GBK" w:cs="方正仿宋_GBK"/>
                <w:b/>
                <w:sz w:val="28"/>
                <w:szCs w:val="28"/>
                <w:lang w:eastAsia="zh-CN"/>
              </w:rPr>
            </w:pPr>
            <w:r>
              <w:rPr>
                <w:rFonts w:hint="eastAsia" w:ascii="方正仿宋_GBK" w:hAnsi="方正仿宋_GBK" w:eastAsia="方正仿宋_GBK" w:cs="方正仿宋_GBK"/>
                <w:bCs/>
                <w:sz w:val="28"/>
                <w:szCs w:val="28"/>
                <w:lang w:val="en-US" w:eastAsia="zh-CN"/>
              </w:rPr>
              <w:t>蒙台梭利教育思想</w:t>
            </w:r>
          </w:p>
        </w:tc>
        <w:tc>
          <w:tcPr>
            <w:tcW w:w="1343"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417"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val="en-US" w:eastAsia="zh-CN"/>
              </w:rPr>
              <w:t>2</w:t>
            </w:r>
            <w:bookmarkStart w:id="4" w:name="_GoBack"/>
            <w:bookmarkEnd w:id="4"/>
          </w:p>
        </w:tc>
        <w:tc>
          <w:tcPr>
            <w:tcW w:w="4459"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讲授法、讨论法、案例分析法、课外自主学习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1" w:type="dxa"/>
            <w:vMerge w:val="continue"/>
          </w:tcPr>
          <w:p>
            <w:pPr>
              <w:widowControl/>
              <w:rPr>
                <w:rFonts w:ascii="方正仿宋_GBK" w:hAnsi="方正仿宋_GBK" w:eastAsia="方正仿宋_GBK" w:cs="方正仿宋_GBK"/>
                <w:b/>
                <w:sz w:val="28"/>
                <w:szCs w:val="28"/>
              </w:rPr>
            </w:pPr>
          </w:p>
        </w:tc>
        <w:tc>
          <w:tcPr>
            <w:tcW w:w="1343"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41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0</w:t>
            </w:r>
          </w:p>
        </w:tc>
        <w:tc>
          <w:tcPr>
            <w:tcW w:w="4459"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 xml:space="preserve">无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1" w:type="dxa"/>
            <w:vMerge w:val="restart"/>
          </w:tcPr>
          <w:p>
            <w:pPr>
              <w:widowControl/>
              <w:spacing w:before="8"/>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课程模块2：</w:t>
            </w:r>
          </w:p>
          <w:p>
            <w:pPr>
              <w:widowControl/>
              <w:spacing w:before="8"/>
              <w:rPr>
                <w:rFonts w:hint="eastAsia" w:ascii="方正仿宋_GBK" w:hAnsi="方正仿宋_GBK" w:eastAsia="方正仿宋_GBK" w:cs="方正仿宋_GBK"/>
                <w:b/>
                <w:sz w:val="28"/>
                <w:szCs w:val="28"/>
                <w:lang w:eastAsia="zh-CN"/>
              </w:rPr>
            </w:pPr>
            <w:r>
              <w:rPr>
                <w:rFonts w:hint="eastAsia" w:ascii="方正仿宋_GBK" w:hAnsi="方正仿宋_GBK" w:eastAsia="方正仿宋_GBK" w:cs="方正仿宋_GBK"/>
                <w:color w:val="0D0D0D" w:themeColor="text1" w:themeTint="F2"/>
                <w:sz w:val="28"/>
                <w:szCs w:val="28"/>
                <w:lang w:val="en-US" w:eastAsia="zh-CN"/>
                <w14:textFill>
                  <w14:solidFill>
                    <w14:schemeClr w14:val="tx1">
                      <w14:lumMod w14:val="95000"/>
                      <w14:lumOff w14:val="5000"/>
                    </w14:schemeClr>
                  </w14:solidFill>
                </w14:textFill>
              </w:rPr>
              <w:t>蒙氏日常生活教育</w:t>
            </w:r>
          </w:p>
        </w:tc>
        <w:tc>
          <w:tcPr>
            <w:tcW w:w="1343"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417"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val="en-US" w:eastAsia="zh-CN"/>
              </w:rPr>
              <w:t>2</w:t>
            </w:r>
          </w:p>
        </w:tc>
        <w:tc>
          <w:tcPr>
            <w:tcW w:w="4459"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讲授法、讨论法、案例分析法、课外自主学习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1" w:type="dxa"/>
            <w:vMerge w:val="continue"/>
          </w:tcPr>
          <w:p>
            <w:pPr>
              <w:widowControl/>
              <w:rPr>
                <w:rFonts w:ascii="方正仿宋_GBK" w:hAnsi="方正仿宋_GBK" w:eastAsia="方正仿宋_GBK" w:cs="方正仿宋_GBK"/>
                <w:b/>
                <w:sz w:val="28"/>
                <w:szCs w:val="28"/>
              </w:rPr>
            </w:pPr>
          </w:p>
        </w:tc>
        <w:tc>
          <w:tcPr>
            <w:tcW w:w="1343"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41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2</w:t>
            </w:r>
          </w:p>
        </w:tc>
        <w:tc>
          <w:tcPr>
            <w:tcW w:w="4459"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小组合作学习、课外自主学习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1" w:type="dxa"/>
            <w:vMerge w:val="restart"/>
          </w:tcPr>
          <w:p>
            <w:pPr>
              <w:ind w:left="223" w:hanging="222"/>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课程模块3：</w:t>
            </w:r>
          </w:p>
          <w:p>
            <w:pPr>
              <w:rPr>
                <w:rFonts w:hint="eastAsia" w:ascii="方正仿宋_GBK" w:hAnsi="方正仿宋_GBK" w:eastAsia="方正仿宋_GBK" w:cs="方正仿宋_GBK"/>
                <w:b/>
                <w:sz w:val="28"/>
                <w:szCs w:val="28"/>
                <w:lang w:eastAsia="zh-CN"/>
              </w:rPr>
            </w:pPr>
            <w:r>
              <w:rPr>
                <w:rFonts w:hint="eastAsia" w:ascii="方正仿宋_GBK" w:hAnsi="方正仿宋_GBK" w:eastAsia="方正仿宋_GBK" w:cs="方正仿宋_GBK"/>
                <w:bCs/>
                <w:sz w:val="28"/>
                <w:szCs w:val="28"/>
                <w:lang w:val="en-US" w:eastAsia="zh-CN"/>
              </w:rPr>
              <w:t>蒙氏感官教育</w:t>
            </w:r>
          </w:p>
        </w:tc>
        <w:tc>
          <w:tcPr>
            <w:tcW w:w="1343"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417" w:type="dxa"/>
          </w:tcPr>
          <w:p>
            <w:pPr>
              <w:widowControl/>
              <w:rPr>
                <w:rFonts w:hint="eastAsia"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lang w:val="en-US" w:eastAsia="zh-CN"/>
              </w:rPr>
              <w:t>1</w:t>
            </w:r>
          </w:p>
        </w:tc>
        <w:tc>
          <w:tcPr>
            <w:tcW w:w="4459"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讲授法、讨论法、案例分析法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2411" w:type="dxa"/>
            <w:vMerge w:val="continue"/>
          </w:tcPr>
          <w:p>
            <w:pPr>
              <w:widowControl/>
              <w:rPr>
                <w:rFonts w:ascii="方正仿宋_GBK" w:hAnsi="方正仿宋_GBK" w:eastAsia="方正仿宋_GBK" w:cs="方正仿宋_GBK"/>
                <w:b/>
                <w:sz w:val="28"/>
                <w:szCs w:val="28"/>
              </w:rPr>
            </w:pPr>
          </w:p>
        </w:tc>
        <w:tc>
          <w:tcPr>
            <w:tcW w:w="1343"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41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2</w:t>
            </w:r>
          </w:p>
        </w:tc>
        <w:tc>
          <w:tcPr>
            <w:tcW w:w="4459"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课外自主学习、小组合作学习、案例分析法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1" w:type="dxa"/>
            <w:vMerge w:val="restart"/>
          </w:tcPr>
          <w:p>
            <w:pPr>
              <w:ind w:right="53" w:firstLine="26"/>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课程模块4：</w:t>
            </w:r>
          </w:p>
          <w:p>
            <w:pPr>
              <w:ind w:right="53" w:firstLine="26"/>
              <w:rPr>
                <w:rFonts w:hint="eastAsia" w:ascii="方正仿宋_GBK" w:hAnsi="方正仿宋_GBK" w:eastAsia="方正仿宋_GBK" w:cs="方正仿宋_GBK"/>
                <w:b/>
                <w:sz w:val="28"/>
                <w:szCs w:val="28"/>
                <w:lang w:eastAsia="zh-CN"/>
              </w:rPr>
            </w:pPr>
            <w:r>
              <w:rPr>
                <w:rFonts w:hint="eastAsia" w:ascii="方正仿宋_GBK" w:hAnsi="方正仿宋_GBK" w:eastAsia="方正仿宋_GBK" w:cs="方正仿宋_GBK"/>
                <w:color w:val="0D0D0D" w:themeColor="text1" w:themeTint="F2"/>
                <w:sz w:val="28"/>
                <w:szCs w:val="28"/>
                <w:lang w:val="en-US" w:eastAsia="zh-CN"/>
                <w14:textFill>
                  <w14:solidFill>
                    <w14:schemeClr w14:val="tx1">
                      <w14:lumMod w14:val="95000"/>
                      <w14:lumOff w14:val="5000"/>
                    </w14:schemeClr>
                  </w14:solidFill>
                </w14:textFill>
              </w:rPr>
              <w:t>蒙氏数学教育</w:t>
            </w:r>
          </w:p>
        </w:tc>
        <w:tc>
          <w:tcPr>
            <w:tcW w:w="1343"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417"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val="en-US" w:eastAsia="zh-CN"/>
              </w:rPr>
              <w:t>1</w:t>
            </w:r>
          </w:p>
        </w:tc>
        <w:tc>
          <w:tcPr>
            <w:tcW w:w="4459"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讲授法、讨论法、课外自主学习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1" w:type="dxa"/>
            <w:vMerge w:val="continue"/>
          </w:tcPr>
          <w:p>
            <w:pPr>
              <w:widowControl/>
              <w:rPr>
                <w:rFonts w:ascii="方正仿宋_GBK" w:hAnsi="方正仿宋_GBK" w:eastAsia="方正仿宋_GBK" w:cs="方正仿宋_GBK"/>
                <w:b/>
                <w:sz w:val="28"/>
                <w:szCs w:val="28"/>
              </w:rPr>
            </w:pPr>
          </w:p>
        </w:tc>
        <w:tc>
          <w:tcPr>
            <w:tcW w:w="1343"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41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2</w:t>
            </w:r>
          </w:p>
        </w:tc>
        <w:tc>
          <w:tcPr>
            <w:tcW w:w="4459"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课外自主学习、小组合作学习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1" w:type="dxa"/>
            <w:vMerge w:val="restart"/>
          </w:tcPr>
          <w:p>
            <w:pPr>
              <w:ind w:right="53"/>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课程模块5：</w:t>
            </w:r>
          </w:p>
          <w:p>
            <w:pPr>
              <w:ind w:right="53"/>
              <w:rPr>
                <w:rFonts w:hint="default" w:ascii="方正仿宋_GBK" w:hAnsi="方正仿宋_GBK" w:eastAsia="方正仿宋_GBK" w:cs="方正仿宋_GBK"/>
                <w:b/>
                <w:sz w:val="28"/>
                <w:szCs w:val="28"/>
                <w:lang w:val="en-US" w:eastAsia="zh-CN"/>
              </w:rPr>
            </w:pPr>
            <w:r>
              <w:rPr>
                <w:rFonts w:hint="eastAsia" w:ascii="方正仿宋_GBK" w:hAnsi="方正仿宋_GBK" w:eastAsia="方正仿宋_GBK" w:cs="方正仿宋_GBK"/>
                <w:bCs/>
                <w:sz w:val="28"/>
                <w:szCs w:val="28"/>
                <w:lang w:val="en-US" w:eastAsia="zh-CN"/>
              </w:rPr>
              <w:t>蒙氏语言教育</w:t>
            </w:r>
          </w:p>
        </w:tc>
        <w:tc>
          <w:tcPr>
            <w:tcW w:w="1343"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41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1</w:t>
            </w:r>
          </w:p>
        </w:tc>
        <w:tc>
          <w:tcPr>
            <w:tcW w:w="4459"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讲授法、讨论法、案例分析法、课外自主学习、小组合作学习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411" w:type="dxa"/>
            <w:vMerge w:val="continue"/>
          </w:tcPr>
          <w:p>
            <w:pPr>
              <w:widowControl/>
              <w:rPr>
                <w:rFonts w:ascii="方正仿宋_GBK" w:hAnsi="方正仿宋_GBK" w:eastAsia="方正仿宋_GBK" w:cs="方正仿宋_GBK"/>
                <w:b/>
                <w:sz w:val="28"/>
                <w:szCs w:val="28"/>
              </w:rPr>
            </w:pPr>
          </w:p>
        </w:tc>
        <w:tc>
          <w:tcPr>
            <w:tcW w:w="1343"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417" w:type="dxa"/>
          </w:tcPr>
          <w:p>
            <w:pPr>
              <w:widowControl/>
              <w:rPr>
                <w:rFonts w:hint="eastAsia"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lang w:val="en-US" w:eastAsia="zh-CN"/>
              </w:rPr>
              <w:t>1</w:t>
            </w:r>
          </w:p>
        </w:tc>
        <w:tc>
          <w:tcPr>
            <w:tcW w:w="4459"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案例分析法、小组合作学习、讨论法、课外自主学习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411" w:type="dxa"/>
            <w:vMerge w:val="restart"/>
          </w:tcPr>
          <w:p>
            <w:pPr>
              <w:widowControl/>
              <w:rPr>
                <w:rFonts w:hint="eastAsia" w:ascii="方正仿宋_GBK" w:hAnsi="方正仿宋_GBK" w:eastAsia="方正仿宋_GBK" w:cs="方正仿宋_GBK"/>
                <w:b/>
                <w:sz w:val="28"/>
                <w:szCs w:val="28"/>
                <w:lang w:val="en-US" w:eastAsia="zh-CN"/>
              </w:rPr>
            </w:pPr>
            <w:r>
              <w:rPr>
                <w:rFonts w:hint="eastAsia" w:ascii="方正仿宋_GBK" w:hAnsi="方正仿宋_GBK" w:eastAsia="方正仿宋_GBK" w:cs="方正仿宋_GBK"/>
                <w:b/>
                <w:sz w:val="28"/>
                <w:szCs w:val="28"/>
                <w:lang w:val="en-US" w:eastAsia="zh-CN"/>
              </w:rPr>
              <w:t>课程模块6：</w:t>
            </w:r>
          </w:p>
          <w:p>
            <w:pPr>
              <w:widowControl/>
              <w:rPr>
                <w:rFonts w:hint="default" w:ascii="方正仿宋_GBK" w:hAnsi="方正仿宋_GBK" w:eastAsia="方正仿宋_GBK" w:cs="方正仿宋_GBK"/>
                <w:b/>
                <w:sz w:val="28"/>
                <w:szCs w:val="28"/>
                <w:lang w:val="en-US" w:eastAsia="zh-CN"/>
              </w:rPr>
            </w:pPr>
            <w:r>
              <w:rPr>
                <w:rFonts w:hint="eastAsia" w:ascii="方正仿宋_GBK" w:hAnsi="方正仿宋_GBK" w:eastAsia="方正仿宋_GBK" w:cs="方正仿宋_GBK"/>
                <w:b/>
                <w:sz w:val="28"/>
                <w:szCs w:val="28"/>
                <w:lang w:val="en-US" w:eastAsia="zh-CN"/>
              </w:rPr>
              <w:t>蒙氏科学教育</w:t>
            </w:r>
          </w:p>
        </w:tc>
        <w:tc>
          <w:tcPr>
            <w:tcW w:w="1343" w:type="dxa"/>
            <w:vAlign w:val="top"/>
          </w:tcPr>
          <w:p>
            <w:pPr>
              <w:widowControl/>
              <w:rPr>
                <w:rFonts w:hint="eastAsia"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rPr>
              <w:t>理论教学</w:t>
            </w:r>
          </w:p>
        </w:tc>
        <w:tc>
          <w:tcPr>
            <w:tcW w:w="1417" w:type="dxa"/>
            <w:vAlign w:val="top"/>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1</w:t>
            </w:r>
          </w:p>
        </w:tc>
        <w:tc>
          <w:tcPr>
            <w:tcW w:w="4459" w:type="dxa"/>
            <w:vAlign w:val="top"/>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讲授法、讨论法、案例分析法、课外自主学习、小组合作学习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411" w:type="dxa"/>
            <w:vMerge w:val="continue"/>
            <w:tcBorders/>
            <w:vAlign w:val="top"/>
          </w:tcPr>
          <w:p>
            <w:pPr>
              <w:widowControl/>
              <w:rPr>
                <w:rFonts w:ascii="方正仿宋_GBK" w:hAnsi="方正仿宋_GBK" w:eastAsia="方正仿宋_GBK" w:cs="方正仿宋_GBK"/>
                <w:b/>
                <w:sz w:val="28"/>
                <w:szCs w:val="28"/>
              </w:rPr>
            </w:pPr>
          </w:p>
        </w:tc>
        <w:tc>
          <w:tcPr>
            <w:tcW w:w="1343" w:type="dxa"/>
            <w:vAlign w:val="top"/>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417" w:type="dxa"/>
            <w:vAlign w:val="top"/>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lang w:val="en-US" w:eastAsia="zh-CN"/>
              </w:rPr>
              <w:t>1</w:t>
            </w:r>
          </w:p>
        </w:tc>
        <w:tc>
          <w:tcPr>
            <w:tcW w:w="4459" w:type="dxa"/>
            <w:vAlign w:val="top"/>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案例分析法、小组合作学习、讨论法、课外自主学习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411" w:type="dxa"/>
            <w:vAlign w:val="top"/>
          </w:tcPr>
          <w:p>
            <w:pPr>
              <w:widowControl/>
              <w:rPr>
                <w:rFonts w:hint="eastAsia" w:ascii="方正仿宋_GBK" w:hAnsi="方正仿宋_GBK" w:eastAsia="方正仿宋_GBK" w:cs="方正仿宋_GBK"/>
                <w:b/>
                <w:sz w:val="28"/>
                <w:szCs w:val="28"/>
                <w:lang w:eastAsia="zh-CN"/>
              </w:rPr>
            </w:pPr>
            <w:r>
              <w:rPr>
                <w:rFonts w:hint="eastAsia" w:ascii="方正仿宋_GBK" w:hAnsi="方正仿宋_GBK" w:eastAsia="方正仿宋_GBK" w:cs="方正仿宋_GBK"/>
                <w:b/>
                <w:sz w:val="28"/>
                <w:szCs w:val="28"/>
                <w:lang w:val="en-US" w:eastAsia="zh-CN"/>
              </w:rPr>
              <w:t>考察</w:t>
            </w:r>
          </w:p>
        </w:tc>
        <w:tc>
          <w:tcPr>
            <w:tcW w:w="1343" w:type="dxa"/>
            <w:vAlign w:val="top"/>
          </w:tcPr>
          <w:p>
            <w:pPr>
              <w:widowControl/>
              <w:rPr>
                <w:rFonts w:ascii="方正仿宋_GBK" w:hAnsi="方正仿宋_GBK" w:eastAsia="方正仿宋_GBK" w:cs="方正仿宋_GBK"/>
                <w:bCs/>
                <w:sz w:val="28"/>
                <w:szCs w:val="28"/>
              </w:rPr>
            </w:pPr>
          </w:p>
        </w:tc>
        <w:tc>
          <w:tcPr>
            <w:tcW w:w="1417" w:type="dxa"/>
            <w:vAlign w:val="top"/>
          </w:tcPr>
          <w:p>
            <w:pPr>
              <w:widowControl/>
              <w:rPr>
                <w:rFonts w:hint="eastAsia"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2</w:t>
            </w:r>
          </w:p>
        </w:tc>
        <w:tc>
          <w:tcPr>
            <w:tcW w:w="4459" w:type="dxa"/>
            <w:vAlign w:val="top"/>
          </w:tcPr>
          <w:p>
            <w:pPr>
              <w:widowControl/>
              <w:rPr>
                <w:rFonts w:ascii="方正仿宋_GBK" w:hAnsi="方正仿宋_GBK" w:eastAsia="方正仿宋_GBK" w:cs="方正仿宋_GBK"/>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411" w:type="dxa"/>
            <w:vAlign w:val="top"/>
          </w:tcPr>
          <w:p>
            <w:pPr>
              <w:widowControl/>
              <w:rPr>
                <w:rFonts w:hint="eastAsia"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合计</w:t>
            </w:r>
          </w:p>
        </w:tc>
        <w:tc>
          <w:tcPr>
            <w:tcW w:w="1343" w:type="dxa"/>
            <w:vAlign w:val="top"/>
          </w:tcPr>
          <w:p>
            <w:pPr>
              <w:widowControl/>
              <w:rPr>
                <w:rFonts w:ascii="方正仿宋_GBK" w:hAnsi="方正仿宋_GBK" w:eastAsia="方正仿宋_GBK" w:cs="方正仿宋_GBK"/>
                <w:bCs/>
                <w:sz w:val="28"/>
                <w:szCs w:val="28"/>
              </w:rPr>
            </w:pPr>
          </w:p>
        </w:tc>
        <w:tc>
          <w:tcPr>
            <w:tcW w:w="1417" w:type="dxa"/>
            <w:vAlign w:val="top"/>
          </w:tcPr>
          <w:p>
            <w:pPr>
              <w:widowControl/>
              <w:rPr>
                <w:rFonts w:hint="eastAsia"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36</w:t>
            </w:r>
          </w:p>
        </w:tc>
        <w:tc>
          <w:tcPr>
            <w:tcW w:w="4459" w:type="dxa"/>
            <w:vAlign w:val="top"/>
          </w:tcPr>
          <w:p>
            <w:pPr>
              <w:widowControl/>
              <w:rPr>
                <w:rFonts w:ascii="方正仿宋_GBK" w:hAnsi="方正仿宋_GBK" w:eastAsia="方正仿宋_GBK" w:cs="方正仿宋_GBK"/>
                <w:bCs/>
                <w:sz w:val="28"/>
                <w:szCs w:val="28"/>
              </w:rPr>
            </w:pPr>
          </w:p>
        </w:tc>
      </w:tr>
    </w:tbl>
    <w:p>
      <w:pPr>
        <w:rPr>
          <w:rFonts w:ascii="方正仿宋_GBK" w:hAnsi="方正仿宋_GBK" w:eastAsia="方正仿宋_GBK" w:cs="方正仿宋_GBK"/>
          <w:sz w:val="24"/>
        </w:rPr>
      </w:pPr>
      <w:r>
        <w:rPr>
          <w:rFonts w:hint="eastAsia" w:ascii="方正仿宋_GBK" w:hAnsi="方正仿宋_GBK" w:eastAsia="方正仿宋_GBK" w:cs="方正仿宋_GBK"/>
          <w:sz w:val="24"/>
        </w:rPr>
        <w:t xml:space="preserve">说明 ：1.课时安排根据教学实际需要确定课时。 </w:t>
      </w:r>
    </w:p>
    <w:p>
      <w:pPr>
        <w:ind w:firstLine="480" w:firstLineChars="200"/>
        <w:rPr>
          <w:rFonts w:ascii="方正仿宋_GBK" w:hAnsi="方正仿宋_GBK" w:eastAsia="方正仿宋_GBK" w:cs="方正仿宋_GBK"/>
          <w:sz w:val="24"/>
        </w:rPr>
      </w:pPr>
      <w:r>
        <w:rPr>
          <w:rFonts w:hint="eastAsia" w:ascii="方正仿宋_GBK" w:hAnsi="方正仿宋_GBK" w:eastAsia="方正仿宋_GBK" w:cs="方正仿宋_GBK"/>
          <w:sz w:val="24"/>
        </w:rPr>
        <w:t>2.教学方法具体描述采用了讲授法、讨论法、实验法、现场观摩、直观法等。</w:t>
      </w:r>
    </w:p>
    <w:p>
      <w:pPr>
        <w:ind w:firstLine="480" w:firstLineChars="200"/>
        <w:rPr>
          <w:rFonts w:ascii="方正仿宋_GBK" w:hAnsi="方正仿宋_GBK" w:eastAsia="方正仿宋_GBK" w:cs="方正仿宋_GBK"/>
          <w:sz w:val="24"/>
        </w:rPr>
      </w:pPr>
      <w:r>
        <w:rPr>
          <w:rFonts w:hint="eastAsia" w:ascii="方正仿宋_GBK" w:hAnsi="方正仿宋_GBK" w:eastAsia="方正仿宋_GBK" w:cs="方正仿宋_GBK"/>
          <w:sz w:val="24"/>
        </w:rPr>
        <w:t>3.如果本门课程没有安排专门的实践学时，请说明如何通过如社会调查等课外实践方式、课程学习成果展示 与汇报等方式提升学生的实践运用能力。</w:t>
      </w:r>
    </w:p>
    <w:p>
      <w:pPr>
        <w:ind w:firstLine="480" w:firstLineChars="200"/>
        <w:rPr>
          <w:rFonts w:ascii="方正仿宋_GBK" w:hAnsi="方正仿宋_GBK" w:eastAsia="方正仿宋_GBK" w:cs="方正仿宋_GBK"/>
          <w:sz w:val="24"/>
        </w:rPr>
      </w:pPr>
      <w:r>
        <w:rPr>
          <w:rFonts w:hint="eastAsia" w:ascii="方正仿宋_GBK" w:hAnsi="方正仿宋_GBK" w:eastAsia="方正仿宋_GBK" w:cs="方正仿宋_GBK"/>
          <w:sz w:val="24"/>
        </w:rPr>
        <w:t>4.单纯的实践性课程或实验性课程，根据实验课程标准的要求填写。</w:t>
      </w: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lang w:val="en-US" w:eastAsia="zh-CN"/>
          <w14:textFill>
            <w14:solidFill>
              <w14:schemeClr w14:val="tx1"/>
            </w14:solidFill>
          </w14:textFill>
        </w:rPr>
        <w:t>四</w:t>
      </w:r>
      <w:r>
        <w:rPr>
          <w:rFonts w:hint="eastAsia" w:ascii="方正黑体_GBK" w:eastAsia="方正黑体_GBK"/>
          <w:color w:val="000000" w:themeColor="text1"/>
          <w:sz w:val="32"/>
          <w:szCs w:val="32"/>
          <w14:textFill>
            <w14:solidFill>
              <w14:schemeClr w14:val="tx1"/>
            </w14:solidFill>
          </w14:textFill>
        </w:rPr>
        <w:t>、课程考核与课程目标的对应关系</w:t>
      </w:r>
    </w:p>
    <w:tbl>
      <w:tblPr>
        <w:tblStyle w:val="5"/>
        <w:tblW w:w="89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8"/>
        <w:gridCol w:w="4376"/>
        <w:gridCol w:w="16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课程目标</w:t>
            </w:r>
          </w:p>
        </w:tc>
        <w:tc>
          <w:tcPr>
            <w:tcW w:w="4376"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考</w:t>
            </w:r>
            <w:r>
              <w:rPr>
                <w:rFonts w:hint="eastAsia" w:ascii="方正仿宋_GBK" w:hAnsi="方正仿宋_GBK" w:eastAsia="方正仿宋_GBK" w:cs="方正仿宋_GBK"/>
                <w:b/>
                <w:sz w:val="28"/>
                <w:szCs w:val="28"/>
                <w:lang w:val="en-US" w:eastAsia="zh-CN"/>
              </w:rPr>
              <w:t>查</w:t>
            </w:r>
            <w:r>
              <w:rPr>
                <w:rFonts w:hint="eastAsia" w:ascii="方正仿宋_GBK" w:hAnsi="方正仿宋_GBK" w:eastAsia="方正仿宋_GBK" w:cs="方正仿宋_GBK"/>
                <w:b/>
                <w:sz w:val="28"/>
                <w:szCs w:val="28"/>
              </w:rPr>
              <w:t>要点</w:t>
            </w:r>
          </w:p>
        </w:tc>
        <w:tc>
          <w:tcPr>
            <w:tcW w:w="1657"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考核方式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tabs>
                <w:tab w:val="left" w:pos="600"/>
              </w:tabs>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素质目标</w:t>
            </w:r>
          </w:p>
          <w:p>
            <w:pPr>
              <w:tabs>
                <w:tab w:val="left" w:pos="600"/>
              </w:tabs>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通过理论学习，教玩具操作训练，提高自身素质，使学生进一步懂得关注探索并深入思考教育下一代的方法及重要意义。</w:t>
            </w:r>
          </w:p>
          <w:p>
            <w:pPr>
              <w:spacing w:before="3"/>
              <w:rPr>
                <w:rFonts w:ascii="方正仿宋_GBK" w:hAnsi="方正仿宋_GBK" w:eastAsia="方正仿宋_GBK" w:cs="方正仿宋_GBK"/>
                <w:b/>
                <w:sz w:val="28"/>
                <w:szCs w:val="28"/>
              </w:rPr>
            </w:pPr>
            <w:r>
              <w:rPr>
                <w:rFonts w:hint="eastAsia" w:ascii="方正仿宋_GBK" w:hAnsi="方正仿宋_GBK" w:eastAsia="方正仿宋_GBK" w:cs="方正仿宋_GBK"/>
                <w:b/>
                <w:bCs/>
                <w:color w:val="000000"/>
                <w:sz w:val="28"/>
                <w:szCs w:val="28"/>
              </w:rPr>
              <w:t>权重 30%</w:t>
            </w:r>
          </w:p>
        </w:tc>
        <w:tc>
          <w:tcPr>
            <w:tcW w:w="4376" w:type="dxa"/>
          </w:tcPr>
          <w:p>
            <w:pPr>
              <w:pStyle w:val="10"/>
              <w:tabs>
                <w:tab w:val="left" w:pos="537"/>
              </w:tabs>
              <w:spacing w:before="7"/>
              <w:ind w:left="116" w:right="77"/>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1.</w:t>
            </w:r>
            <w:r>
              <w:rPr>
                <w:rFonts w:hint="eastAsia" w:ascii="方正仿宋_GBK" w:hAnsi="方正仿宋_GBK" w:eastAsia="方正仿宋_GBK" w:cs="方正仿宋_GBK"/>
                <w:sz w:val="28"/>
                <w:szCs w:val="28"/>
                <w:lang w:val="en-US" w:eastAsia="zh-CN"/>
              </w:rPr>
              <w:t>日常教育的初步认识</w:t>
            </w:r>
          </w:p>
          <w:p>
            <w:pPr>
              <w:pStyle w:val="10"/>
              <w:tabs>
                <w:tab w:val="left" w:pos="537"/>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2.</w:t>
            </w:r>
            <w:r>
              <w:rPr>
                <w:rFonts w:hint="eastAsia" w:ascii="方正仿宋_GBK" w:hAnsi="方正仿宋_GBK" w:eastAsia="方正仿宋_GBK" w:cs="方正仿宋_GBK"/>
                <w:sz w:val="28"/>
                <w:szCs w:val="28"/>
                <w:lang w:val="en-US" w:eastAsia="zh-CN"/>
              </w:rPr>
              <w:t>日常教具的实践及操作</w:t>
            </w:r>
          </w:p>
          <w:p>
            <w:pPr>
              <w:pStyle w:val="10"/>
              <w:tabs>
                <w:tab w:val="left" w:pos="537"/>
              </w:tabs>
              <w:spacing w:before="7"/>
              <w:ind w:left="116" w:right="77"/>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3.</w:t>
            </w:r>
            <w:r>
              <w:rPr>
                <w:rFonts w:hint="eastAsia" w:ascii="方正仿宋_GBK" w:hAnsi="方正仿宋_GBK" w:eastAsia="方正仿宋_GBK" w:cs="方正仿宋_GBK"/>
                <w:sz w:val="28"/>
                <w:szCs w:val="28"/>
                <w:lang w:val="en-US" w:eastAsia="zh-CN"/>
              </w:rPr>
              <w:t>特色感官教育</w:t>
            </w:r>
          </w:p>
          <w:p>
            <w:pPr>
              <w:pStyle w:val="10"/>
              <w:tabs>
                <w:tab w:val="left" w:pos="537"/>
              </w:tabs>
              <w:spacing w:before="7"/>
              <w:ind w:left="116" w:right="77"/>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4.</w:t>
            </w:r>
            <w:r>
              <w:rPr>
                <w:rFonts w:hint="eastAsia" w:ascii="方正仿宋_GBK" w:hAnsi="方正仿宋_GBK" w:eastAsia="方正仿宋_GBK" w:cs="方正仿宋_GBK"/>
                <w:sz w:val="28"/>
                <w:szCs w:val="28"/>
                <w:lang w:val="en-US" w:eastAsia="zh-CN"/>
              </w:rPr>
              <w:t>动物学的认知</w:t>
            </w:r>
          </w:p>
          <w:p>
            <w:pPr>
              <w:pStyle w:val="10"/>
              <w:tabs>
                <w:tab w:val="left" w:pos="537"/>
              </w:tabs>
              <w:spacing w:before="7"/>
              <w:ind w:left="116" w:right="77"/>
              <w:rPr>
                <w:rFonts w:ascii="方正仿宋_GBK" w:hAnsi="方正仿宋_GBK" w:eastAsia="方正仿宋_GBK" w:cs="方正仿宋_GBK"/>
                <w:b/>
                <w:sz w:val="28"/>
                <w:szCs w:val="28"/>
              </w:rPr>
            </w:pPr>
          </w:p>
        </w:tc>
        <w:tc>
          <w:tcPr>
            <w:tcW w:w="1657" w:type="dxa"/>
          </w:tcPr>
          <w:p>
            <w:pPr>
              <w:widowControl/>
              <w:rPr>
                <w:rFonts w:ascii="方正仿宋_GBK" w:hAnsi="方正仿宋_GBK" w:eastAsia="方正仿宋_GBK" w:cs="方正仿宋_GBK"/>
                <w:bCs/>
                <w:sz w:val="28"/>
                <w:szCs w:val="28"/>
              </w:rPr>
            </w:pPr>
          </w:p>
          <w:p>
            <w:pPr>
              <w:widowControl/>
              <w:rPr>
                <w:rFonts w:ascii="方正仿宋_GBK" w:hAnsi="方正仿宋_GBK" w:eastAsia="方正仿宋_GBK" w:cs="方正仿宋_GBK"/>
                <w:bCs/>
                <w:sz w:val="28"/>
                <w:szCs w:val="28"/>
              </w:rPr>
            </w:pPr>
          </w:p>
          <w:p>
            <w:pPr>
              <w:widowControl/>
              <w:ind w:firstLine="280" w:firstLineChars="100"/>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rPr>
              <w:t>期末</w:t>
            </w:r>
            <w:r>
              <w:rPr>
                <w:rFonts w:hint="eastAsia" w:ascii="方正仿宋_GBK" w:hAnsi="方正仿宋_GBK" w:eastAsia="方正仿宋_GBK" w:cs="方正仿宋_GBK"/>
                <w:bCs/>
                <w:sz w:val="28"/>
                <w:szCs w:val="28"/>
                <w:lang w:val="en-US" w:eastAsia="zh-CN"/>
              </w:rPr>
              <w:t>考察</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课后作业</w:t>
            </w:r>
          </w:p>
          <w:p>
            <w:pPr>
              <w:widowControl/>
              <w:ind w:firstLine="280" w:firstLineChars="100"/>
              <w:rPr>
                <w:rFonts w:ascii="方正仿宋_GBK" w:hAnsi="方正仿宋_GBK" w:eastAsia="方正仿宋_GBK" w:cs="方正仿宋_GBK"/>
                <w:b/>
                <w:sz w:val="28"/>
                <w:szCs w:val="28"/>
              </w:rPr>
            </w:pPr>
            <w:r>
              <w:rPr>
                <w:rFonts w:hint="eastAsia" w:ascii="方正仿宋_GBK" w:hAnsi="方正仿宋_GBK" w:eastAsia="方正仿宋_GBK" w:cs="方正仿宋_GBK"/>
                <w:bCs/>
                <w:sz w:val="28"/>
                <w:szCs w:val="28"/>
              </w:rPr>
              <w:t>课堂表现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pStyle w:val="9"/>
              <w:tabs>
                <w:tab w:val="left" w:pos="600"/>
              </w:tabs>
              <w:spacing w:before="1"/>
              <w:ind w:left="0"/>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认知目标</w:t>
            </w:r>
          </w:p>
          <w:p>
            <w:pPr>
              <w:pStyle w:val="9"/>
              <w:tabs>
                <w:tab w:val="left" w:pos="600"/>
              </w:tabs>
              <w:spacing w:before="1"/>
              <w:ind w:left="0"/>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了解蒙氏的生平和思想渊源，了解幼儿敏感期的划分，了解蒙氏教学中的三要素，了解蒙氏教育与传统教育的区别，选择性学习日常生活教育理论及教玩具操作，数学教育理论及教玩具操作，语言教育理论及教玩具操作。</w:t>
            </w:r>
          </w:p>
          <w:p>
            <w:pPr>
              <w:spacing w:before="44"/>
              <w:rPr>
                <w:rFonts w:ascii="方正仿宋_GBK" w:hAnsi="方正仿宋_GBK" w:eastAsia="方正仿宋_GBK" w:cs="方正仿宋_GBK"/>
                <w:b/>
                <w:bCs/>
                <w:sz w:val="28"/>
                <w:szCs w:val="28"/>
              </w:rPr>
            </w:pPr>
            <w:r>
              <w:rPr>
                <w:rFonts w:hint="eastAsia" w:ascii="方正仿宋_GBK" w:hAnsi="方正仿宋_GBK" w:eastAsia="方正仿宋_GBK" w:cs="方正仿宋_GBK"/>
                <w:b/>
                <w:bCs/>
                <w:color w:val="000000"/>
                <w:sz w:val="28"/>
                <w:szCs w:val="28"/>
              </w:rPr>
              <w:t>权重50%</w:t>
            </w:r>
          </w:p>
          <w:p>
            <w:pPr>
              <w:widowControl/>
              <w:rPr>
                <w:rFonts w:ascii="方正仿宋_GBK" w:hAnsi="方正仿宋_GBK" w:eastAsia="方正仿宋_GBK" w:cs="方正仿宋_GBK"/>
                <w:b/>
                <w:sz w:val="28"/>
                <w:szCs w:val="28"/>
              </w:rPr>
            </w:pPr>
          </w:p>
        </w:tc>
        <w:tc>
          <w:tcPr>
            <w:tcW w:w="4376" w:type="dxa"/>
          </w:tcPr>
          <w:p>
            <w:pPr>
              <w:tabs>
                <w:tab w:val="left" w:pos="312"/>
              </w:tabs>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1.</w:t>
            </w:r>
            <w:r>
              <w:rPr>
                <w:rFonts w:hint="eastAsia" w:ascii="方正仿宋_GBK" w:hAnsi="方正仿宋_GBK" w:eastAsia="方正仿宋_GBK" w:cs="方正仿宋_GBK"/>
                <w:sz w:val="28"/>
                <w:szCs w:val="28"/>
                <w:lang w:val="en-US" w:eastAsia="zh-CN"/>
              </w:rPr>
              <w:t>蒙台梭利的生平</w:t>
            </w:r>
          </w:p>
          <w:p>
            <w:pPr>
              <w:tabs>
                <w:tab w:val="left" w:pos="312"/>
              </w:tabs>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2.</w:t>
            </w:r>
            <w:r>
              <w:rPr>
                <w:rFonts w:hint="eastAsia" w:ascii="方正仿宋_GBK" w:hAnsi="方正仿宋_GBK" w:eastAsia="方正仿宋_GBK" w:cs="方正仿宋_GBK"/>
                <w:sz w:val="28"/>
                <w:szCs w:val="28"/>
                <w:lang w:val="en-US" w:eastAsia="zh-CN"/>
              </w:rPr>
              <w:t>蒙氏教育特色</w:t>
            </w:r>
            <w:r>
              <w:rPr>
                <w:rFonts w:hint="eastAsia" w:ascii="方正仿宋_GBK" w:hAnsi="方正仿宋_GBK" w:eastAsia="方正仿宋_GBK" w:cs="方正仿宋_GBK"/>
                <w:sz w:val="28"/>
                <w:szCs w:val="28"/>
              </w:rPr>
              <w:t>。</w:t>
            </w:r>
          </w:p>
          <w:p>
            <w:pPr>
              <w:tabs>
                <w:tab w:val="left" w:pos="312"/>
              </w:tabs>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3.</w:t>
            </w:r>
            <w:r>
              <w:rPr>
                <w:rFonts w:hint="eastAsia" w:ascii="方正仿宋_GBK" w:hAnsi="方正仿宋_GBK" w:eastAsia="方正仿宋_GBK" w:cs="方正仿宋_GBK"/>
                <w:sz w:val="28"/>
                <w:szCs w:val="28"/>
                <w:lang w:val="en-US" w:eastAsia="zh-CN"/>
              </w:rPr>
              <w:t>蒙台梭利的教育理念</w:t>
            </w:r>
          </w:p>
          <w:p>
            <w:pPr>
              <w:tabs>
                <w:tab w:val="left" w:pos="312"/>
              </w:tabs>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4.</w:t>
            </w:r>
            <w:r>
              <w:rPr>
                <w:rFonts w:hint="eastAsia" w:ascii="方正仿宋_GBK" w:hAnsi="方正仿宋_GBK" w:eastAsia="方正仿宋_GBK" w:cs="方正仿宋_GBK"/>
                <w:sz w:val="28"/>
                <w:szCs w:val="28"/>
                <w:lang w:val="en-US" w:eastAsia="zh-CN"/>
              </w:rPr>
              <w:t>蒙氏教育科学领域总概况</w:t>
            </w:r>
            <w:r>
              <w:rPr>
                <w:rFonts w:hint="eastAsia" w:ascii="方正仿宋_GBK" w:hAnsi="方正仿宋_GBK" w:eastAsia="方正仿宋_GBK" w:cs="方正仿宋_GBK"/>
                <w:sz w:val="28"/>
                <w:szCs w:val="28"/>
              </w:rPr>
              <w:t>。</w:t>
            </w:r>
          </w:p>
          <w:p>
            <w:pPr>
              <w:pStyle w:val="10"/>
              <w:tabs>
                <w:tab w:val="left" w:pos="537"/>
              </w:tabs>
              <w:spacing w:before="7"/>
              <w:ind w:right="77"/>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5.</w:t>
            </w:r>
            <w:r>
              <w:rPr>
                <w:rFonts w:hint="eastAsia" w:ascii="方正仿宋_GBK" w:hAnsi="方正仿宋_GBK" w:eastAsia="方正仿宋_GBK" w:cs="方正仿宋_GBK"/>
                <w:sz w:val="28"/>
                <w:szCs w:val="28"/>
                <w:lang w:val="en-US" w:eastAsia="zh-CN"/>
              </w:rPr>
              <w:t>蒙氏教育的基本原则</w:t>
            </w:r>
          </w:p>
          <w:p>
            <w:pPr>
              <w:tabs>
                <w:tab w:val="left" w:pos="312"/>
              </w:tabs>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6.</w:t>
            </w:r>
            <w:r>
              <w:rPr>
                <w:rFonts w:hint="eastAsia" w:ascii="方正仿宋_GBK" w:hAnsi="方正仿宋_GBK" w:eastAsia="方正仿宋_GBK" w:cs="方正仿宋_GBK"/>
                <w:sz w:val="28"/>
                <w:szCs w:val="28"/>
                <w:lang w:val="en-US" w:eastAsia="zh-CN"/>
              </w:rPr>
              <w:t>植物类的认知</w:t>
            </w:r>
          </w:p>
          <w:p>
            <w:pPr>
              <w:pStyle w:val="10"/>
              <w:tabs>
                <w:tab w:val="left" w:pos="537"/>
              </w:tabs>
              <w:spacing w:before="7"/>
              <w:ind w:right="77"/>
              <w:rPr>
                <w:rFonts w:ascii="方正仿宋_GBK" w:hAnsi="方正仿宋_GBK" w:eastAsia="方正仿宋_GBK" w:cs="方正仿宋_GBK"/>
                <w:b/>
                <w:sz w:val="28"/>
                <w:szCs w:val="28"/>
              </w:rPr>
            </w:pPr>
            <w:r>
              <w:rPr>
                <w:rFonts w:hint="eastAsia" w:ascii="方正仿宋_GBK" w:hAnsi="方正仿宋_GBK" w:eastAsia="方正仿宋_GBK" w:cs="方正仿宋_GBK"/>
                <w:sz w:val="28"/>
                <w:szCs w:val="28"/>
              </w:rPr>
              <w:t>7.</w:t>
            </w:r>
            <w:r>
              <w:rPr>
                <w:rFonts w:hint="eastAsia" w:ascii="方正仿宋_GBK" w:hAnsi="方正仿宋_GBK" w:eastAsia="方正仿宋_GBK" w:cs="方正仿宋_GBK"/>
                <w:sz w:val="28"/>
                <w:szCs w:val="28"/>
                <w:lang w:val="en-US" w:eastAsia="zh-CN"/>
              </w:rPr>
              <w:t>地理学的认知</w:t>
            </w:r>
          </w:p>
        </w:tc>
        <w:tc>
          <w:tcPr>
            <w:tcW w:w="1657" w:type="dxa"/>
          </w:tcPr>
          <w:p>
            <w:pPr>
              <w:widowControl/>
              <w:jc w:val="center"/>
              <w:rPr>
                <w:rFonts w:hint="eastAsia" w:ascii="方正仿宋_GBK" w:hAnsi="方正仿宋_GBK" w:eastAsia="方正仿宋_GBK" w:cs="方正仿宋_GBK"/>
                <w:bCs/>
                <w:sz w:val="28"/>
                <w:szCs w:val="28"/>
              </w:rPr>
            </w:pPr>
          </w:p>
          <w:p>
            <w:pPr>
              <w:widowControl/>
              <w:jc w:val="center"/>
              <w:rPr>
                <w:rFonts w:hint="eastAsia" w:ascii="方正仿宋_GBK" w:hAnsi="方正仿宋_GBK" w:eastAsia="方正仿宋_GBK" w:cs="方正仿宋_GBK"/>
                <w:bCs/>
                <w:sz w:val="28"/>
                <w:szCs w:val="28"/>
              </w:rPr>
            </w:pPr>
          </w:p>
          <w:p>
            <w:pPr>
              <w:widowControl/>
              <w:jc w:val="center"/>
              <w:rPr>
                <w:rFonts w:hint="eastAsia" w:ascii="方正仿宋_GBK" w:hAnsi="方正仿宋_GBK" w:eastAsia="方正仿宋_GBK" w:cs="方正仿宋_GBK"/>
                <w:bCs/>
                <w:sz w:val="28"/>
                <w:szCs w:val="28"/>
              </w:rPr>
            </w:pPr>
          </w:p>
          <w:p>
            <w:pPr>
              <w:widowControl/>
              <w:jc w:val="center"/>
              <w:rPr>
                <w:rFonts w:hint="eastAsia"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rPr>
              <w:t>期末</w:t>
            </w:r>
            <w:r>
              <w:rPr>
                <w:rFonts w:hint="eastAsia" w:ascii="方正仿宋_GBK" w:hAnsi="方正仿宋_GBK" w:eastAsia="方正仿宋_GBK" w:cs="方正仿宋_GBK"/>
                <w:bCs/>
                <w:sz w:val="28"/>
                <w:szCs w:val="28"/>
                <w:lang w:val="en-US" w:eastAsia="zh-CN"/>
              </w:rPr>
              <w:t>考察</w:t>
            </w:r>
          </w:p>
          <w:p>
            <w:pPr>
              <w:widowControl/>
              <w:jc w:val="center"/>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小组研修</w:t>
            </w:r>
          </w:p>
          <w:p>
            <w:pPr>
              <w:widowControl/>
              <w:jc w:val="center"/>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课堂表现</w:t>
            </w:r>
          </w:p>
          <w:p>
            <w:pPr>
              <w:widowControl/>
              <w:jc w:val="center"/>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课后作业</w:t>
            </w:r>
          </w:p>
          <w:p>
            <w:pPr>
              <w:widowControl/>
              <w:jc w:val="both"/>
              <w:rPr>
                <w:rFonts w:ascii="方正仿宋_GBK" w:hAnsi="方正仿宋_GBK" w:eastAsia="方正仿宋_GBK" w:cs="方正仿宋_GBK"/>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pStyle w:val="10"/>
              <w:tabs>
                <w:tab w:val="left" w:pos="537"/>
              </w:tabs>
              <w:spacing w:before="7"/>
              <w:ind w:right="77"/>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能力目标</w:t>
            </w:r>
          </w:p>
          <w:p>
            <w:pPr>
              <w:pStyle w:val="10"/>
              <w:tabs>
                <w:tab w:val="left" w:pos="537"/>
              </w:tabs>
              <w:spacing w:before="7"/>
              <w:ind w:right="77"/>
              <w:rPr>
                <w:rFonts w:ascii="方正仿宋_GBK" w:hAnsi="方正仿宋_GBK" w:eastAsia="方正仿宋_GBK" w:cs="方正仿宋_GBK"/>
                <w:b/>
                <w:bCs/>
                <w:sz w:val="28"/>
                <w:szCs w:val="28"/>
              </w:rPr>
            </w:pPr>
            <w:r>
              <w:rPr>
                <w:rFonts w:hint="eastAsia" w:ascii="方正仿宋_GBK" w:hAnsi="方正仿宋_GBK" w:eastAsia="方正仿宋_GBK" w:cs="方正仿宋_GBK"/>
                <w:sz w:val="28"/>
                <w:szCs w:val="28"/>
              </w:rPr>
              <w:t>初步理解蒙氏教育理念，懂得蒙氏教玩具的操作，探索并灵活运用到幼儿园，及家庭的教育教学中，并懂得寻找在教学运用中存在的问题，尝试寻找解决问题的方法。</w:t>
            </w:r>
          </w:p>
          <w:p>
            <w:pPr>
              <w:spacing w:before="2"/>
              <w:rPr>
                <w:rFonts w:ascii="方正仿宋_GBK" w:hAnsi="方正仿宋_GBK" w:eastAsia="方正仿宋_GBK" w:cs="方正仿宋_GBK"/>
                <w:b/>
                <w:bCs/>
                <w:sz w:val="28"/>
                <w:szCs w:val="28"/>
              </w:rPr>
            </w:pPr>
            <w:r>
              <w:rPr>
                <w:rFonts w:hint="eastAsia" w:ascii="方正仿宋_GBK" w:hAnsi="方正仿宋_GBK" w:eastAsia="方正仿宋_GBK" w:cs="方正仿宋_GBK"/>
                <w:b/>
                <w:bCs/>
                <w:color w:val="000000"/>
                <w:sz w:val="28"/>
                <w:szCs w:val="28"/>
              </w:rPr>
              <w:t>权重20%</w:t>
            </w:r>
          </w:p>
        </w:tc>
        <w:tc>
          <w:tcPr>
            <w:tcW w:w="4376" w:type="dxa"/>
          </w:tcPr>
          <w:p>
            <w:pPr>
              <w:pStyle w:val="10"/>
              <w:tabs>
                <w:tab w:val="left" w:pos="537"/>
              </w:tabs>
              <w:spacing w:before="7"/>
              <w:ind w:right="77"/>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1.</w:t>
            </w:r>
            <w:r>
              <w:rPr>
                <w:rFonts w:hint="eastAsia" w:ascii="方正仿宋_GBK" w:hAnsi="方正仿宋_GBK" w:eastAsia="方正仿宋_GBK" w:cs="方正仿宋_GBK"/>
                <w:sz w:val="28"/>
                <w:szCs w:val="28"/>
                <w:lang w:val="en-US" w:eastAsia="zh-CN"/>
              </w:rPr>
              <w:t>特色蒙台梭利教具的制作</w:t>
            </w:r>
          </w:p>
          <w:p>
            <w:pPr>
              <w:pStyle w:val="10"/>
              <w:tabs>
                <w:tab w:val="left" w:pos="537"/>
              </w:tabs>
              <w:spacing w:before="7"/>
              <w:ind w:right="77"/>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2.</w:t>
            </w:r>
            <w:r>
              <w:rPr>
                <w:rFonts w:hint="eastAsia" w:ascii="方正仿宋_GBK" w:hAnsi="方正仿宋_GBK" w:eastAsia="方正仿宋_GBK" w:cs="方正仿宋_GBK"/>
                <w:sz w:val="28"/>
                <w:szCs w:val="28"/>
                <w:lang w:val="en-US" w:eastAsia="zh-CN"/>
              </w:rPr>
              <w:t>数学拔高课程训练</w:t>
            </w:r>
          </w:p>
          <w:p>
            <w:pPr>
              <w:pStyle w:val="10"/>
              <w:tabs>
                <w:tab w:val="left" w:pos="537"/>
              </w:tabs>
              <w:spacing w:before="7"/>
              <w:ind w:right="77"/>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3.</w:t>
            </w:r>
            <w:r>
              <w:rPr>
                <w:rFonts w:hint="eastAsia" w:ascii="方正仿宋_GBK" w:hAnsi="方正仿宋_GBK" w:eastAsia="方正仿宋_GBK" w:cs="方正仿宋_GBK"/>
                <w:sz w:val="28"/>
                <w:szCs w:val="28"/>
                <w:lang w:val="en-US" w:eastAsia="zh-CN"/>
              </w:rPr>
              <w:t>拼音教具的使用及学习</w:t>
            </w:r>
          </w:p>
          <w:p>
            <w:pPr>
              <w:pStyle w:val="10"/>
              <w:tabs>
                <w:tab w:val="left" w:pos="537"/>
              </w:tabs>
              <w:spacing w:before="7"/>
              <w:ind w:right="77"/>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4.</w:t>
            </w:r>
            <w:r>
              <w:rPr>
                <w:rFonts w:hint="eastAsia" w:ascii="方正仿宋_GBK" w:hAnsi="方正仿宋_GBK" w:eastAsia="方正仿宋_GBK" w:cs="方正仿宋_GBK"/>
                <w:sz w:val="28"/>
                <w:szCs w:val="28"/>
                <w:lang w:val="en-US" w:eastAsia="zh-CN"/>
              </w:rPr>
              <w:t>动物学的操作</w:t>
            </w:r>
          </w:p>
          <w:p>
            <w:pPr>
              <w:pStyle w:val="10"/>
              <w:tabs>
                <w:tab w:val="left" w:pos="537"/>
              </w:tabs>
              <w:spacing w:before="7"/>
              <w:ind w:right="77"/>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5.</w:t>
            </w:r>
            <w:r>
              <w:rPr>
                <w:rFonts w:hint="eastAsia" w:ascii="方正仿宋_GBK" w:hAnsi="方正仿宋_GBK" w:eastAsia="方正仿宋_GBK" w:cs="方正仿宋_GBK"/>
                <w:sz w:val="28"/>
                <w:szCs w:val="28"/>
                <w:lang w:val="en-US" w:eastAsia="zh-CN"/>
              </w:rPr>
              <w:t>植物类的操作</w:t>
            </w:r>
          </w:p>
          <w:p>
            <w:pPr>
              <w:pStyle w:val="10"/>
              <w:tabs>
                <w:tab w:val="left" w:pos="537"/>
              </w:tabs>
              <w:spacing w:before="7"/>
              <w:ind w:right="77"/>
              <w:rPr>
                <w:rFonts w:hint="default" w:ascii="方正仿宋_GBK" w:hAnsi="方正仿宋_GBK" w:eastAsia="方正仿宋_GBK" w:cs="方正仿宋_GBK"/>
                <w:b/>
                <w:sz w:val="28"/>
                <w:szCs w:val="28"/>
                <w:lang w:val="en-US" w:eastAsia="zh-CN"/>
              </w:rPr>
            </w:pPr>
            <w:r>
              <w:rPr>
                <w:rFonts w:hint="eastAsia" w:ascii="方正仿宋_GBK" w:hAnsi="方正仿宋_GBK" w:eastAsia="方正仿宋_GBK" w:cs="方正仿宋_GBK"/>
                <w:sz w:val="28"/>
                <w:szCs w:val="28"/>
              </w:rPr>
              <w:t>6.</w:t>
            </w:r>
            <w:r>
              <w:rPr>
                <w:rFonts w:hint="eastAsia" w:ascii="方正仿宋_GBK" w:hAnsi="方正仿宋_GBK" w:eastAsia="方正仿宋_GBK" w:cs="方正仿宋_GBK"/>
                <w:sz w:val="28"/>
                <w:szCs w:val="28"/>
                <w:lang w:val="en-US" w:eastAsia="zh-CN"/>
              </w:rPr>
              <w:t>地理学的操作</w:t>
            </w:r>
          </w:p>
        </w:tc>
        <w:tc>
          <w:tcPr>
            <w:tcW w:w="1657" w:type="dxa"/>
          </w:tcPr>
          <w:p>
            <w:pPr>
              <w:widowControl/>
              <w:ind w:firstLine="280" w:firstLineChars="100"/>
              <w:rPr>
                <w:rFonts w:ascii="方正仿宋_GBK" w:hAnsi="方正仿宋_GBK" w:eastAsia="方正仿宋_GBK" w:cs="方正仿宋_GBK"/>
                <w:b w:val="0"/>
                <w:bCs/>
                <w:sz w:val="28"/>
                <w:szCs w:val="28"/>
              </w:rPr>
            </w:pPr>
          </w:p>
          <w:p>
            <w:pPr>
              <w:widowControl/>
              <w:ind w:firstLine="280" w:firstLineChars="100"/>
              <w:rPr>
                <w:rFonts w:ascii="方正仿宋_GBK" w:hAnsi="方正仿宋_GBK" w:eastAsia="方正仿宋_GBK" w:cs="方正仿宋_GBK"/>
                <w:b w:val="0"/>
                <w:bCs/>
                <w:sz w:val="28"/>
                <w:szCs w:val="28"/>
              </w:rPr>
            </w:pPr>
            <w:r>
              <w:rPr>
                <w:rFonts w:hint="eastAsia" w:ascii="方正仿宋_GBK" w:hAnsi="方正仿宋_GBK" w:eastAsia="方正仿宋_GBK" w:cs="方正仿宋_GBK"/>
                <w:b w:val="0"/>
                <w:bCs/>
                <w:sz w:val="28"/>
                <w:szCs w:val="28"/>
              </w:rPr>
              <w:t>课堂表现</w:t>
            </w:r>
          </w:p>
          <w:p>
            <w:pPr>
              <w:widowControl/>
              <w:ind w:firstLine="280" w:firstLineChars="100"/>
              <w:rPr>
                <w:rFonts w:hint="eastAsia" w:ascii="方正仿宋_GBK" w:hAnsi="方正仿宋_GBK" w:eastAsia="方正仿宋_GBK" w:cs="方正仿宋_GBK"/>
                <w:b w:val="0"/>
                <w:bCs/>
                <w:sz w:val="28"/>
                <w:szCs w:val="28"/>
                <w:lang w:val="en-US" w:eastAsia="zh-CN"/>
              </w:rPr>
            </w:pPr>
            <w:r>
              <w:rPr>
                <w:rFonts w:hint="eastAsia" w:ascii="方正仿宋_GBK" w:hAnsi="方正仿宋_GBK" w:eastAsia="方正仿宋_GBK" w:cs="方正仿宋_GBK"/>
                <w:b w:val="0"/>
                <w:bCs/>
                <w:sz w:val="28"/>
                <w:szCs w:val="28"/>
                <w:lang w:val="en-US" w:eastAsia="zh-CN"/>
              </w:rPr>
              <w:t>期末考查</w:t>
            </w:r>
          </w:p>
        </w:tc>
      </w:tr>
    </w:tbl>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lang w:val="en-US" w:eastAsia="zh-CN"/>
          <w14:textFill>
            <w14:solidFill>
              <w14:schemeClr w14:val="tx1"/>
            </w14:solidFill>
          </w14:textFill>
        </w:rPr>
        <w:t>五</w:t>
      </w:r>
      <w:r>
        <w:rPr>
          <w:rFonts w:hint="eastAsia" w:ascii="方正黑体_GBK" w:eastAsia="方正黑体_GBK"/>
          <w:color w:val="000000" w:themeColor="text1"/>
          <w:sz w:val="32"/>
          <w:szCs w:val="32"/>
          <w14:textFill>
            <w14:solidFill>
              <w14:schemeClr w14:val="tx1"/>
            </w14:solidFill>
          </w14:textFill>
        </w:rPr>
        <w:t>、教学内容</w:t>
      </w:r>
    </w:p>
    <w:p>
      <w:pPr>
        <w:ind w:firstLine="640" w:firstLineChars="200"/>
        <w:rPr>
          <w:rFonts w:hint="eastAsia" w:ascii="方正黑体_GBK" w:eastAsia="方正黑体_GBK"/>
          <w:color w:val="000000" w:themeColor="text1"/>
          <w:sz w:val="32"/>
          <w:szCs w:val="32"/>
          <w:lang w:eastAsia="zh-CN"/>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课程模块1：</w:t>
      </w:r>
      <w:r>
        <w:rPr>
          <w:rFonts w:hint="eastAsia" w:ascii="方正黑体_GBK" w:eastAsia="方正黑体_GBK"/>
          <w:color w:val="000000" w:themeColor="text1"/>
          <w:sz w:val="32"/>
          <w:szCs w:val="32"/>
          <w:lang w:val="en-US" w:eastAsia="zh-CN"/>
          <w14:textFill>
            <w14:solidFill>
              <w14:schemeClr w14:val="tx1"/>
            </w14:solidFill>
          </w14:textFill>
        </w:rPr>
        <w:t>蒙台梭利教育思想</w:t>
      </w:r>
    </w:p>
    <w:p>
      <w:pPr>
        <w:spacing w:line="360" w:lineRule="auto"/>
        <w:ind w:firstLine="643" w:firstLineChars="200"/>
        <w:rPr>
          <w:rFonts w:ascii="方正仿宋_GBK" w:hAnsi="方正仿宋_GBK" w:eastAsia="方正仿宋_GBK" w:cs="方正仿宋_GBK"/>
          <w:b/>
          <w:bCs/>
          <w:color w:val="000000"/>
          <w:sz w:val="32"/>
          <w:szCs w:val="32"/>
        </w:rPr>
      </w:pPr>
      <w:bookmarkStart w:id="0" w:name="_Hlk38116886"/>
      <w:bookmarkStart w:id="1" w:name="_Hlk38117254"/>
      <w:r>
        <w:rPr>
          <w:rFonts w:hint="eastAsia" w:ascii="方正仿宋_GBK" w:hAnsi="方正仿宋_GBK" w:eastAsia="方正仿宋_GBK" w:cs="方正仿宋_GBK"/>
          <w:b/>
          <w:bCs/>
          <w:color w:val="000000"/>
          <w:sz w:val="32"/>
          <w:szCs w:val="32"/>
        </w:rPr>
        <w:t>（</w:t>
      </w:r>
      <w:r>
        <w:rPr>
          <w:rFonts w:hint="eastAsia" w:ascii="方正仿宋_GBK" w:hAnsi="方正仿宋_GBK" w:eastAsia="方正仿宋_GBK" w:cs="方正仿宋_GBK"/>
          <w:b/>
          <w:bCs/>
          <w:color w:val="000000"/>
          <w:sz w:val="32"/>
          <w:szCs w:val="32"/>
          <w:lang w:val="en-US" w:eastAsia="zh-CN"/>
        </w:rPr>
        <w:t>一</w:t>
      </w:r>
      <w:r>
        <w:rPr>
          <w:rFonts w:hint="eastAsia" w:ascii="方正仿宋_GBK" w:hAnsi="方正仿宋_GBK" w:eastAsia="方正仿宋_GBK" w:cs="方正仿宋_GBK"/>
          <w:b/>
          <w:bCs/>
          <w:color w:val="000000"/>
          <w:sz w:val="32"/>
          <w:szCs w:val="32"/>
        </w:rPr>
        <w:t>）教学内容</w:t>
      </w:r>
    </w:p>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蒙台梭利生平介绍</w:t>
      </w:r>
    </w:p>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蒙氏教育的教育特色</w:t>
      </w:r>
    </w:p>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蒙台梭利的教育理念及模块设置</w:t>
      </w:r>
    </w:p>
    <w:p>
      <w:pPr>
        <w:spacing w:line="360" w:lineRule="auto"/>
        <w:ind w:firstLine="643" w:firstLineChars="200"/>
        <w:rPr>
          <w:rFonts w:hint="default"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蒙氏教育的基本原则及教师守则</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（二）教学重点和难点</w:t>
      </w:r>
    </w:p>
    <w:bookmarkEnd w:id="0"/>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教学重点：了解蒙台梭利教育体系的创办背景，从历史、社会等多方面深入理解蒙氏教育体系。充分理解蒙氏教育与普通教育的区别，了解蒙氏教育的五大模块，通过对蒙氏教育的基本原则学习，让学生更深的理解蒙氏教育，从而更好地进行课程教学。</w:t>
      </w:r>
    </w:p>
    <w:p>
      <w:pPr>
        <w:spacing w:line="360" w:lineRule="auto"/>
        <w:ind w:firstLine="643" w:firstLineChars="200"/>
        <w:rPr>
          <w:rFonts w:hint="default"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教学难点：蒙台梭利教育模块划分原理和依据。</w:t>
      </w:r>
    </w:p>
    <w:bookmarkEnd w:id="1"/>
    <w:p>
      <w:pPr>
        <w:ind w:firstLine="640" w:firstLineChars="200"/>
        <w:rPr>
          <w:rFonts w:hint="default" w:ascii="方正黑体_GBK" w:eastAsia="方正黑体_GBK"/>
          <w:color w:val="000000" w:themeColor="text1"/>
          <w:sz w:val="32"/>
          <w:szCs w:val="32"/>
          <w:lang w:val="en-US" w:eastAsia="zh-CN"/>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课程模块2：</w:t>
      </w:r>
      <w:r>
        <w:rPr>
          <w:rFonts w:hint="eastAsia" w:ascii="方正黑体_GBK" w:eastAsia="方正黑体_GBK"/>
          <w:color w:val="000000" w:themeColor="text1"/>
          <w:sz w:val="32"/>
          <w:szCs w:val="32"/>
          <w:lang w:val="en-US" w:eastAsia="zh-CN"/>
          <w14:textFill>
            <w14:solidFill>
              <w14:schemeClr w14:val="tx1"/>
            </w14:solidFill>
          </w14:textFill>
        </w:rPr>
        <w:t>蒙氏日常生活教育</w:t>
      </w:r>
    </w:p>
    <w:p>
      <w:pPr>
        <w:spacing w:line="360" w:lineRule="auto"/>
        <w:ind w:firstLine="643" w:firstLineChars="200"/>
        <w:rPr>
          <w:rFonts w:ascii="方正仿宋_GBK" w:hAnsi="方正仿宋_GBK" w:eastAsia="方正仿宋_GBK" w:cs="方正仿宋_GBK"/>
          <w:b/>
          <w:bCs/>
          <w:color w:val="000000"/>
          <w:sz w:val="32"/>
          <w:szCs w:val="32"/>
        </w:rPr>
      </w:pPr>
      <w:r>
        <w:rPr>
          <w:rFonts w:hint="eastAsia" w:ascii="方正仿宋_GBK" w:hAnsi="方正仿宋_GBK" w:eastAsia="方正仿宋_GBK" w:cs="方正仿宋_GBK"/>
          <w:b/>
          <w:bCs/>
          <w:color w:val="000000"/>
          <w:sz w:val="32"/>
          <w:szCs w:val="32"/>
        </w:rPr>
        <w:t>（</w:t>
      </w:r>
      <w:r>
        <w:rPr>
          <w:rFonts w:hint="eastAsia" w:ascii="方正仿宋_GBK" w:hAnsi="方正仿宋_GBK" w:eastAsia="方正仿宋_GBK" w:cs="方正仿宋_GBK"/>
          <w:b/>
          <w:bCs/>
          <w:color w:val="000000"/>
          <w:sz w:val="32"/>
          <w:szCs w:val="32"/>
          <w:lang w:val="en-US" w:eastAsia="zh-CN"/>
        </w:rPr>
        <w:t>一</w:t>
      </w:r>
      <w:r>
        <w:rPr>
          <w:rFonts w:hint="eastAsia" w:ascii="方正仿宋_GBK" w:hAnsi="方正仿宋_GBK" w:eastAsia="方正仿宋_GBK" w:cs="方正仿宋_GBK"/>
          <w:b/>
          <w:bCs/>
          <w:color w:val="000000"/>
          <w:sz w:val="32"/>
          <w:szCs w:val="32"/>
        </w:rPr>
        <w:t>）教学内容</w:t>
      </w:r>
    </w:p>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日常教育的初步认识</w:t>
      </w:r>
    </w:p>
    <w:p>
      <w:pPr>
        <w:spacing w:line="360" w:lineRule="auto"/>
        <w:ind w:firstLine="643" w:firstLineChars="200"/>
        <w:rPr>
          <w:rFonts w:hint="default"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日常生活教育的实践及操作</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（二）教学重点和难点</w:t>
      </w:r>
    </w:p>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教学重点：了解蒙台教学要求：认识日常教育领域中各个教具的名称、作用并掌握其操作方法，能熟练进行课程展示。</w:t>
      </w:r>
    </w:p>
    <w:p>
      <w:pPr>
        <w:spacing w:line="360" w:lineRule="auto"/>
        <w:ind w:firstLine="643" w:firstLineChars="200"/>
        <w:rPr>
          <w:rFonts w:ascii="方正仿宋_GBK" w:hAnsi="方正仿宋_GBK" w:eastAsia="方正仿宋_GBK" w:cs="方正仿宋_GBK"/>
          <w:b/>
          <w:bCs/>
          <w:sz w:val="24"/>
        </w:rPr>
      </w:pPr>
      <w:r>
        <w:rPr>
          <w:rFonts w:hint="eastAsia" w:ascii="方正仿宋_GBK" w:hAnsi="方正仿宋_GBK" w:eastAsia="方正仿宋_GBK" w:cs="方正仿宋_GBK"/>
          <w:b/>
          <w:bCs/>
          <w:sz w:val="32"/>
          <w:szCs w:val="32"/>
          <w:lang w:val="en-US" w:eastAsia="zh-CN"/>
        </w:rPr>
        <w:t>教学难点：蒙台梭利日常教具的掌握。</w:t>
      </w:r>
    </w:p>
    <w:p>
      <w:pPr>
        <w:ind w:firstLine="640" w:firstLineChars="200"/>
        <w:rPr>
          <w:rFonts w:hint="eastAsia" w:ascii="方正黑体_GBK" w:eastAsia="方正黑体_GBK"/>
          <w:color w:val="000000" w:themeColor="text1"/>
          <w:sz w:val="32"/>
          <w:szCs w:val="32"/>
          <w:lang w:eastAsia="zh-CN"/>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课程模块3：</w:t>
      </w:r>
      <w:r>
        <w:rPr>
          <w:rFonts w:hint="eastAsia" w:ascii="方正黑体_GBK" w:eastAsia="方正黑体_GBK"/>
          <w:color w:val="000000" w:themeColor="text1"/>
          <w:sz w:val="32"/>
          <w:szCs w:val="32"/>
          <w:lang w:val="en-US" w:eastAsia="zh-CN"/>
          <w14:textFill>
            <w14:solidFill>
              <w14:schemeClr w14:val="tx1"/>
            </w14:solidFill>
          </w14:textFill>
        </w:rPr>
        <w:t>蒙氏感官教育</w:t>
      </w:r>
    </w:p>
    <w:p>
      <w:pPr>
        <w:spacing w:line="360" w:lineRule="auto"/>
        <w:ind w:firstLine="643" w:firstLineChars="200"/>
        <w:rPr>
          <w:rFonts w:ascii="方正仿宋_GBK" w:hAnsi="方正仿宋_GBK" w:eastAsia="方正仿宋_GBK" w:cs="方正仿宋_GBK"/>
          <w:b/>
          <w:bCs/>
          <w:color w:val="000000"/>
          <w:sz w:val="32"/>
          <w:szCs w:val="32"/>
        </w:rPr>
      </w:pPr>
      <w:bookmarkStart w:id="2" w:name="OLE_LINK3"/>
      <w:r>
        <w:rPr>
          <w:rFonts w:hint="eastAsia" w:ascii="方正仿宋_GBK" w:hAnsi="方正仿宋_GBK" w:eastAsia="方正仿宋_GBK" w:cs="方正仿宋_GBK"/>
          <w:b/>
          <w:bCs/>
          <w:color w:val="000000"/>
          <w:sz w:val="32"/>
          <w:szCs w:val="32"/>
        </w:rPr>
        <w:t>（</w:t>
      </w:r>
      <w:r>
        <w:rPr>
          <w:rFonts w:hint="eastAsia" w:ascii="方正仿宋_GBK" w:hAnsi="方正仿宋_GBK" w:eastAsia="方正仿宋_GBK" w:cs="方正仿宋_GBK"/>
          <w:b/>
          <w:bCs/>
          <w:color w:val="000000"/>
          <w:sz w:val="32"/>
          <w:szCs w:val="32"/>
          <w:lang w:val="en-US" w:eastAsia="zh-CN"/>
        </w:rPr>
        <w:t>一</w:t>
      </w:r>
      <w:r>
        <w:rPr>
          <w:rFonts w:hint="eastAsia" w:ascii="方正仿宋_GBK" w:hAnsi="方正仿宋_GBK" w:eastAsia="方正仿宋_GBK" w:cs="方正仿宋_GBK"/>
          <w:b/>
          <w:bCs/>
          <w:color w:val="000000"/>
          <w:sz w:val="32"/>
          <w:szCs w:val="32"/>
        </w:rPr>
        <w:t>）教学内容</w:t>
      </w:r>
    </w:p>
    <w:p>
      <w:pPr>
        <w:spacing w:line="360" w:lineRule="auto"/>
        <w:ind w:firstLine="643" w:firstLineChars="200"/>
        <w:rPr>
          <w:rFonts w:hint="default"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一般的感官教育工作</w:t>
      </w:r>
    </w:p>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特色感官教育</w:t>
      </w:r>
    </w:p>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几何图形嵌板橱</w:t>
      </w:r>
    </w:p>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几何学立体组</w:t>
      </w:r>
    </w:p>
    <w:p>
      <w:pPr>
        <w:spacing w:line="360" w:lineRule="auto"/>
        <w:ind w:firstLine="643" w:firstLineChars="200"/>
        <w:rPr>
          <w:rFonts w:hint="default"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构成三角形盒</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（二）教学重点和难点</w:t>
      </w:r>
    </w:p>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教学重点：认识感官教育领域中各个教具的名称、作用，并掌握其操作方法，能熟练进行课程展示。</w:t>
      </w:r>
    </w:p>
    <w:p>
      <w:pPr>
        <w:spacing w:line="360" w:lineRule="auto"/>
        <w:ind w:firstLine="643"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lang w:val="en-US" w:eastAsia="zh-CN"/>
        </w:rPr>
        <w:t>教学难点：特色蒙台梭利教具的制作。</w:t>
      </w:r>
      <w:bookmarkEnd w:id="2"/>
    </w:p>
    <w:p>
      <w:pPr>
        <w:ind w:firstLine="640" w:firstLineChars="200"/>
        <w:rPr>
          <w:rFonts w:hint="eastAsia" w:ascii="方正黑体_GBK" w:eastAsia="方正黑体_GBK"/>
          <w:color w:val="000000" w:themeColor="text1"/>
          <w:sz w:val="32"/>
          <w:szCs w:val="32"/>
          <w:lang w:eastAsia="zh-CN"/>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课程模块4：</w:t>
      </w:r>
      <w:r>
        <w:rPr>
          <w:rFonts w:hint="eastAsia" w:ascii="方正黑体_GBK" w:eastAsia="方正黑体_GBK"/>
          <w:color w:val="000000" w:themeColor="text1"/>
          <w:sz w:val="32"/>
          <w:szCs w:val="32"/>
          <w:lang w:val="en-US" w:eastAsia="zh-CN"/>
          <w14:textFill>
            <w14:solidFill>
              <w14:schemeClr w14:val="tx1"/>
            </w14:solidFill>
          </w14:textFill>
        </w:rPr>
        <w:t>蒙氏数学教育</w:t>
      </w:r>
    </w:p>
    <w:p>
      <w:pPr>
        <w:spacing w:line="360" w:lineRule="auto"/>
        <w:ind w:firstLine="643" w:firstLineChars="200"/>
        <w:rPr>
          <w:rFonts w:ascii="方正仿宋_GBK" w:hAnsi="方正仿宋_GBK" w:eastAsia="方正仿宋_GBK" w:cs="方正仿宋_GBK"/>
          <w:b/>
          <w:bCs/>
          <w:color w:val="000000"/>
          <w:sz w:val="32"/>
          <w:szCs w:val="32"/>
        </w:rPr>
      </w:pPr>
      <w:bookmarkStart w:id="3" w:name="OLE_LINK4"/>
      <w:r>
        <w:rPr>
          <w:rFonts w:hint="eastAsia" w:ascii="方正仿宋_GBK" w:hAnsi="方正仿宋_GBK" w:eastAsia="方正仿宋_GBK" w:cs="方正仿宋_GBK"/>
          <w:b/>
          <w:bCs/>
          <w:color w:val="000000"/>
          <w:sz w:val="32"/>
          <w:szCs w:val="32"/>
        </w:rPr>
        <w:t>（</w:t>
      </w:r>
      <w:r>
        <w:rPr>
          <w:rFonts w:hint="eastAsia" w:ascii="方正仿宋_GBK" w:hAnsi="方正仿宋_GBK" w:eastAsia="方正仿宋_GBK" w:cs="方正仿宋_GBK"/>
          <w:b/>
          <w:bCs/>
          <w:color w:val="000000"/>
          <w:sz w:val="32"/>
          <w:szCs w:val="32"/>
          <w:lang w:val="en-US" w:eastAsia="zh-CN"/>
        </w:rPr>
        <w:t>一</w:t>
      </w:r>
      <w:r>
        <w:rPr>
          <w:rFonts w:hint="eastAsia" w:ascii="方正仿宋_GBK" w:hAnsi="方正仿宋_GBK" w:eastAsia="方正仿宋_GBK" w:cs="方正仿宋_GBK"/>
          <w:b/>
          <w:bCs/>
          <w:color w:val="000000"/>
          <w:sz w:val="32"/>
          <w:szCs w:val="32"/>
        </w:rPr>
        <w:t>）教学内容</w:t>
      </w:r>
    </w:p>
    <w:p>
      <w:pPr>
        <w:spacing w:line="360" w:lineRule="auto"/>
        <w:ind w:firstLine="643" w:firstLineChars="200"/>
        <w:rPr>
          <w:rFonts w:hint="default"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蒙台数学教育的理论基础</w:t>
      </w:r>
    </w:p>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蒙氏教育的基本工作展示</w:t>
      </w:r>
    </w:p>
    <w:p>
      <w:pPr>
        <w:spacing w:line="360" w:lineRule="auto"/>
        <w:ind w:firstLine="643" w:firstLineChars="200"/>
        <w:rPr>
          <w:rFonts w:hint="default"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蒙氏教育的特色工作操作</w:t>
      </w:r>
    </w:p>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数学教育的拔高训练课程</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（二）教学重点和难点</w:t>
      </w:r>
    </w:p>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教学重点：认识数学教育领域中，各个教具的名称、作用，并掌握其操作方法，能熟练进行课程展示。</w:t>
      </w:r>
    </w:p>
    <w:p>
      <w:pPr>
        <w:spacing w:line="360" w:lineRule="auto"/>
        <w:ind w:firstLine="643"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lang w:val="en-US" w:eastAsia="zh-CN"/>
        </w:rPr>
        <w:t>教学难点：数学拔高训练课程。</w:t>
      </w:r>
    </w:p>
    <w:bookmarkEnd w:id="3"/>
    <w:p>
      <w:pPr>
        <w:ind w:firstLine="640" w:firstLineChars="200"/>
        <w:rPr>
          <w:rFonts w:hint="eastAsia" w:ascii="方正黑体_GBK" w:eastAsia="方正黑体_GBK"/>
          <w:color w:val="000000" w:themeColor="text1"/>
          <w:sz w:val="32"/>
          <w:szCs w:val="32"/>
          <w:lang w:eastAsia="zh-CN"/>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课程模块5：</w:t>
      </w:r>
      <w:r>
        <w:rPr>
          <w:rFonts w:hint="eastAsia" w:ascii="方正黑体_GBK" w:eastAsia="方正黑体_GBK"/>
          <w:color w:val="000000" w:themeColor="text1"/>
          <w:sz w:val="32"/>
          <w:szCs w:val="32"/>
          <w:lang w:val="en-US" w:eastAsia="zh-CN"/>
          <w14:textFill>
            <w14:solidFill>
              <w14:schemeClr w14:val="tx1"/>
            </w14:solidFill>
          </w14:textFill>
        </w:rPr>
        <w:t>蒙氏语言教育</w:t>
      </w:r>
    </w:p>
    <w:p>
      <w:pPr>
        <w:spacing w:line="360" w:lineRule="auto"/>
        <w:ind w:firstLine="643" w:firstLineChars="200"/>
        <w:rPr>
          <w:rFonts w:ascii="方正仿宋_GBK" w:hAnsi="方正仿宋_GBK" w:eastAsia="方正仿宋_GBK" w:cs="方正仿宋_GBK"/>
          <w:b/>
          <w:bCs/>
          <w:color w:val="000000"/>
          <w:sz w:val="32"/>
          <w:szCs w:val="32"/>
        </w:rPr>
      </w:pPr>
      <w:r>
        <w:rPr>
          <w:rFonts w:hint="eastAsia" w:ascii="方正仿宋_GBK" w:hAnsi="方正仿宋_GBK" w:eastAsia="方正仿宋_GBK" w:cs="方正仿宋_GBK"/>
          <w:b/>
          <w:bCs/>
          <w:color w:val="000000"/>
          <w:sz w:val="32"/>
          <w:szCs w:val="32"/>
        </w:rPr>
        <w:t>（</w:t>
      </w:r>
      <w:r>
        <w:rPr>
          <w:rFonts w:hint="eastAsia" w:ascii="方正仿宋_GBK" w:hAnsi="方正仿宋_GBK" w:eastAsia="方正仿宋_GBK" w:cs="方正仿宋_GBK"/>
          <w:b/>
          <w:bCs/>
          <w:color w:val="000000"/>
          <w:sz w:val="32"/>
          <w:szCs w:val="32"/>
          <w:lang w:val="en-US" w:eastAsia="zh-CN"/>
        </w:rPr>
        <w:t>一</w:t>
      </w:r>
      <w:r>
        <w:rPr>
          <w:rFonts w:hint="eastAsia" w:ascii="方正仿宋_GBK" w:hAnsi="方正仿宋_GBK" w:eastAsia="方正仿宋_GBK" w:cs="方正仿宋_GBK"/>
          <w:b/>
          <w:bCs/>
          <w:color w:val="000000"/>
          <w:sz w:val="32"/>
          <w:szCs w:val="32"/>
        </w:rPr>
        <w:t>）教学内容</w:t>
      </w:r>
    </w:p>
    <w:p>
      <w:pPr>
        <w:spacing w:line="360" w:lineRule="auto"/>
        <w:ind w:firstLine="643" w:firstLineChars="200"/>
        <w:rPr>
          <w:rFonts w:hint="default"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语言教育的理论基础</w:t>
      </w:r>
    </w:p>
    <w:p>
      <w:pPr>
        <w:spacing w:line="360" w:lineRule="auto"/>
        <w:ind w:firstLine="643" w:firstLineChars="200"/>
        <w:rPr>
          <w:rFonts w:hint="default"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语言教育的实践操作</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（二）教学重点和难点</w:t>
      </w:r>
    </w:p>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教学重点：认识语言教育领域中，各个教具的名称、作用，并掌握其操作方法，能熟练进行课程展示。</w:t>
      </w:r>
    </w:p>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教学难点：拼音教具的使用及学习。</w:t>
      </w:r>
    </w:p>
    <w:p>
      <w:pPr>
        <w:ind w:firstLine="640" w:firstLineChars="200"/>
        <w:rPr>
          <w:rFonts w:hint="eastAsia" w:ascii="方正黑体_GBK" w:eastAsia="方正黑体_GBK"/>
          <w:color w:val="000000" w:themeColor="text1"/>
          <w:sz w:val="32"/>
          <w:szCs w:val="32"/>
          <w:lang w:eastAsia="zh-CN"/>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w:t>
      </w:r>
      <w:r>
        <w:rPr>
          <w:rFonts w:hint="eastAsia" w:ascii="方正黑体_GBK" w:eastAsia="方正黑体_GBK"/>
          <w:color w:val="000000" w:themeColor="text1"/>
          <w:sz w:val="32"/>
          <w:szCs w:val="32"/>
          <w:lang w:val="en-US" w:eastAsia="zh-CN"/>
          <w14:textFill>
            <w14:solidFill>
              <w14:schemeClr w14:val="tx1"/>
            </w14:solidFill>
          </w14:textFill>
        </w:rPr>
        <w:t>6</w:t>
      </w:r>
      <w:r>
        <w:rPr>
          <w:rFonts w:hint="eastAsia" w:ascii="方正黑体_GBK" w:eastAsia="方正黑体_GBK"/>
          <w:color w:val="000000" w:themeColor="text1"/>
          <w:sz w:val="32"/>
          <w:szCs w:val="32"/>
          <w14:textFill>
            <w14:solidFill>
              <w14:schemeClr w14:val="tx1"/>
            </w14:solidFill>
          </w14:textFill>
        </w:rPr>
        <w:t>：</w:t>
      </w:r>
      <w:r>
        <w:rPr>
          <w:rFonts w:hint="eastAsia" w:ascii="方正黑体_GBK" w:eastAsia="方正黑体_GBK"/>
          <w:color w:val="000000" w:themeColor="text1"/>
          <w:sz w:val="32"/>
          <w:szCs w:val="32"/>
          <w:lang w:val="en-US" w:eastAsia="zh-CN"/>
          <w14:textFill>
            <w14:solidFill>
              <w14:schemeClr w14:val="tx1"/>
            </w14:solidFill>
          </w14:textFill>
        </w:rPr>
        <w:t>蒙氏科学教育</w:t>
      </w:r>
    </w:p>
    <w:p>
      <w:pPr>
        <w:spacing w:line="360" w:lineRule="auto"/>
        <w:ind w:firstLine="643" w:firstLineChars="200"/>
        <w:rPr>
          <w:rFonts w:ascii="方正仿宋_GBK" w:hAnsi="方正仿宋_GBK" w:eastAsia="方正仿宋_GBK" w:cs="方正仿宋_GBK"/>
          <w:b/>
          <w:bCs/>
          <w:color w:val="000000"/>
          <w:sz w:val="32"/>
          <w:szCs w:val="32"/>
        </w:rPr>
      </w:pPr>
      <w:r>
        <w:rPr>
          <w:rFonts w:hint="eastAsia" w:ascii="方正仿宋_GBK" w:hAnsi="方正仿宋_GBK" w:eastAsia="方正仿宋_GBK" w:cs="方正仿宋_GBK"/>
          <w:b/>
          <w:bCs/>
          <w:color w:val="000000"/>
          <w:sz w:val="32"/>
          <w:szCs w:val="32"/>
        </w:rPr>
        <w:t>（</w:t>
      </w:r>
      <w:r>
        <w:rPr>
          <w:rFonts w:hint="eastAsia" w:ascii="方正仿宋_GBK" w:hAnsi="方正仿宋_GBK" w:eastAsia="方正仿宋_GBK" w:cs="方正仿宋_GBK"/>
          <w:b/>
          <w:bCs/>
          <w:color w:val="000000"/>
          <w:sz w:val="32"/>
          <w:szCs w:val="32"/>
          <w:lang w:val="en-US" w:eastAsia="zh-CN"/>
        </w:rPr>
        <w:t>一</w:t>
      </w:r>
      <w:r>
        <w:rPr>
          <w:rFonts w:hint="eastAsia" w:ascii="方正仿宋_GBK" w:hAnsi="方正仿宋_GBK" w:eastAsia="方正仿宋_GBK" w:cs="方正仿宋_GBK"/>
          <w:b/>
          <w:bCs/>
          <w:color w:val="000000"/>
          <w:sz w:val="32"/>
          <w:szCs w:val="32"/>
        </w:rPr>
        <w:t>）教学内容</w:t>
      </w:r>
    </w:p>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蒙氏教育科学领域总概况</w:t>
      </w:r>
    </w:p>
    <w:p>
      <w:pPr>
        <w:spacing w:line="360" w:lineRule="auto"/>
        <w:ind w:firstLine="643" w:firstLineChars="200"/>
        <w:rPr>
          <w:rFonts w:hint="default"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动物学的认知及操作</w:t>
      </w:r>
    </w:p>
    <w:p>
      <w:pPr>
        <w:spacing w:line="360" w:lineRule="auto"/>
        <w:ind w:firstLine="643" w:firstLineChars="200"/>
        <w:rPr>
          <w:rFonts w:hint="default"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植物学的认知及操作</w:t>
      </w:r>
    </w:p>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地理学的认知及操作</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（二）教学重点和难点</w:t>
      </w:r>
    </w:p>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教学重点：认识科学教育领域中，各个教具的名称、作用，并掌握其操作方法，能熟练进行课程展示。</w:t>
      </w:r>
    </w:p>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教学难点：对蒙台梭利各类动植物教具进行精准操作。</w:t>
      </w:r>
    </w:p>
    <w:p>
      <w:pPr>
        <w:spacing w:line="360" w:lineRule="auto"/>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八．教材选用和编写建议</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1.教材选用</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蒙台梭利教育法</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意</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蒙台梭利著，霍力岩译，中国人民</w:t>
      </w:r>
      <w:r>
        <w:rPr>
          <w:rFonts w:hint="eastAsia" w:ascii="方正仿宋_GBK" w:hAnsi="方正仿宋_GBK" w:eastAsia="方正仿宋_GBK" w:cs="方正仿宋_GBK"/>
          <w:sz w:val="32"/>
          <w:szCs w:val="32"/>
        </w:rPr>
        <w:t>大学出版社</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2</w:t>
      </w:r>
      <w:r>
        <w:rPr>
          <w:rFonts w:hint="eastAsia" w:ascii="方正仿宋_GBK" w:hAnsi="方正仿宋_GBK" w:eastAsia="方正仿宋_GBK" w:cs="方正仿宋_GBK"/>
          <w:sz w:val="32"/>
          <w:szCs w:val="32"/>
          <w:lang w:val="en-US" w:eastAsia="zh-CN"/>
        </w:rPr>
        <w:t>008</w:t>
      </w:r>
      <w:r>
        <w:rPr>
          <w:rFonts w:hint="eastAsia" w:ascii="方正仿宋_GBK" w:hAnsi="方正仿宋_GBK" w:eastAsia="方正仿宋_GBK" w:cs="方正仿宋_GBK"/>
          <w:sz w:val="32"/>
          <w:szCs w:val="32"/>
        </w:rPr>
        <w:t>年；</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2.教材编写原则与要求</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（1）本《标准》是编写教材的基本依据。教材编写者需充分领会和掌握《标准》的基本理念、课程目标、教学内容和要求，充分体现任务引领、实践导向的课程设计思想。 </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（2）教材要根据学前教育专业学生在工作方面的知识需求，设置全面合理够用的课程内容，课程要增强学生的感性认识，提高学习兴趣。 </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教材应以学生对知识需求为本，理论知识以够用为原则，文字宜简明扼要，原理通俗易懂，增强实践应用环节，力求模拟工作现场，增强学生的感性认识，注意反映幼儿心理教育领域的新知识、新技术；各章节均要有强化训练环节，利于学生巩固知识点。</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lang w:val="en-US" w:eastAsia="zh-CN"/>
          <w14:textFill>
            <w14:solidFill>
              <w14:schemeClr w14:val="tx1"/>
            </w14:solidFill>
          </w14:textFill>
        </w:rPr>
        <w:t>六、</w:t>
      </w:r>
      <w:r>
        <w:rPr>
          <w:rFonts w:hint="eastAsia" w:ascii="方正黑体_GBK" w:eastAsia="方正黑体_GBK"/>
          <w:color w:val="000000" w:themeColor="text1"/>
          <w:sz w:val="32"/>
          <w:szCs w:val="32"/>
          <w14:textFill>
            <w14:solidFill>
              <w14:schemeClr w14:val="tx1"/>
            </w14:solidFill>
          </w14:textFill>
        </w:rPr>
        <w:t>教学评价和考核要求</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评价建议应体现多元评价方法，重视教学过程评价，突出阶段评价、目标评价、理论与实践一体化评价等，注重学生动手能力和在实践中分析问题、解决问题能力的考核，关注学生个别差异，鼓励学生创新实践。</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（一）教学评价建议</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因为教学过程包涵以培养专业能力为导向的实践项目，所以和以往的教学有很大的不同，教学评价也不能和以往的一样靠期末考试来完成。在以专业能力为导向的课程中，评价可以分为过程性评价和终结性评价两个方面。过程性评价是指学生平时在完成实践项目任务中的表现，包括任务完成的结果、工作效率、团队合作交流等方面，重点考核任务完成情况和质量及其所体现出来的相关知识掌握情况；终结性评价是指最后的课程考核，以期末闭卷形式呈现，重点考核学生对本门课程的理论性知识的掌握情况。</w:t>
      </w:r>
    </w:p>
    <w:tbl>
      <w:tblPr>
        <w:tblStyle w:val="11"/>
        <w:tblpPr w:leftFromText="180" w:rightFromText="180" w:vertAnchor="page" w:horzAnchor="page" w:tblpX="1350" w:tblpY="4576"/>
        <w:tblOverlap w:val="never"/>
        <w:tblW w:w="9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2"/>
        <w:gridCol w:w="693"/>
        <w:gridCol w:w="1560"/>
        <w:gridCol w:w="65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82" w:type="dxa"/>
          </w:tcPr>
          <w:p>
            <w:pPr>
              <w:spacing w:line="400" w:lineRule="exact"/>
              <w:rPr>
                <w:rFonts w:ascii="方正仿宋_GBK" w:eastAsia="方正仿宋_GBK"/>
                <w:b/>
                <w:sz w:val="28"/>
                <w:szCs w:val="28"/>
              </w:rPr>
            </w:pPr>
            <w:r>
              <w:rPr>
                <w:rFonts w:hint="eastAsia" w:ascii="方正仿宋_GBK" w:eastAsia="方正仿宋_GBK"/>
                <w:b/>
                <w:sz w:val="28"/>
                <w:szCs w:val="28"/>
              </w:rPr>
              <w:t>比例</w:t>
            </w:r>
          </w:p>
        </w:tc>
        <w:tc>
          <w:tcPr>
            <w:tcW w:w="693" w:type="dxa"/>
          </w:tcPr>
          <w:p>
            <w:pPr>
              <w:spacing w:line="400" w:lineRule="exact"/>
              <w:jc w:val="center"/>
              <w:rPr>
                <w:rFonts w:ascii="方正仿宋_GBK" w:eastAsia="方正仿宋_GBK"/>
                <w:b/>
                <w:sz w:val="28"/>
                <w:szCs w:val="28"/>
              </w:rPr>
            </w:pPr>
            <w:r>
              <w:rPr>
                <w:rFonts w:hint="eastAsia" w:ascii="方正仿宋_GBK" w:eastAsia="方正仿宋_GBK"/>
                <w:b/>
                <w:sz w:val="28"/>
                <w:szCs w:val="28"/>
              </w:rPr>
              <w:t>类型</w:t>
            </w:r>
          </w:p>
        </w:tc>
        <w:tc>
          <w:tcPr>
            <w:tcW w:w="1560" w:type="dxa"/>
          </w:tcPr>
          <w:p>
            <w:pPr>
              <w:spacing w:line="400" w:lineRule="exact"/>
              <w:jc w:val="center"/>
              <w:rPr>
                <w:rFonts w:ascii="方正仿宋_GBK" w:eastAsia="方正仿宋_GBK"/>
                <w:b/>
                <w:sz w:val="28"/>
                <w:szCs w:val="28"/>
              </w:rPr>
            </w:pPr>
            <w:r>
              <w:rPr>
                <w:rFonts w:hint="eastAsia" w:ascii="方正仿宋_GBK" w:eastAsia="方正仿宋_GBK"/>
                <w:b/>
                <w:sz w:val="28"/>
                <w:szCs w:val="28"/>
              </w:rPr>
              <w:t>考核内容</w:t>
            </w:r>
          </w:p>
        </w:tc>
        <w:tc>
          <w:tcPr>
            <w:tcW w:w="6582" w:type="dxa"/>
          </w:tcPr>
          <w:p>
            <w:pPr>
              <w:spacing w:line="400" w:lineRule="exact"/>
              <w:jc w:val="center"/>
              <w:rPr>
                <w:rFonts w:ascii="方正仿宋_GBK" w:eastAsia="方正仿宋_GBK"/>
                <w:b/>
                <w:sz w:val="28"/>
                <w:szCs w:val="28"/>
              </w:rPr>
            </w:pPr>
            <w:r>
              <w:rPr>
                <w:rFonts w:hint="eastAsia" w:ascii="方正仿宋_GBK" w:eastAsia="方正仿宋_GBK"/>
                <w:b/>
                <w:sz w:val="28"/>
                <w:szCs w:val="28"/>
              </w:rPr>
              <w:t>评价细则及课程目标对应关系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682" w:type="dxa"/>
            <w:vMerge w:val="restart"/>
            <w:vAlign w:val="center"/>
          </w:tcPr>
          <w:p>
            <w:pPr>
              <w:spacing w:line="400" w:lineRule="exact"/>
              <w:jc w:val="center"/>
              <w:rPr>
                <w:rFonts w:ascii="方正仿宋_GBK" w:eastAsia="方正仿宋_GBK"/>
                <w:b/>
                <w:sz w:val="28"/>
                <w:szCs w:val="28"/>
              </w:rPr>
            </w:pPr>
            <w:r>
              <w:rPr>
                <w:rFonts w:hint="eastAsia" w:ascii="方正仿宋_GBK" w:eastAsia="方正仿宋_GBK"/>
                <w:b/>
                <w:sz w:val="28"/>
                <w:szCs w:val="28"/>
              </w:rPr>
              <w:t>平时成绩占比40%</w:t>
            </w:r>
          </w:p>
          <w:p>
            <w:pPr>
              <w:spacing w:line="400" w:lineRule="exact"/>
              <w:jc w:val="center"/>
              <w:rPr>
                <w:rFonts w:ascii="方正仿宋_GBK" w:eastAsia="方正仿宋_GBK"/>
                <w:b/>
                <w:sz w:val="28"/>
                <w:szCs w:val="28"/>
              </w:rPr>
            </w:pPr>
          </w:p>
          <w:p>
            <w:pPr>
              <w:spacing w:line="400" w:lineRule="exact"/>
              <w:jc w:val="center"/>
              <w:rPr>
                <w:rFonts w:ascii="方正仿宋_GBK" w:eastAsia="方正仿宋_GBK"/>
                <w:b/>
                <w:sz w:val="28"/>
                <w:szCs w:val="28"/>
              </w:rPr>
            </w:pPr>
          </w:p>
        </w:tc>
        <w:tc>
          <w:tcPr>
            <w:tcW w:w="693" w:type="dxa"/>
          </w:tcPr>
          <w:p>
            <w:pPr>
              <w:spacing w:line="400" w:lineRule="exact"/>
              <w:rPr>
                <w:rFonts w:hint="eastAsia" w:ascii="方正仿宋_GBK" w:eastAsia="方正仿宋_GBK"/>
                <w:b/>
                <w:sz w:val="28"/>
                <w:szCs w:val="28"/>
                <w:lang w:val="en-US" w:eastAsia="zh-CN"/>
              </w:rPr>
            </w:pPr>
            <w:r>
              <w:rPr>
                <w:rFonts w:hint="eastAsia" w:ascii="方正仿宋_GBK" w:eastAsia="方正仿宋_GBK"/>
                <w:b/>
                <w:sz w:val="28"/>
                <w:szCs w:val="28"/>
                <w:lang w:val="en-US" w:eastAsia="zh-CN"/>
              </w:rPr>
              <w:t>日常</w:t>
            </w:r>
          </w:p>
          <w:p>
            <w:pPr>
              <w:spacing w:line="400" w:lineRule="exact"/>
              <w:rPr>
                <w:rFonts w:ascii="方正仿宋_GBK" w:eastAsia="方正仿宋_GBK"/>
                <w:b/>
                <w:sz w:val="28"/>
                <w:szCs w:val="28"/>
              </w:rPr>
            </w:pPr>
            <w:r>
              <w:rPr>
                <w:rFonts w:hint="eastAsia" w:ascii="方正仿宋_GBK" w:eastAsia="方正仿宋_GBK"/>
                <w:b/>
                <w:sz w:val="28"/>
                <w:szCs w:val="28"/>
              </w:rPr>
              <w:t>作业</w:t>
            </w:r>
          </w:p>
        </w:tc>
        <w:tc>
          <w:tcPr>
            <w:tcW w:w="1560" w:type="dxa"/>
          </w:tcPr>
          <w:p>
            <w:pPr>
              <w:spacing w:line="400" w:lineRule="exact"/>
              <w:rPr>
                <w:rFonts w:hint="eastAsia" w:ascii="方正仿宋_GBK" w:eastAsia="方正仿宋_GBK"/>
                <w:b/>
                <w:sz w:val="28"/>
                <w:szCs w:val="28"/>
                <w:lang w:val="en-US" w:eastAsia="zh-CN"/>
              </w:rPr>
            </w:pPr>
          </w:p>
          <w:p>
            <w:pPr>
              <w:spacing w:line="400" w:lineRule="exact"/>
              <w:rPr>
                <w:rFonts w:hint="eastAsia" w:ascii="方正仿宋_GBK" w:eastAsia="方正仿宋_GBK"/>
                <w:b/>
                <w:sz w:val="28"/>
                <w:szCs w:val="28"/>
                <w:lang w:val="en-US" w:eastAsia="zh-CN"/>
              </w:rPr>
            </w:pPr>
          </w:p>
          <w:p>
            <w:pPr>
              <w:spacing w:line="400" w:lineRule="exact"/>
              <w:rPr>
                <w:rFonts w:hint="default" w:ascii="方正仿宋_GBK" w:eastAsia="方正仿宋_GBK"/>
                <w:b/>
                <w:sz w:val="28"/>
                <w:szCs w:val="28"/>
                <w:lang w:val="en-US" w:eastAsia="zh-CN"/>
              </w:rPr>
            </w:pPr>
            <w:r>
              <w:rPr>
                <w:rFonts w:hint="eastAsia" w:ascii="方正仿宋_GBK" w:eastAsia="方正仿宋_GBK"/>
                <w:b/>
                <w:sz w:val="28"/>
                <w:szCs w:val="28"/>
                <w:lang w:val="en-US" w:eastAsia="zh-CN"/>
              </w:rPr>
              <w:t>20分</w:t>
            </w:r>
          </w:p>
        </w:tc>
        <w:tc>
          <w:tcPr>
            <w:tcW w:w="6582" w:type="dxa"/>
          </w:tcPr>
          <w:p>
            <w:pPr>
              <w:spacing w:line="400" w:lineRule="exact"/>
              <w:rPr>
                <w:rFonts w:hint="eastAsia" w:ascii="方正仿宋_GBK" w:hAnsi="宋体" w:eastAsia="方正仿宋_GBK" w:cs="仿宋_GB2312"/>
                <w:color w:val="000000" w:themeColor="text1"/>
                <w:position w:val="6"/>
                <w:sz w:val="28"/>
                <w:szCs w:val="28"/>
                <w:lang w:val="en-US" w:eastAsia="zh-CN"/>
                <w14:textFill>
                  <w14:solidFill>
                    <w14:schemeClr w14:val="tx1"/>
                  </w14:solidFill>
                </w14:textFill>
              </w:rPr>
            </w:pPr>
          </w:p>
          <w:p>
            <w:pPr>
              <w:spacing w:line="400" w:lineRule="exact"/>
              <w:rPr>
                <w:rFonts w:hint="eastAsia" w:ascii="方正仿宋_GBK" w:hAnsi="宋体" w:eastAsia="方正仿宋_GBK" w:cs="仿宋_GB2312"/>
                <w:color w:val="000000" w:themeColor="text1"/>
                <w:position w:val="6"/>
                <w:sz w:val="28"/>
                <w:szCs w:val="28"/>
                <w:lang w:val="en-US" w:eastAsia="zh-CN"/>
                <w14:textFill>
                  <w14:solidFill>
                    <w14:schemeClr w14:val="tx1"/>
                  </w14:solidFill>
                </w14:textFill>
              </w:rPr>
            </w:pPr>
          </w:p>
          <w:p>
            <w:pPr>
              <w:spacing w:line="400" w:lineRule="exact"/>
              <w:rPr>
                <w:rFonts w:hint="default" w:ascii="方正仿宋_GBK" w:hAnsi="宋体" w:eastAsia="方正仿宋_GBK" w:cs="仿宋_GB2312"/>
                <w:color w:val="000000" w:themeColor="text1"/>
                <w:position w:val="6"/>
                <w:sz w:val="28"/>
                <w:szCs w:val="28"/>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28"/>
                <w:szCs w:val="28"/>
                <w:lang w:val="en-US" w:eastAsia="zh-CN"/>
                <w14:textFill>
                  <w14:solidFill>
                    <w14:schemeClr w14:val="tx1"/>
                  </w14:solidFill>
                </w14:textFill>
              </w:rPr>
              <w:t>每次课后布置的作业认真完成。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682" w:type="dxa"/>
            <w:vMerge w:val="continue"/>
          </w:tcPr>
          <w:p>
            <w:pPr>
              <w:spacing w:line="400" w:lineRule="exact"/>
              <w:rPr>
                <w:rFonts w:ascii="方正仿宋_GBK" w:eastAsia="方正仿宋_GBK"/>
                <w:b/>
                <w:sz w:val="28"/>
                <w:szCs w:val="28"/>
              </w:rPr>
            </w:pPr>
          </w:p>
        </w:tc>
        <w:tc>
          <w:tcPr>
            <w:tcW w:w="693" w:type="dxa"/>
            <w:vMerge w:val="restart"/>
          </w:tcPr>
          <w:p>
            <w:pPr>
              <w:spacing w:line="400" w:lineRule="exact"/>
              <w:rPr>
                <w:rFonts w:ascii="方正仿宋_GBK" w:eastAsia="方正仿宋_GBK"/>
                <w:b/>
                <w:sz w:val="28"/>
                <w:szCs w:val="28"/>
              </w:rPr>
            </w:pPr>
            <w:r>
              <w:rPr>
                <w:rFonts w:hint="eastAsia" w:ascii="方正仿宋_GBK" w:eastAsia="方正仿宋_GBK"/>
                <w:b/>
                <w:sz w:val="28"/>
                <w:szCs w:val="28"/>
              </w:rPr>
              <w:t>出勤及课堂表现</w:t>
            </w:r>
          </w:p>
        </w:tc>
        <w:tc>
          <w:tcPr>
            <w:tcW w:w="1560" w:type="dxa"/>
          </w:tcPr>
          <w:p>
            <w:pPr>
              <w:spacing w:line="400" w:lineRule="exact"/>
              <w:rPr>
                <w:rFonts w:ascii="方正仿宋_GBK" w:eastAsia="方正仿宋_GBK"/>
                <w:b/>
                <w:sz w:val="28"/>
                <w:szCs w:val="28"/>
              </w:rPr>
            </w:pPr>
            <w:r>
              <w:rPr>
                <w:rFonts w:hint="eastAsia" w:ascii="方正仿宋_GBK" w:eastAsia="方正仿宋_GBK"/>
                <w:b/>
                <w:sz w:val="28"/>
                <w:szCs w:val="28"/>
              </w:rPr>
              <w:t>出勤 10分</w:t>
            </w:r>
          </w:p>
        </w:tc>
        <w:tc>
          <w:tcPr>
            <w:tcW w:w="6582" w:type="dxa"/>
          </w:tcPr>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根据学生的出勤打分，每迟到扣1分，旷课1次扣3分，按10分制评分。无故缺勤3次取消成绩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682" w:type="dxa"/>
            <w:vMerge w:val="continue"/>
          </w:tcPr>
          <w:p>
            <w:pPr>
              <w:spacing w:line="400" w:lineRule="exact"/>
              <w:rPr>
                <w:rFonts w:ascii="方正仿宋_GBK" w:eastAsia="方正仿宋_GBK"/>
                <w:b/>
                <w:sz w:val="28"/>
                <w:szCs w:val="28"/>
              </w:rPr>
            </w:pPr>
          </w:p>
        </w:tc>
        <w:tc>
          <w:tcPr>
            <w:tcW w:w="693" w:type="dxa"/>
            <w:vMerge w:val="continue"/>
          </w:tcPr>
          <w:p>
            <w:pPr>
              <w:spacing w:line="400" w:lineRule="exact"/>
              <w:rPr>
                <w:rFonts w:ascii="方正仿宋_GBK" w:eastAsia="方正仿宋_GBK"/>
                <w:b/>
                <w:sz w:val="28"/>
                <w:szCs w:val="28"/>
              </w:rPr>
            </w:pPr>
          </w:p>
        </w:tc>
        <w:tc>
          <w:tcPr>
            <w:tcW w:w="1560" w:type="dxa"/>
          </w:tcPr>
          <w:p>
            <w:pPr>
              <w:spacing w:line="400" w:lineRule="exact"/>
              <w:rPr>
                <w:rFonts w:ascii="方正仿宋_GBK" w:eastAsia="方正仿宋_GBK"/>
                <w:b/>
                <w:sz w:val="28"/>
                <w:szCs w:val="28"/>
              </w:rPr>
            </w:pPr>
            <w:r>
              <w:rPr>
                <w:rFonts w:hint="eastAsia" w:ascii="方正仿宋_GBK" w:eastAsia="方正仿宋_GBK"/>
                <w:b/>
                <w:sz w:val="28"/>
                <w:szCs w:val="28"/>
              </w:rPr>
              <w:t>课堂表现10分</w:t>
            </w:r>
          </w:p>
        </w:tc>
        <w:tc>
          <w:tcPr>
            <w:tcW w:w="6582" w:type="dxa"/>
          </w:tcPr>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根据学生出勤、日常课堂讨论、自主学习、回答问题、小组讨论参与、教学资源利用情况打分，按10分制评分。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8" w:hRule="atLeast"/>
        </w:trPr>
        <w:tc>
          <w:tcPr>
            <w:tcW w:w="682" w:type="dxa"/>
            <w:vAlign w:val="center"/>
          </w:tcPr>
          <w:p>
            <w:pPr>
              <w:spacing w:line="400" w:lineRule="exact"/>
              <w:jc w:val="center"/>
              <w:rPr>
                <w:rFonts w:ascii="方正仿宋_GBK" w:eastAsia="方正仿宋_GBK"/>
                <w:b/>
                <w:sz w:val="28"/>
                <w:szCs w:val="28"/>
              </w:rPr>
            </w:pPr>
            <w:r>
              <w:rPr>
                <w:rFonts w:hint="eastAsia" w:ascii="方正仿宋_GBK" w:eastAsia="方正仿宋_GBK"/>
                <w:b/>
                <w:sz w:val="28"/>
                <w:szCs w:val="28"/>
              </w:rPr>
              <w:t>期末成绩占比60%</w:t>
            </w:r>
          </w:p>
        </w:tc>
        <w:tc>
          <w:tcPr>
            <w:tcW w:w="693" w:type="dxa"/>
          </w:tcPr>
          <w:p>
            <w:pPr>
              <w:spacing w:line="400" w:lineRule="exact"/>
              <w:rPr>
                <w:rFonts w:ascii="方正仿宋_GBK" w:eastAsia="方正仿宋_GBK"/>
                <w:b/>
                <w:sz w:val="28"/>
                <w:szCs w:val="28"/>
              </w:rPr>
            </w:pPr>
          </w:p>
        </w:tc>
        <w:tc>
          <w:tcPr>
            <w:tcW w:w="1560" w:type="dxa"/>
          </w:tcPr>
          <w:p>
            <w:pPr>
              <w:spacing w:line="400" w:lineRule="exact"/>
              <w:rPr>
                <w:rFonts w:ascii="方正仿宋_GBK" w:eastAsia="方正仿宋_GBK"/>
                <w:b/>
                <w:sz w:val="28"/>
                <w:szCs w:val="28"/>
              </w:rPr>
            </w:pPr>
            <w:r>
              <w:rPr>
                <w:rFonts w:hint="eastAsia" w:ascii="方正仿宋_GBK" w:eastAsia="方正仿宋_GBK"/>
                <w:b/>
                <w:sz w:val="28"/>
                <w:szCs w:val="28"/>
              </w:rPr>
              <w:t>期末考试</w:t>
            </w:r>
          </w:p>
        </w:tc>
        <w:tc>
          <w:tcPr>
            <w:tcW w:w="6582" w:type="dxa"/>
          </w:tcPr>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多元化考试。按考试大纲及评分要点，不同课程目标对应不同的考试内容。多元化考试及评价，覆盖所有课程目标。</w:t>
            </w:r>
          </w:p>
        </w:tc>
      </w:tr>
    </w:tbl>
    <w:p>
      <w:pPr>
        <w:widowControl/>
        <w:shd w:val="clear" w:color="auto" w:fill="FFFFFF"/>
        <w:spacing w:line="405" w:lineRule="atLeast"/>
        <w:ind w:firstLine="640" w:firstLineChars="20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（二）考核建议</w:t>
      </w:r>
    </w:p>
    <w:p>
      <w:pPr>
        <w:widowControl/>
        <w:shd w:val="clear" w:color="auto" w:fill="FFFFFF"/>
        <w:spacing w:line="405" w:lineRule="atLeast"/>
        <w:ind w:firstLine="640" w:firstLineChars="200"/>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1、期末以考察的方式进行</w:t>
      </w:r>
    </w:p>
    <w:p>
      <w:pPr>
        <w:widowControl/>
        <w:shd w:val="clear" w:color="auto" w:fill="FFFFFF"/>
        <w:spacing w:line="405" w:lineRule="atLeast"/>
        <w:ind w:firstLine="640" w:firstLineChars="20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2</w:t>
      </w:r>
      <w:r>
        <w:rPr>
          <w:rFonts w:hint="eastAsia" w:ascii="方正仿宋_GBK" w:hAnsi="宋体" w:eastAsia="方正仿宋_GBK" w:cs="仿宋_GB2312"/>
          <w:color w:val="000000" w:themeColor="text1"/>
          <w:position w:val="6"/>
          <w:sz w:val="32"/>
          <w:szCs w:val="32"/>
          <w14:textFill>
            <w14:solidFill>
              <w14:schemeClr w14:val="tx1"/>
            </w14:solidFill>
          </w14:textFill>
        </w:rPr>
        <w:t>、成绩采取综合评定，即期末考试成绩：平时成绩=</w:t>
      </w:r>
      <w:r>
        <w:rPr>
          <w:rFonts w:ascii="方正仿宋_GBK" w:hAnsi="宋体" w:eastAsia="方正仿宋_GBK" w:cs="仿宋_GB2312"/>
          <w:color w:val="000000" w:themeColor="text1"/>
          <w:position w:val="6"/>
          <w:sz w:val="32"/>
          <w:szCs w:val="32"/>
          <w14:textFill>
            <w14:solidFill>
              <w14:schemeClr w14:val="tx1"/>
            </w14:solidFill>
          </w14:textFill>
        </w:rPr>
        <w:t>6</w:t>
      </w:r>
      <w:r>
        <w:rPr>
          <w:rFonts w:hint="eastAsia" w:ascii="方正仿宋_GBK" w:hAnsi="宋体" w:eastAsia="方正仿宋_GBK" w:cs="仿宋_GB2312"/>
          <w:color w:val="000000" w:themeColor="text1"/>
          <w:position w:val="6"/>
          <w:sz w:val="32"/>
          <w:szCs w:val="32"/>
          <w14:textFill>
            <w14:solidFill>
              <w14:schemeClr w14:val="tx1"/>
            </w14:solidFill>
          </w14:textFill>
        </w:rPr>
        <w:t>：4（总评成绩=平时成绩×40%+期末</w:t>
      </w: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考察</w:t>
      </w:r>
      <w:r>
        <w:rPr>
          <w:rFonts w:hint="eastAsia" w:ascii="方正仿宋_GBK" w:hAnsi="宋体" w:eastAsia="方正仿宋_GBK" w:cs="仿宋_GB2312"/>
          <w:color w:val="000000" w:themeColor="text1"/>
          <w:position w:val="6"/>
          <w:sz w:val="32"/>
          <w:szCs w:val="32"/>
          <w14:textFill>
            <w14:solidFill>
              <w14:schemeClr w14:val="tx1"/>
            </w14:solidFill>
          </w14:textFill>
        </w:rPr>
        <w:t>×60%）。</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lang w:val="en-US" w:eastAsia="zh-CN"/>
          <w14:textFill>
            <w14:solidFill>
              <w14:schemeClr w14:val="tx1"/>
            </w14:solidFill>
          </w14:textFill>
        </w:rPr>
        <w:t>七、</w:t>
      </w:r>
      <w:r>
        <w:rPr>
          <w:rFonts w:hint="eastAsia" w:ascii="方正黑体_GBK" w:eastAsia="方正黑体_GBK"/>
          <w:color w:val="000000" w:themeColor="text1"/>
          <w:sz w:val="32"/>
          <w:szCs w:val="32"/>
          <w14:textFill>
            <w14:solidFill>
              <w14:schemeClr w14:val="tx1"/>
            </w14:solidFill>
          </w14:textFill>
        </w:rPr>
        <w:t>其他</w:t>
      </w:r>
    </w:p>
    <w:p>
      <w:pPr>
        <w:widowControl/>
        <w:shd w:val="clear" w:color="auto" w:fill="FFFFFF"/>
        <w:spacing w:line="405" w:lineRule="atLeast"/>
        <w:ind w:firstLine="640" w:firstLineChars="20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本课程标准适用于高等职业学校学前教育专业。</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lang w:val="en-US" w:eastAsia="zh-CN"/>
          <w14:textFill>
            <w14:solidFill>
              <w14:schemeClr w14:val="tx1"/>
            </w14:solidFill>
          </w14:textFill>
        </w:rPr>
        <w:t>八</w:t>
      </w:r>
      <w:r>
        <w:rPr>
          <w:rFonts w:hint="eastAsia" w:ascii="方正黑体_GBK" w:eastAsia="方正黑体_GBK"/>
          <w:color w:val="000000" w:themeColor="text1"/>
          <w:sz w:val="32"/>
          <w:szCs w:val="32"/>
          <w14:textFill>
            <w14:solidFill>
              <w14:schemeClr w14:val="tx1"/>
            </w14:solidFill>
          </w14:textFill>
        </w:rPr>
        <w:t>、编制依据</w:t>
      </w:r>
    </w:p>
    <w:p>
      <w:pPr>
        <w:ind w:firstLine="640" w:firstLineChars="200"/>
        <w:rPr>
          <w:rFonts w:ascii="方正仿宋_GBK" w:hAnsi="方正仿宋_GBK" w:eastAsia="方正仿宋_GBK" w:cs="方正仿宋_GBK"/>
          <w:sz w:val="32"/>
          <w:szCs w:val="32"/>
        </w:rPr>
      </w:pPr>
      <w:r>
        <w:rPr>
          <w:rFonts w:hint="eastAsia" w:ascii="方正仿宋_GBK" w:hAnsi="宋体" w:eastAsia="方正仿宋_GBK" w:cs="仿宋_GB2312"/>
          <w:color w:val="000000" w:themeColor="text1"/>
          <w:position w:val="6"/>
          <w:sz w:val="32"/>
          <w:szCs w:val="32"/>
          <w14:textFill>
            <w14:solidFill>
              <w14:schemeClr w14:val="tx1"/>
            </w14:solidFill>
          </w14:textFill>
        </w:rPr>
        <w:t>该课程标准是以依据《学前教育》专业调研报告和人才培养方案而编制的。</w:t>
      </w:r>
    </w:p>
    <w:p>
      <w:pPr>
        <w:adjustRightInd w:val="0"/>
        <w:snapToGrid w:val="0"/>
        <w:spacing w:line="360" w:lineRule="auto"/>
        <w:ind w:firstLine="640" w:firstLineChars="200"/>
        <w:rPr>
          <w:rFonts w:ascii="方正仿宋_GBK" w:hAnsi="方正仿宋_GBK" w:eastAsia="方正仿宋_GBK" w:cs="方正仿宋_GBK"/>
          <w:sz w:val="32"/>
          <w:szCs w:val="32"/>
        </w:rPr>
      </w:pPr>
    </w:p>
    <w:sectPr>
      <w:headerReference r:id="rId3" w:type="default"/>
      <w:footerReference r:id="rId4" w:type="default"/>
      <w:pgSz w:w="11906" w:h="16838"/>
      <w:pgMar w:top="1440"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3000509000000000000"/>
    <w:charset w:val="86"/>
    <w:family w:val="script"/>
    <w:pitch w:val="default"/>
    <w:sig w:usb0="00000000" w:usb1="00000000" w:usb2="00000010" w:usb3="00000000" w:csb0="00040000" w:csb1="00000000"/>
    <w:embedRegular r:id="rId1" w:fontKey="{36BFC2A6-0244-4B99-9227-EBFE921EE717}"/>
  </w:font>
  <w:font w:name="方正小标宋简体">
    <w:altName w:val="方正舒体"/>
    <w:panose1 w:val="00000000000000000000"/>
    <w:charset w:val="86"/>
    <w:family w:val="auto"/>
    <w:pitch w:val="default"/>
    <w:sig w:usb0="00000000" w:usb1="00000000" w:usb2="00000000" w:usb3="00000000" w:csb0="00040000" w:csb1="00000000"/>
    <w:embedRegular r:id="rId2" w:fontKey="{4E672787-5E5A-480D-921F-D5C630364854}"/>
  </w:font>
  <w:font w:name="方正黑体_GBK">
    <w:altName w:val="微软雅黑"/>
    <w:panose1 w:val="03000509000000000000"/>
    <w:charset w:val="86"/>
    <w:family w:val="script"/>
    <w:pitch w:val="default"/>
    <w:sig w:usb0="00000000" w:usb1="00000000" w:usb2="00000010" w:usb3="00000000" w:csb0="00040000" w:csb1="00000000"/>
    <w:embedRegular r:id="rId3" w:fontKey="{F01E9D6E-C851-436C-A900-5AFEB53AE742}"/>
  </w:font>
  <w:font w:name="仿宋">
    <w:panose1 w:val="02010609060101010101"/>
    <w:charset w:val="86"/>
    <w:family w:val="modern"/>
    <w:pitch w:val="default"/>
    <w:sig w:usb0="800002BF" w:usb1="38CF7CFA" w:usb2="00000016" w:usb3="00000000" w:csb0="00040001" w:csb1="00000000"/>
    <w:embedRegular r:id="rId4" w:fontKey="{3BF26D33-03EF-49A0-A257-965B913C7648}"/>
  </w:font>
  <w:font w:name="方正仿宋_GBK">
    <w:panose1 w:val="02000000000000000000"/>
    <w:charset w:val="86"/>
    <w:family w:val="script"/>
    <w:pitch w:val="default"/>
    <w:sig w:usb0="A00002BF" w:usb1="38CF7CFA" w:usb2="00082016" w:usb3="00000000" w:csb0="00040001" w:csb1="00000000"/>
    <w:embedRegular r:id="rId5" w:fontKey="{B4233F3C-F58E-43D1-A27A-E640DBA41B32}"/>
  </w:font>
  <w:font w:name="仿宋_GB2312">
    <w:altName w:val="仿宋"/>
    <w:panose1 w:val="00000000000000000000"/>
    <w:charset w:val="86"/>
    <w:family w:val="modern"/>
    <w:pitch w:val="default"/>
    <w:sig w:usb0="00000000" w:usb1="00000000" w:usb2="00000010" w:usb3="00000000" w:csb0="00040000" w:csb1="00000000"/>
    <w:embedRegular r:id="rId6" w:fontKey="{DBB76A37-7C6D-41EA-AD60-C38209E7D8A1}"/>
  </w:font>
  <w:font w:name="微软雅黑">
    <w:panose1 w:val="020B0503020204020204"/>
    <w:charset w:val="86"/>
    <w:family w:val="auto"/>
    <w:pitch w:val="default"/>
    <w:sig w:usb0="80000287" w:usb1="2ACF3C50" w:usb2="00000016" w:usb3="00000000" w:csb0="0004001F" w:csb1="0000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2Zxg5DICAABjBAAADgAAAAAAAAABACAAAAAfAQAAZHJzL2Uyb0RvYy54bWxQSwUG&#10;AAAAAAYABgBZAQAAwwUAAAAA&#10;">
              <v:fill on="f" focussize="0,0"/>
              <v:stroke on="f" weight="0.5pt"/>
              <v:imagedata o:title=""/>
              <o:lock v:ext="edit" aspectratio="f"/>
              <v:textbox inset="0mm,0mm,0mm,0mm" style="mso-fit-shape-to-text:t;">
                <w:txbxContent>
                  <w:p>
                    <w:pPr>
                      <w:pStyle w:val="2"/>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CAC3FA"/>
    <w:multiLevelType w:val="singleLevel"/>
    <w:tmpl w:val="61CAC3FA"/>
    <w:lvl w:ilvl="0" w:tentative="0">
      <w:start w:val="4"/>
      <w:numFmt w:val="chineseCounting"/>
      <w:suff w:val="nothing"/>
      <w:lvlText w:val="（%1）"/>
      <w:lvlJc w:val="left"/>
    </w:lvl>
  </w:abstractNum>
  <w:abstractNum w:abstractNumId="1">
    <w:nsid w:val="61CDAFE2"/>
    <w:multiLevelType w:val="singleLevel"/>
    <w:tmpl w:val="61CDAFE2"/>
    <w:lvl w:ilvl="0" w:tentative="0">
      <w:start w:val="1"/>
      <w:numFmt w:val="chineseCounting"/>
      <w:suff w:val="nothing"/>
      <w:lvlText w:val="（%1）"/>
      <w:lvlJc w:val="left"/>
    </w:lvl>
  </w:abstractNum>
  <w:abstractNum w:abstractNumId="2">
    <w:nsid w:val="75E9C6B8"/>
    <w:multiLevelType w:val="singleLevel"/>
    <w:tmpl w:val="75E9C6B8"/>
    <w:lvl w:ilvl="0" w:tentative="0">
      <w:start w:val="1"/>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M2MjE4M2MxNjI1Zjc0YTY0YTc3OGUwZWQwNzk2NGIifQ=="/>
  </w:docVars>
  <w:rsids>
    <w:rsidRoot w:val="2F364E5E"/>
    <w:rsid w:val="000F4EFE"/>
    <w:rsid w:val="00380588"/>
    <w:rsid w:val="004142E1"/>
    <w:rsid w:val="004E0AC6"/>
    <w:rsid w:val="00696BDB"/>
    <w:rsid w:val="007C10C2"/>
    <w:rsid w:val="00BF7D05"/>
    <w:rsid w:val="00D02248"/>
    <w:rsid w:val="00D810AD"/>
    <w:rsid w:val="014F37E4"/>
    <w:rsid w:val="0162101E"/>
    <w:rsid w:val="03585C9A"/>
    <w:rsid w:val="043F47B1"/>
    <w:rsid w:val="04973AFE"/>
    <w:rsid w:val="04A64B70"/>
    <w:rsid w:val="04D247A3"/>
    <w:rsid w:val="0576296B"/>
    <w:rsid w:val="06444C0B"/>
    <w:rsid w:val="06A27A54"/>
    <w:rsid w:val="06BC3360"/>
    <w:rsid w:val="06C45461"/>
    <w:rsid w:val="072E15D5"/>
    <w:rsid w:val="07577C65"/>
    <w:rsid w:val="07956C6C"/>
    <w:rsid w:val="07A7222B"/>
    <w:rsid w:val="07A73849"/>
    <w:rsid w:val="07DF3116"/>
    <w:rsid w:val="081F4FA4"/>
    <w:rsid w:val="08B06904"/>
    <w:rsid w:val="08C30CBE"/>
    <w:rsid w:val="09272D5D"/>
    <w:rsid w:val="095753BD"/>
    <w:rsid w:val="098D0807"/>
    <w:rsid w:val="09D25EF1"/>
    <w:rsid w:val="0AED5D0B"/>
    <w:rsid w:val="0B8C09A4"/>
    <w:rsid w:val="0C036017"/>
    <w:rsid w:val="0CB57812"/>
    <w:rsid w:val="0CE80589"/>
    <w:rsid w:val="0D077B5B"/>
    <w:rsid w:val="0E49191D"/>
    <w:rsid w:val="0EF31889"/>
    <w:rsid w:val="0EF41F98"/>
    <w:rsid w:val="0F813747"/>
    <w:rsid w:val="10072D47"/>
    <w:rsid w:val="106C7658"/>
    <w:rsid w:val="108502AB"/>
    <w:rsid w:val="10C64AA4"/>
    <w:rsid w:val="10DA0345"/>
    <w:rsid w:val="10EF7749"/>
    <w:rsid w:val="110157E5"/>
    <w:rsid w:val="114067FF"/>
    <w:rsid w:val="11F46FD5"/>
    <w:rsid w:val="132F3ABB"/>
    <w:rsid w:val="13424475"/>
    <w:rsid w:val="134E28B7"/>
    <w:rsid w:val="13AD107D"/>
    <w:rsid w:val="13F655C7"/>
    <w:rsid w:val="147F2009"/>
    <w:rsid w:val="169614A2"/>
    <w:rsid w:val="171E1B5B"/>
    <w:rsid w:val="17B114E0"/>
    <w:rsid w:val="17C72897"/>
    <w:rsid w:val="181D6933"/>
    <w:rsid w:val="192704A4"/>
    <w:rsid w:val="1955032C"/>
    <w:rsid w:val="197064C6"/>
    <w:rsid w:val="198274B4"/>
    <w:rsid w:val="19AA5A6B"/>
    <w:rsid w:val="19DB71C6"/>
    <w:rsid w:val="1A1B7EB2"/>
    <w:rsid w:val="1A8207FB"/>
    <w:rsid w:val="1ACB3223"/>
    <w:rsid w:val="1AD67C03"/>
    <w:rsid w:val="1B187813"/>
    <w:rsid w:val="1B2D10A7"/>
    <w:rsid w:val="1B381DDD"/>
    <w:rsid w:val="1BB07298"/>
    <w:rsid w:val="1C067AF1"/>
    <w:rsid w:val="1D767D73"/>
    <w:rsid w:val="1E167A07"/>
    <w:rsid w:val="1E213D82"/>
    <w:rsid w:val="1F3B1D2D"/>
    <w:rsid w:val="1F4672AA"/>
    <w:rsid w:val="1F6A1146"/>
    <w:rsid w:val="1FBB1AEF"/>
    <w:rsid w:val="1FCC2311"/>
    <w:rsid w:val="1FDD7341"/>
    <w:rsid w:val="1FFF5748"/>
    <w:rsid w:val="200E704C"/>
    <w:rsid w:val="20B55EF6"/>
    <w:rsid w:val="20CA72D8"/>
    <w:rsid w:val="21A240F4"/>
    <w:rsid w:val="226B16FA"/>
    <w:rsid w:val="23411F48"/>
    <w:rsid w:val="234644DE"/>
    <w:rsid w:val="23703BF9"/>
    <w:rsid w:val="23DC604E"/>
    <w:rsid w:val="240141D5"/>
    <w:rsid w:val="240618DF"/>
    <w:rsid w:val="244A1665"/>
    <w:rsid w:val="245834CB"/>
    <w:rsid w:val="2467104C"/>
    <w:rsid w:val="246A0717"/>
    <w:rsid w:val="24A50E9E"/>
    <w:rsid w:val="2520320A"/>
    <w:rsid w:val="25E06A31"/>
    <w:rsid w:val="26157CE6"/>
    <w:rsid w:val="261A4B94"/>
    <w:rsid w:val="26305174"/>
    <w:rsid w:val="2706208A"/>
    <w:rsid w:val="27117643"/>
    <w:rsid w:val="273147AC"/>
    <w:rsid w:val="274B6FD9"/>
    <w:rsid w:val="28180D2F"/>
    <w:rsid w:val="29F24E76"/>
    <w:rsid w:val="2AE229E9"/>
    <w:rsid w:val="2C2F61C8"/>
    <w:rsid w:val="2CE7176A"/>
    <w:rsid w:val="2CFD37AE"/>
    <w:rsid w:val="2D575DB2"/>
    <w:rsid w:val="2D837E6F"/>
    <w:rsid w:val="2E060A28"/>
    <w:rsid w:val="2EDF2EC7"/>
    <w:rsid w:val="2F364E5E"/>
    <w:rsid w:val="2F3F41CD"/>
    <w:rsid w:val="2F573313"/>
    <w:rsid w:val="304F0206"/>
    <w:rsid w:val="306A6CD9"/>
    <w:rsid w:val="30EB7B9F"/>
    <w:rsid w:val="31885D9E"/>
    <w:rsid w:val="318D7B5B"/>
    <w:rsid w:val="3291131D"/>
    <w:rsid w:val="32F45383"/>
    <w:rsid w:val="33006452"/>
    <w:rsid w:val="33AD1328"/>
    <w:rsid w:val="34130E40"/>
    <w:rsid w:val="34362433"/>
    <w:rsid w:val="347C163B"/>
    <w:rsid w:val="3495365A"/>
    <w:rsid w:val="350F10CE"/>
    <w:rsid w:val="352F7026"/>
    <w:rsid w:val="35AF775E"/>
    <w:rsid w:val="35EC15D7"/>
    <w:rsid w:val="36D81AA3"/>
    <w:rsid w:val="372C7AED"/>
    <w:rsid w:val="377E7B7C"/>
    <w:rsid w:val="38D87DF7"/>
    <w:rsid w:val="38E12B00"/>
    <w:rsid w:val="392C1B91"/>
    <w:rsid w:val="3A12770D"/>
    <w:rsid w:val="3A6555EF"/>
    <w:rsid w:val="3AF532E8"/>
    <w:rsid w:val="3BC543E9"/>
    <w:rsid w:val="3CAD21ED"/>
    <w:rsid w:val="3D394DDC"/>
    <w:rsid w:val="3D7D22B6"/>
    <w:rsid w:val="3D867B28"/>
    <w:rsid w:val="3E502DD0"/>
    <w:rsid w:val="3EFD5086"/>
    <w:rsid w:val="3F2F0C4C"/>
    <w:rsid w:val="3FA2730D"/>
    <w:rsid w:val="40204C35"/>
    <w:rsid w:val="404E2F0A"/>
    <w:rsid w:val="4092464A"/>
    <w:rsid w:val="40FC2F74"/>
    <w:rsid w:val="41FE3644"/>
    <w:rsid w:val="41FF3A10"/>
    <w:rsid w:val="429475EA"/>
    <w:rsid w:val="42982804"/>
    <w:rsid w:val="42CB193E"/>
    <w:rsid w:val="435F5666"/>
    <w:rsid w:val="43CA10C8"/>
    <w:rsid w:val="43D444DF"/>
    <w:rsid w:val="446826A2"/>
    <w:rsid w:val="44CF60CB"/>
    <w:rsid w:val="4614300A"/>
    <w:rsid w:val="464B22DD"/>
    <w:rsid w:val="46585F9B"/>
    <w:rsid w:val="482639C2"/>
    <w:rsid w:val="48BC5A72"/>
    <w:rsid w:val="4AB5764E"/>
    <w:rsid w:val="4B2B2A03"/>
    <w:rsid w:val="4BB23301"/>
    <w:rsid w:val="4C20256D"/>
    <w:rsid w:val="4CE36C8C"/>
    <w:rsid w:val="4D20244C"/>
    <w:rsid w:val="4D3158BD"/>
    <w:rsid w:val="4DBA485F"/>
    <w:rsid w:val="4E816BCC"/>
    <w:rsid w:val="4EAA1F96"/>
    <w:rsid w:val="4EC51F48"/>
    <w:rsid w:val="4EF000B6"/>
    <w:rsid w:val="4F055C21"/>
    <w:rsid w:val="50073E76"/>
    <w:rsid w:val="5049091C"/>
    <w:rsid w:val="511A4A87"/>
    <w:rsid w:val="517038DE"/>
    <w:rsid w:val="518804E1"/>
    <w:rsid w:val="519A58BB"/>
    <w:rsid w:val="52021FBC"/>
    <w:rsid w:val="52270FDC"/>
    <w:rsid w:val="52EF0D96"/>
    <w:rsid w:val="52FC4949"/>
    <w:rsid w:val="53BF5E9B"/>
    <w:rsid w:val="53FF7522"/>
    <w:rsid w:val="5440209A"/>
    <w:rsid w:val="54B23D7B"/>
    <w:rsid w:val="54E22C26"/>
    <w:rsid w:val="550258F2"/>
    <w:rsid w:val="553C490C"/>
    <w:rsid w:val="553D6679"/>
    <w:rsid w:val="55581A2E"/>
    <w:rsid w:val="56A94EA4"/>
    <w:rsid w:val="56DA6EFB"/>
    <w:rsid w:val="574D6F6F"/>
    <w:rsid w:val="58861F23"/>
    <w:rsid w:val="589B6460"/>
    <w:rsid w:val="58AC2DEA"/>
    <w:rsid w:val="598F46E4"/>
    <w:rsid w:val="59D932C0"/>
    <w:rsid w:val="59F5672D"/>
    <w:rsid w:val="5ADF778E"/>
    <w:rsid w:val="5B0206BB"/>
    <w:rsid w:val="5B9058D5"/>
    <w:rsid w:val="5C821672"/>
    <w:rsid w:val="5CC01311"/>
    <w:rsid w:val="5CDC7552"/>
    <w:rsid w:val="5CEA1297"/>
    <w:rsid w:val="5E421897"/>
    <w:rsid w:val="5E5539FD"/>
    <w:rsid w:val="5E8161C2"/>
    <w:rsid w:val="5EA32223"/>
    <w:rsid w:val="5EEB3E80"/>
    <w:rsid w:val="609B0B9F"/>
    <w:rsid w:val="60EA5029"/>
    <w:rsid w:val="6108422D"/>
    <w:rsid w:val="61BE0FE9"/>
    <w:rsid w:val="61C914A6"/>
    <w:rsid w:val="62580B6F"/>
    <w:rsid w:val="62631FEE"/>
    <w:rsid w:val="62855E1E"/>
    <w:rsid w:val="63F56580"/>
    <w:rsid w:val="64232B55"/>
    <w:rsid w:val="642C4F0A"/>
    <w:rsid w:val="645E509C"/>
    <w:rsid w:val="646474ED"/>
    <w:rsid w:val="64D24666"/>
    <w:rsid w:val="64DC2238"/>
    <w:rsid w:val="64EE2D72"/>
    <w:rsid w:val="654B658A"/>
    <w:rsid w:val="655220B5"/>
    <w:rsid w:val="6590277E"/>
    <w:rsid w:val="65BF404C"/>
    <w:rsid w:val="65E737BF"/>
    <w:rsid w:val="668E290A"/>
    <w:rsid w:val="669E5C35"/>
    <w:rsid w:val="66BE4002"/>
    <w:rsid w:val="67AD6162"/>
    <w:rsid w:val="68FA371C"/>
    <w:rsid w:val="696746BA"/>
    <w:rsid w:val="69A621C0"/>
    <w:rsid w:val="69C57339"/>
    <w:rsid w:val="6A0571CB"/>
    <w:rsid w:val="6A2D4FAF"/>
    <w:rsid w:val="6AA74F13"/>
    <w:rsid w:val="6AED3FF2"/>
    <w:rsid w:val="6C042ABB"/>
    <w:rsid w:val="6C993EEE"/>
    <w:rsid w:val="6CC174B7"/>
    <w:rsid w:val="6D292B14"/>
    <w:rsid w:val="6DB40BB1"/>
    <w:rsid w:val="6FA82641"/>
    <w:rsid w:val="709E2A6E"/>
    <w:rsid w:val="71140653"/>
    <w:rsid w:val="726F3AC6"/>
    <w:rsid w:val="73D0722B"/>
    <w:rsid w:val="73D56A87"/>
    <w:rsid w:val="74B46562"/>
    <w:rsid w:val="753714D9"/>
    <w:rsid w:val="75982288"/>
    <w:rsid w:val="75AF0872"/>
    <w:rsid w:val="75FC719D"/>
    <w:rsid w:val="7602243F"/>
    <w:rsid w:val="76260F50"/>
    <w:rsid w:val="764B7E6F"/>
    <w:rsid w:val="768971A6"/>
    <w:rsid w:val="769C1B94"/>
    <w:rsid w:val="77BF6345"/>
    <w:rsid w:val="77C73715"/>
    <w:rsid w:val="77EB4FD1"/>
    <w:rsid w:val="78AA45D5"/>
    <w:rsid w:val="79AC2DD7"/>
    <w:rsid w:val="79AD23AA"/>
    <w:rsid w:val="7A5757AC"/>
    <w:rsid w:val="7A754A68"/>
    <w:rsid w:val="7A921FC8"/>
    <w:rsid w:val="7ACB1A73"/>
    <w:rsid w:val="7C245C94"/>
    <w:rsid w:val="7C621DD5"/>
    <w:rsid w:val="7CB43537"/>
    <w:rsid w:val="7CE60447"/>
    <w:rsid w:val="7D0632C3"/>
    <w:rsid w:val="7DFB0EAD"/>
    <w:rsid w:val="7E652723"/>
    <w:rsid w:val="7F133A18"/>
    <w:rsid w:val="7F1E35C9"/>
    <w:rsid w:val="7F5A3500"/>
    <w:rsid w:val="7FCD0F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7">
    <w:name w:val="网格型11"/>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
    <w:name w:val="网格型1"/>
    <w:basedOn w:val="4"/>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9">
    <w:name w:val="列出段落1"/>
    <w:basedOn w:val="1"/>
    <w:qFormat/>
    <w:uiPriority w:val="1"/>
    <w:pPr>
      <w:spacing w:before="2"/>
      <w:ind w:left="240" w:right="237"/>
    </w:pPr>
  </w:style>
  <w:style w:type="paragraph" w:customStyle="1" w:styleId="10">
    <w:name w:val="Table Paragraph"/>
    <w:basedOn w:val="1"/>
    <w:qFormat/>
    <w:uiPriority w:val="1"/>
  </w:style>
  <w:style w:type="table" w:customStyle="1" w:styleId="11">
    <w:name w:val="网格型2"/>
    <w:basedOn w:val="4"/>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1552</Words>
  <Characters>8847</Characters>
  <Lines>73</Lines>
  <Paragraphs>20</Paragraphs>
  <TotalTime>11</TotalTime>
  <ScaleCrop>false</ScaleCrop>
  <LinksUpToDate>false</LinksUpToDate>
  <CharactersWithSpaces>10379</CharactersWithSpaces>
  <Application>WPS Office_12.1.0.15946_F1E327BC-269C-435d-A152-05C5408002CA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2021-07-23T05:34:00Z</dcterms:created>
  <dc:creator>小段</dc:creator>
  <cp:lastModifiedBy>yeteliner</cp:lastModifiedBy>
  <dcterms:modified xsi:type="dcterms:W3CDTF">2024-01-17T03:05:20Z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2052-12.1.0.15946</vt:lpwstr>
  </property>
  <property fmtid="{D5CDD505-2E9C-101B-9397-08002B2CF9AE}" pid="3" name="ICV">
    <vt:lpwstr>8BDEB2F9253846B482C7CD65CC83D631</vt:lpwstr>
  </property>
</Properties>
</file>