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2451E1">
      <w:pPr>
        <w:jc w:val="center"/>
        <w:rPr>
          <w:rFonts w:hint="eastAsia" w:ascii="方正小标宋简体" w:hAnsi="方正小标宋简体" w:eastAsia="方正小标宋简体" w:cs="方正小标宋简体"/>
          <w:b w:val="0"/>
          <w:bCs w:val="0"/>
          <w:sz w:val="44"/>
          <w:szCs w:val="44"/>
          <w:lang w:eastAsia="zh-CN"/>
        </w:rPr>
      </w:pPr>
      <w:r>
        <w:rPr>
          <w:rFonts w:hint="eastAsia" w:ascii="方正小标宋简体" w:hAnsi="方正小标宋简体" w:eastAsia="方正小标宋简体" w:cs="方正小标宋简体"/>
          <w:b w:val="0"/>
          <w:bCs w:val="0"/>
          <w:sz w:val="44"/>
          <w:szCs w:val="44"/>
          <w:lang w:eastAsia="zh-CN"/>
        </w:rPr>
        <w:t>德宏职业学院</w:t>
      </w:r>
    </w:p>
    <w:p w14:paraId="2252EC90">
      <w:pPr>
        <w:jc w:val="center"/>
        <w:rPr>
          <w:rFonts w:hint="eastAsia" w:ascii="方正小标宋简体" w:hAnsi="方正小标宋简体" w:eastAsia="方正小标宋简体" w:cs="方正小标宋简体"/>
          <w:b w:val="0"/>
          <w:bCs w:val="0"/>
          <w:sz w:val="36"/>
          <w:szCs w:val="36"/>
          <w:lang w:eastAsia="zh-CN"/>
        </w:rPr>
      </w:pPr>
      <w:r>
        <w:rPr>
          <w:rFonts w:hint="eastAsia" w:ascii="方正小标宋简体" w:hAnsi="方正小标宋简体" w:eastAsia="方正小标宋简体" w:cs="方正小标宋简体"/>
          <w:b w:val="0"/>
          <w:bCs w:val="0"/>
          <w:sz w:val="36"/>
          <w:szCs w:val="36"/>
          <w:lang w:eastAsia="zh-CN"/>
        </w:rPr>
        <w:t>《</w:t>
      </w:r>
      <w:r>
        <w:rPr>
          <w:rFonts w:hint="eastAsia" w:ascii="方正小标宋简体" w:hAnsi="方正小标宋简体" w:eastAsia="方正小标宋简体" w:cs="方正小标宋简体"/>
          <w:b w:val="0"/>
          <w:bCs w:val="0"/>
          <w:sz w:val="36"/>
          <w:szCs w:val="36"/>
          <w:lang w:val="en-US" w:eastAsia="zh-CN"/>
        </w:rPr>
        <w:t>婴幼儿早期教育概论</w:t>
      </w:r>
      <w:r>
        <w:rPr>
          <w:rFonts w:hint="eastAsia" w:ascii="方正小标宋简体" w:hAnsi="方正小标宋简体" w:eastAsia="方正小标宋简体" w:cs="方正小标宋简体"/>
          <w:b w:val="0"/>
          <w:bCs w:val="0"/>
          <w:sz w:val="36"/>
          <w:szCs w:val="36"/>
          <w:lang w:eastAsia="zh-CN"/>
        </w:rPr>
        <w:t>》课程标准</w:t>
      </w:r>
    </w:p>
    <w:p w14:paraId="22CC2B6D">
      <w:pPr>
        <w:jc w:val="center"/>
        <w:rPr>
          <w:rFonts w:hint="eastAsia" w:ascii="仿宋" w:hAnsi="仿宋" w:eastAsia="仿宋" w:cs="仿宋"/>
          <w:b/>
          <w:bCs/>
          <w:sz w:val="21"/>
          <w:szCs w:val="21"/>
          <w:lang w:eastAsia="zh-CN"/>
        </w:rPr>
      </w:pPr>
    </w:p>
    <w:p w14:paraId="657302D9">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auto"/>
        <w:ind w:firstLine="640" w:firstLineChars="200"/>
        <w:textAlignment w:val="auto"/>
        <w:rPr>
          <w:rFonts w:hint="eastAsia" w:ascii="方正黑体简体" w:hAnsi="方正黑体简体" w:eastAsia="方正黑体简体" w:cs="方正黑体简体"/>
          <w:b w:val="0"/>
          <w:bCs w:val="0"/>
          <w:sz w:val="32"/>
          <w:szCs w:val="32"/>
          <w:lang w:eastAsia="zh-CN"/>
        </w:rPr>
      </w:pPr>
      <w:r>
        <w:rPr>
          <w:rFonts w:hint="eastAsia" w:ascii="方正黑体简体" w:hAnsi="方正黑体简体" w:eastAsia="方正黑体简体" w:cs="方正黑体简体"/>
          <w:b w:val="0"/>
          <w:bCs w:val="0"/>
          <w:sz w:val="32"/>
          <w:szCs w:val="32"/>
          <w:lang w:eastAsia="zh-CN"/>
        </w:rPr>
        <w:t>课程概述</w:t>
      </w:r>
    </w:p>
    <w:p w14:paraId="6E397A90">
      <w:pPr>
        <w:keepNext w:val="0"/>
        <w:keepLines w:val="0"/>
        <w:pageBreakBefore w:val="0"/>
        <w:widowControl w:val="0"/>
        <w:numPr>
          <w:ilvl w:val="0"/>
          <w:numId w:val="2"/>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b w:val="0"/>
          <w:bCs w:val="0"/>
          <w:sz w:val="32"/>
          <w:szCs w:val="32"/>
          <w:lang w:eastAsia="zh-CN"/>
        </w:rPr>
      </w:pPr>
      <w:r>
        <w:rPr>
          <w:rFonts w:hint="eastAsia" w:ascii="仿宋" w:hAnsi="仿宋" w:eastAsia="仿宋" w:cs="仿宋"/>
          <w:b w:val="0"/>
          <w:bCs w:val="0"/>
          <w:sz w:val="32"/>
          <w:szCs w:val="32"/>
          <w:lang w:eastAsia="zh-CN"/>
        </w:rPr>
        <w:t>课程基本信息</w:t>
      </w:r>
    </w:p>
    <w:p w14:paraId="55AF412A">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eastAsia="zh-CN"/>
        </w:rPr>
      </w:pPr>
      <w:r>
        <w:rPr>
          <w:rFonts w:hint="eastAsia" w:ascii="仿宋" w:hAnsi="仿宋" w:eastAsia="仿宋" w:cs="仿宋"/>
          <w:sz w:val="32"/>
          <w:szCs w:val="32"/>
          <w:lang w:eastAsia="zh-CN"/>
        </w:rPr>
        <w:t>课程名称：</w:t>
      </w:r>
      <w:r>
        <w:rPr>
          <w:rFonts w:hint="eastAsia" w:ascii="仿宋" w:hAnsi="仿宋" w:eastAsia="仿宋" w:cs="仿宋"/>
          <w:sz w:val="32"/>
          <w:szCs w:val="32"/>
          <w:lang w:val="en-US" w:eastAsia="zh-CN"/>
        </w:rPr>
        <w:t xml:space="preserve">婴幼儿早期教育概论    </w:t>
      </w:r>
      <w:r>
        <w:rPr>
          <w:rFonts w:hint="eastAsia" w:ascii="仿宋" w:hAnsi="仿宋" w:eastAsia="仿宋" w:cs="仿宋"/>
          <w:sz w:val="32"/>
          <w:szCs w:val="32"/>
          <w:lang w:eastAsia="zh-CN"/>
        </w:rPr>
        <w:t>课程编码：</w:t>
      </w:r>
    </w:p>
    <w:p w14:paraId="2C9B13C7">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default" w:ascii="仿宋" w:hAnsi="仿宋" w:eastAsia="仿宋" w:cs="仿宋"/>
          <w:sz w:val="32"/>
          <w:szCs w:val="32"/>
          <w:lang w:val="en-US" w:eastAsia="zh-CN"/>
        </w:rPr>
      </w:pPr>
      <w:r>
        <w:rPr>
          <w:rFonts w:hint="eastAsia" w:ascii="仿宋" w:hAnsi="仿宋" w:eastAsia="仿宋" w:cs="仿宋"/>
          <w:sz w:val="32"/>
          <w:szCs w:val="32"/>
          <w:lang w:eastAsia="zh-CN"/>
        </w:rPr>
        <w:t>课程类型：</w:t>
      </w:r>
      <w:r>
        <w:rPr>
          <w:rFonts w:hint="eastAsia" w:ascii="仿宋" w:hAnsi="仿宋" w:eastAsia="仿宋" w:cs="仿宋"/>
          <w:sz w:val="32"/>
          <w:szCs w:val="32"/>
          <w:lang w:val="en-US" w:eastAsia="zh-CN"/>
        </w:rPr>
        <w:t xml:space="preserve">专业基础课            </w:t>
      </w:r>
      <w:r>
        <w:rPr>
          <w:rFonts w:hint="eastAsia" w:ascii="仿宋" w:hAnsi="仿宋" w:eastAsia="仿宋" w:cs="仿宋"/>
          <w:sz w:val="32"/>
          <w:szCs w:val="32"/>
          <w:lang w:eastAsia="zh-CN"/>
        </w:rPr>
        <w:t>课程性质：</w:t>
      </w:r>
      <w:r>
        <w:rPr>
          <w:rFonts w:hint="eastAsia" w:ascii="仿宋" w:hAnsi="仿宋" w:eastAsia="仿宋" w:cs="仿宋"/>
          <w:sz w:val="32"/>
          <w:szCs w:val="32"/>
          <w:lang w:val="en-US" w:eastAsia="zh-CN"/>
        </w:rPr>
        <w:t>必修</w:t>
      </w:r>
    </w:p>
    <w:p w14:paraId="56F32BD7">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eastAsia="zh-CN"/>
        </w:rPr>
      </w:pPr>
      <w:r>
        <w:rPr>
          <w:rFonts w:hint="eastAsia" w:ascii="仿宋" w:hAnsi="仿宋" w:eastAsia="仿宋" w:cs="仿宋"/>
          <w:sz w:val="32"/>
          <w:szCs w:val="32"/>
          <w:lang w:eastAsia="zh-CN"/>
        </w:rPr>
        <w:t>适用专业：婴幼儿托育服务与管理</w:t>
      </w:r>
      <w:r>
        <w:rPr>
          <w:rFonts w:hint="eastAsia" w:ascii="仿宋" w:hAnsi="仿宋" w:eastAsia="仿宋" w:cs="仿宋"/>
          <w:sz w:val="32"/>
          <w:szCs w:val="32"/>
          <w:lang w:val="en-US" w:eastAsia="zh-CN"/>
        </w:rPr>
        <w:t xml:space="preserve">  </w:t>
      </w:r>
      <w:r>
        <w:rPr>
          <w:rFonts w:hint="eastAsia" w:ascii="仿宋" w:hAnsi="仿宋" w:eastAsia="仿宋" w:cs="仿宋"/>
          <w:sz w:val="32"/>
          <w:szCs w:val="32"/>
          <w:lang w:eastAsia="zh-CN"/>
        </w:rPr>
        <w:t>课程学时（学分）：</w:t>
      </w:r>
      <w:r>
        <w:rPr>
          <w:rFonts w:hint="eastAsia" w:ascii="仿宋" w:hAnsi="仿宋" w:eastAsia="仿宋" w:cs="仿宋"/>
          <w:sz w:val="32"/>
          <w:szCs w:val="32"/>
          <w:lang w:val="en-US" w:eastAsia="zh-CN"/>
        </w:rPr>
        <w:t>4</w:t>
      </w:r>
    </w:p>
    <w:p w14:paraId="776C3558">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eastAsia="zh-CN"/>
        </w:rPr>
      </w:pPr>
      <w:r>
        <w:rPr>
          <w:rFonts w:hint="eastAsia" w:ascii="仿宋" w:hAnsi="仿宋" w:eastAsia="仿宋" w:cs="仿宋"/>
          <w:sz w:val="32"/>
          <w:szCs w:val="32"/>
          <w:lang w:eastAsia="zh-CN"/>
        </w:rPr>
        <w:t>先修课程：婴幼儿保育与教育</w:t>
      </w:r>
      <w:r>
        <w:rPr>
          <w:rFonts w:hint="eastAsia" w:ascii="仿宋" w:hAnsi="仿宋" w:eastAsia="仿宋" w:cs="仿宋"/>
          <w:sz w:val="32"/>
          <w:szCs w:val="32"/>
          <w:lang w:val="en-US" w:eastAsia="zh-CN"/>
        </w:rPr>
        <w:t xml:space="preserve">      </w:t>
      </w:r>
      <w:r>
        <w:rPr>
          <w:rFonts w:hint="eastAsia" w:ascii="仿宋" w:hAnsi="仿宋" w:eastAsia="仿宋" w:cs="仿宋"/>
          <w:sz w:val="32"/>
          <w:szCs w:val="32"/>
          <w:lang w:eastAsia="zh-CN"/>
        </w:rPr>
        <w:t>后续课程：婴幼儿托育服务与管理</w:t>
      </w:r>
    </w:p>
    <w:p w14:paraId="65A63D8B">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eastAsia="zh-CN"/>
        </w:rPr>
      </w:pPr>
      <w:r>
        <w:rPr>
          <w:rFonts w:hint="eastAsia" w:ascii="仿宋" w:hAnsi="仿宋" w:eastAsia="仿宋" w:cs="仿宋"/>
          <w:sz w:val="32"/>
          <w:szCs w:val="32"/>
          <w:lang w:eastAsia="zh-CN"/>
        </w:rPr>
        <w:t>课程负责人：</w:t>
      </w:r>
      <w:r>
        <w:rPr>
          <w:rFonts w:hint="eastAsia" w:ascii="仿宋" w:hAnsi="仿宋" w:eastAsia="仿宋" w:cs="仿宋"/>
          <w:sz w:val="32"/>
          <w:szCs w:val="32"/>
          <w:lang w:val="en-US" w:eastAsia="zh-CN"/>
        </w:rPr>
        <w:t xml:space="preserve">段雯舒             </w:t>
      </w:r>
      <w:r>
        <w:rPr>
          <w:rFonts w:hint="eastAsia" w:ascii="仿宋" w:hAnsi="仿宋" w:eastAsia="仿宋" w:cs="仿宋"/>
          <w:sz w:val="32"/>
          <w:szCs w:val="32"/>
          <w:lang w:eastAsia="zh-CN"/>
        </w:rPr>
        <w:t>修订时间：2025年8月</w:t>
      </w:r>
    </w:p>
    <w:p w14:paraId="34969837">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default" w:ascii="仿宋" w:hAnsi="仿宋" w:eastAsia="仿宋" w:cs="仿宋"/>
          <w:sz w:val="32"/>
          <w:szCs w:val="32"/>
          <w:lang w:val="en-US" w:eastAsia="zh-CN"/>
        </w:rPr>
      </w:pPr>
      <w:r>
        <w:rPr>
          <w:rFonts w:hint="eastAsia" w:ascii="仿宋" w:hAnsi="仿宋" w:eastAsia="仿宋" w:cs="仿宋"/>
          <w:sz w:val="32"/>
          <w:szCs w:val="32"/>
          <w:lang w:eastAsia="zh-CN"/>
        </w:rPr>
        <w:t>课程标准审批人：</w:t>
      </w:r>
      <w:r>
        <w:rPr>
          <w:rFonts w:hint="eastAsia" w:ascii="仿宋" w:hAnsi="仿宋" w:eastAsia="仿宋" w:cs="仿宋"/>
          <w:sz w:val="32"/>
          <w:szCs w:val="32"/>
          <w:lang w:val="en-US" w:eastAsia="zh-CN"/>
        </w:rPr>
        <w:t>张晓璐</w:t>
      </w: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景玉梦云</w:t>
      </w:r>
    </w:p>
    <w:p w14:paraId="0A4B3CCE">
      <w:pPr>
        <w:keepNext w:val="0"/>
        <w:keepLines w:val="0"/>
        <w:pageBreakBefore w:val="0"/>
        <w:widowControl w:val="0"/>
        <w:numPr>
          <w:ilvl w:val="0"/>
          <w:numId w:val="2"/>
        </w:numPr>
        <w:kinsoku/>
        <w:wordWrap/>
        <w:overflowPunct/>
        <w:topLinePunct w:val="0"/>
        <w:autoSpaceDE/>
        <w:autoSpaceDN/>
        <w:bidi w:val="0"/>
        <w:adjustRightInd w:val="0"/>
        <w:snapToGrid w:val="0"/>
        <w:spacing w:line="360" w:lineRule="auto"/>
        <w:ind w:left="0" w:leftChars="0" w:firstLine="640" w:firstLineChars="200"/>
        <w:textAlignment w:val="auto"/>
        <w:rPr>
          <w:rFonts w:hint="eastAsia" w:ascii="仿宋" w:hAnsi="仿宋" w:eastAsia="仿宋" w:cs="仿宋"/>
          <w:b w:val="0"/>
          <w:bCs w:val="0"/>
          <w:sz w:val="32"/>
          <w:szCs w:val="32"/>
          <w:lang w:eastAsia="zh-CN"/>
        </w:rPr>
      </w:pPr>
      <w:r>
        <w:rPr>
          <w:rFonts w:hint="eastAsia" w:ascii="仿宋" w:hAnsi="仿宋" w:eastAsia="仿宋" w:cs="仿宋"/>
          <w:b w:val="0"/>
          <w:bCs w:val="0"/>
          <w:sz w:val="32"/>
          <w:szCs w:val="32"/>
          <w:lang w:eastAsia="zh-CN"/>
        </w:rPr>
        <w:t>课程定位与课程设计</w:t>
      </w:r>
    </w:p>
    <w:p w14:paraId="5B301C5B">
      <w:pPr>
        <w:keepNext w:val="0"/>
        <w:keepLines w:val="0"/>
        <w:pageBreakBefore w:val="0"/>
        <w:widowControl w:val="0"/>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1、课程简介：《婴幼儿早期教育概论》是婴幼儿托育服务与管理专业的基础理论课程，主要介绍0—3岁婴幼儿的发展规律、早期教育的理念与方法、家庭教育和托育机构的教育指导等内容。课程重在帮助学生树立科学的婴幼儿教育与照护观念，掌握托育服务中的教育基本方法，为后续专业课程学习与未来从事托育服务工作打下理论与实践基础。</w:t>
      </w:r>
    </w:p>
    <w:p w14:paraId="50CC5A5A">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2、课程性质与定位</w:t>
      </w:r>
    </w:p>
    <w:p w14:paraId="10AA10A8">
      <w:pPr>
        <w:keepNext w:val="0"/>
        <w:keepLines w:val="0"/>
        <w:pageBreakBefore w:val="0"/>
        <w:widowControl w:val="0"/>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（1）课程性质：是婴幼儿托育服务与管理专业的重要基础课程，兼具理论与应用价值。</w:t>
      </w:r>
    </w:p>
    <w:p w14:paraId="4C95480E">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（2）课程定位：既是后续专业核心课程的前置课程，也是学生进入托育岗位前必须掌握的专业基础知识。</w:t>
      </w:r>
    </w:p>
    <w:p w14:paraId="310A73F8">
      <w:pPr>
        <w:keepNext w:val="0"/>
        <w:keepLines w:val="0"/>
        <w:pageBreakBefore w:val="0"/>
        <w:widowControl w:val="0"/>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3、课程基本理念：以“婴幼儿为本”为核心理念，注重科学育儿与健康照护相结合，强化职业能力培养，突出家庭与社区合作共育，体现高职教育“德技并修”的育人要求。</w:t>
      </w:r>
    </w:p>
    <w:p w14:paraId="0E21D780">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4、课程设计的思路：遵循“理论学习—案例分析—实训操作—岗位实践”的课程设计思路，兼顾知识学习、技能训练与职业素养养成。</w:t>
      </w:r>
    </w:p>
    <w:p w14:paraId="184F6EE3">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auto"/>
        <w:ind w:left="0" w:leftChars="0" w:firstLine="640" w:firstLineChars="200"/>
        <w:textAlignment w:val="auto"/>
        <w:rPr>
          <w:rFonts w:hint="eastAsia" w:ascii="方正黑体简体" w:hAnsi="方正黑体简体" w:eastAsia="方正黑体简体" w:cs="方正黑体简体"/>
          <w:b w:val="0"/>
          <w:bCs w:val="0"/>
          <w:sz w:val="32"/>
          <w:szCs w:val="32"/>
          <w:lang w:val="en-US" w:eastAsia="zh-CN"/>
        </w:rPr>
      </w:pPr>
      <w:r>
        <w:rPr>
          <w:rFonts w:hint="eastAsia" w:ascii="方正黑体简体" w:hAnsi="方正黑体简体" w:eastAsia="方正黑体简体" w:cs="方正黑体简体"/>
          <w:b w:val="0"/>
          <w:bCs w:val="0"/>
          <w:sz w:val="32"/>
          <w:szCs w:val="32"/>
          <w:lang w:val="en-US" w:eastAsia="zh-CN"/>
        </w:rPr>
        <w:t>课程目标</w:t>
      </w:r>
    </w:p>
    <w:p w14:paraId="11DAD209">
      <w:pPr>
        <w:keepNext w:val="0"/>
        <w:keepLines w:val="0"/>
        <w:pageBreakBefore w:val="0"/>
        <w:widowControl w:val="0"/>
        <w:numPr>
          <w:ilvl w:val="0"/>
          <w:numId w:val="3"/>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b w:val="0"/>
          <w:bCs w:val="0"/>
          <w:sz w:val="32"/>
          <w:szCs w:val="32"/>
          <w:lang w:val="en-US" w:eastAsia="zh-CN"/>
        </w:rPr>
        <w:t>总体目标：</w:t>
      </w:r>
      <w:r>
        <w:rPr>
          <w:rFonts w:hint="eastAsia" w:ascii="方正仿宋_GB2312" w:hAnsi="方正仿宋_GB2312" w:eastAsia="方正仿宋_GB2312" w:cs="方正仿宋_GB2312"/>
          <w:sz w:val="32"/>
          <w:szCs w:val="32"/>
        </w:rPr>
        <w:t>使学生理解婴幼儿早期教育的基本理论与实践价值，掌握0—3岁婴幼儿发展规律和教育指导方法，初步具备科学照护和教育指导能力，为托育岗位工作做好准备。</w:t>
      </w:r>
    </w:p>
    <w:p w14:paraId="624F62B7">
      <w:pPr>
        <w:keepNext w:val="0"/>
        <w:keepLines w:val="0"/>
        <w:pageBreakBefore w:val="0"/>
        <w:widowControl w:val="0"/>
        <w:numPr>
          <w:ilvl w:val="0"/>
          <w:numId w:val="3"/>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具体目标</w:t>
      </w:r>
    </w:p>
    <w:p w14:paraId="79DFF59F">
      <w:pPr>
        <w:ind w:firstLine="640" w:firstLineChars="20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1、知识目标：</w:t>
      </w:r>
      <w:r>
        <w:rPr>
          <w:rFonts w:hint="eastAsia" w:ascii="方正仿宋_GB2312" w:hAnsi="方正仿宋_GB2312" w:eastAsia="方正仿宋_GB2312" w:cs="方正仿宋_GB2312"/>
          <w:sz w:val="32"/>
          <w:szCs w:val="32"/>
        </w:rPr>
        <w:t>掌握婴幼儿早期教育的基本概念、价值与发展历程；理解0—3岁婴幼儿的身心发展规律与教育需求；熟悉家庭、社区和托育机构在早期教育中的作用。</w:t>
      </w:r>
    </w:p>
    <w:p w14:paraId="0C8CDD29">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2、能力目标：能够观察与分析婴幼儿发展特点，提出合理的教育与照护措施；能够初步设计与实施0—3岁婴幼儿的教育与保育活动；能够在实际托育情境中进行案例分析与反思。</w:t>
      </w:r>
    </w:p>
    <w:p w14:paraId="48186CA9">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3、素质目标：树立尊重婴幼儿的教育伦理与专业理念；培养责任感、耐心与爱心；提升沟通协调能力和家庭指导能力。</w:t>
      </w:r>
    </w:p>
    <w:p w14:paraId="5E83C16E">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auto"/>
        <w:ind w:left="0" w:leftChars="0" w:firstLine="640" w:firstLineChars="200"/>
        <w:textAlignment w:val="auto"/>
        <w:rPr>
          <w:rFonts w:hint="eastAsia" w:ascii="方正黑体简体" w:hAnsi="方正黑体简体" w:eastAsia="方正黑体简体" w:cs="方正黑体简体"/>
          <w:b w:val="0"/>
          <w:bCs w:val="0"/>
          <w:sz w:val="32"/>
          <w:szCs w:val="32"/>
          <w:lang w:val="en-US" w:eastAsia="zh-CN"/>
        </w:rPr>
      </w:pPr>
      <w:r>
        <w:rPr>
          <w:rFonts w:hint="eastAsia" w:ascii="方正黑体简体" w:hAnsi="方正黑体简体" w:eastAsia="方正黑体简体" w:cs="方正黑体简体"/>
          <w:b w:val="0"/>
          <w:bCs w:val="0"/>
          <w:sz w:val="32"/>
          <w:szCs w:val="32"/>
          <w:lang w:val="en-US" w:eastAsia="zh-CN"/>
        </w:rPr>
        <w:t>与前后课程的关系</w:t>
      </w:r>
    </w:p>
    <w:p w14:paraId="38733A48">
      <w:pPr>
        <w:keepNext w:val="0"/>
        <w:keepLines w:val="0"/>
        <w:pageBreakBefore w:val="0"/>
        <w:widowControl w:val="0"/>
        <w:numPr>
          <w:ilvl w:val="0"/>
          <w:numId w:val="4"/>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与前续课程的关系</w:t>
      </w:r>
    </w:p>
    <w:p w14:paraId="40D240A1">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在《婴幼儿保育与教育》的知识框架上，进一步聚焦0—3岁婴幼儿教育特点，提升学生的专业理解。</w:t>
      </w:r>
    </w:p>
    <w:p w14:paraId="0E1DF5F6">
      <w:pPr>
        <w:keepNext w:val="0"/>
        <w:keepLines w:val="0"/>
        <w:pageBreakBefore w:val="0"/>
        <w:widowControl w:val="0"/>
        <w:numPr>
          <w:ilvl w:val="0"/>
          <w:numId w:val="4"/>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与后继课程的关系</w:t>
      </w:r>
    </w:p>
    <w:p w14:paraId="64755A7B">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为《婴幼儿健康与护理》《托育机构管理》等课程提供理论与方法支撑，奠定实践操作能力的理论基础。</w:t>
      </w:r>
    </w:p>
    <w:p w14:paraId="28CAC8E3">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auto"/>
        <w:ind w:left="0" w:leftChars="0" w:firstLine="640" w:firstLineChars="200"/>
        <w:textAlignment w:val="auto"/>
        <w:rPr>
          <w:rFonts w:hint="eastAsia" w:ascii="方正黑体简体" w:hAnsi="方正黑体简体" w:eastAsia="方正黑体简体" w:cs="方正黑体简体"/>
          <w:b w:val="0"/>
          <w:bCs w:val="0"/>
          <w:sz w:val="32"/>
          <w:szCs w:val="32"/>
          <w:lang w:val="en-US" w:eastAsia="zh-CN"/>
        </w:rPr>
      </w:pPr>
      <w:r>
        <w:rPr>
          <w:rFonts w:hint="eastAsia" w:ascii="方正黑体简体" w:hAnsi="方正黑体简体" w:eastAsia="方正黑体简体" w:cs="方正黑体简体"/>
          <w:b w:val="0"/>
          <w:bCs w:val="0"/>
          <w:sz w:val="32"/>
          <w:szCs w:val="32"/>
          <w:lang w:val="en-US" w:eastAsia="zh-CN"/>
        </w:rPr>
        <w:t>课程内容标准</w:t>
      </w:r>
    </w:p>
    <w:tbl>
      <w:tblPr>
        <w:tblStyle w:val="3"/>
        <w:tblpPr w:leftFromText="180" w:rightFromText="180" w:vertAnchor="page" w:horzAnchor="page" w:tblpX="1226" w:tblpY="5919"/>
        <w:tblOverlap w:val="never"/>
        <w:tblW w:w="0" w:type="auto"/>
        <w:tblCellSpacing w:w="15" w:type="dxa"/>
        <w:tblInd w:w="0" w:type="dxa"/>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shd w:val="clear" w:color="auto" w:fill="auto"/>
        <w:tblLayout w:type="autofit"/>
        <w:tblCellMar>
          <w:top w:w="15" w:type="dxa"/>
          <w:left w:w="15" w:type="dxa"/>
          <w:bottom w:w="15" w:type="dxa"/>
          <w:right w:w="15" w:type="dxa"/>
        </w:tblCellMar>
      </w:tblPr>
      <w:tblGrid>
        <w:gridCol w:w="1450"/>
        <w:gridCol w:w="1535"/>
        <w:gridCol w:w="2421"/>
        <w:gridCol w:w="2421"/>
        <w:gridCol w:w="608"/>
        <w:gridCol w:w="623"/>
      </w:tblGrid>
      <w:tr w14:paraId="01BB75A8">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shd w:val="clear" w:color="auto" w:fill="auto"/>
          <w:tblCellMar>
            <w:top w:w="15" w:type="dxa"/>
            <w:left w:w="15" w:type="dxa"/>
            <w:bottom w:w="15" w:type="dxa"/>
            <w:right w:w="15" w:type="dxa"/>
          </w:tblCellMar>
        </w:tblPrEx>
        <w:trPr>
          <w:tblHeader/>
          <w:tblCellSpacing w:w="15" w:type="dxa"/>
        </w:trPr>
        <w:tc>
          <w:tcPr>
            <w:tcW w:w="0" w:type="auto"/>
            <w:tcBorders>
              <w:tl2br w:val="nil"/>
              <w:tr2bl w:val="nil"/>
            </w:tcBorders>
            <w:shd w:val="clear" w:color="auto" w:fill="auto"/>
            <w:vAlign w:val="center"/>
          </w:tcPr>
          <w:p w14:paraId="391A2716">
            <w:pPr>
              <w:keepNext w:val="0"/>
              <w:keepLines w:val="0"/>
              <w:widowControl/>
              <w:suppressLineNumbers w:val="0"/>
              <w:jc w:val="center"/>
              <w:rPr>
                <w:b/>
                <w:bCs/>
              </w:rPr>
            </w:pPr>
            <w:r>
              <w:rPr>
                <w:rFonts w:ascii="宋体" w:hAnsi="宋体" w:eastAsia="宋体" w:cs="宋体"/>
                <w:b/>
                <w:bCs/>
                <w:kern w:val="0"/>
                <w:sz w:val="24"/>
                <w:szCs w:val="24"/>
                <w:lang w:val="en-US" w:eastAsia="zh-CN" w:bidi="ar"/>
              </w:rPr>
              <w:t>所用教材</w:t>
            </w:r>
          </w:p>
        </w:tc>
        <w:tc>
          <w:tcPr>
            <w:tcW w:w="0" w:type="auto"/>
            <w:tcBorders>
              <w:tl2br w:val="nil"/>
              <w:tr2bl w:val="nil"/>
            </w:tcBorders>
            <w:shd w:val="clear" w:color="auto" w:fill="auto"/>
            <w:vAlign w:val="center"/>
          </w:tcPr>
          <w:p w14:paraId="57AC6FF4">
            <w:pPr>
              <w:keepNext w:val="0"/>
              <w:keepLines w:val="0"/>
              <w:widowControl/>
              <w:suppressLineNumbers w:val="0"/>
              <w:jc w:val="center"/>
              <w:rPr>
                <w:b/>
                <w:bCs/>
              </w:rPr>
            </w:pPr>
            <w:r>
              <w:rPr>
                <w:rFonts w:ascii="宋体" w:hAnsi="宋体" w:eastAsia="宋体" w:cs="宋体"/>
                <w:b/>
                <w:bCs/>
                <w:kern w:val="0"/>
                <w:sz w:val="24"/>
                <w:szCs w:val="24"/>
                <w:lang w:val="en-US" w:eastAsia="zh-CN" w:bidi="ar"/>
              </w:rPr>
              <w:t>课程名称</w:t>
            </w:r>
          </w:p>
        </w:tc>
        <w:tc>
          <w:tcPr>
            <w:tcW w:w="0" w:type="auto"/>
            <w:tcBorders>
              <w:tl2br w:val="nil"/>
              <w:tr2bl w:val="nil"/>
            </w:tcBorders>
            <w:shd w:val="clear" w:color="auto" w:fill="auto"/>
            <w:vAlign w:val="center"/>
          </w:tcPr>
          <w:p w14:paraId="507C94C4">
            <w:pPr>
              <w:keepNext w:val="0"/>
              <w:keepLines w:val="0"/>
              <w:widowControl/>
              <w:suppressLineNumbers w:val="0"/>
              <w:jc w:val="center"/>
              <w:rPr>
                <w:b/>
                <w:bCs/>
              </w:rPr>
            </w:pPr>
            <w:r>
              <w:rPr>
                <w:rFonts w:ascii="宋体" w:hAnsi="宋体" w:eastAsia="宋体" w:cs="宋体"/>
                <w:b/>
                <w:bCs/>
                <w:kern w:val="0"/>
                <w:sz w:val="24"/>
                <w:szCs w:val="24"/>
                <w:lang w:val="en-US" w:eastAsia="zh-CN" w:bidi="ar"/>
              </w:rPr>
              <w:t>课程内容</w:t>
            </w:r>
          </w:p>
        </w:tc>
        <w:tc>
          <w:tcPr>
            <w:tcW w:w="0" w:type="auto"/>
            <w:tcBorders>
              <w:tl2br w:val="nil"/>
              <w:tr2bl w:val="nil"/>
            </w:tcBorders>
            <w:shd w:val="clear" w:color="auto" w:fill="auto"/>
            <w:vAlign w:val="center"/>
          </w:tcPr>
          <w:p w14:paraId="3A64F388">
            <w:pPr>
              <w:keepNext w:val="0"/>
              <w:keepLines w:val="0"/>
              <w:widowControl/>
              <w:suppressLineNumbers w:val="0"/>
              <w:jc w:val="center"/>
              <w:rPr>
                <w:b/>
                <w:bCs/>
              </w:rPr>
            </w:pPr>
            <w:r>
              <w:rPr>
                <w:rFonts w:ascii="宋体" w:hAnsi="宋体" w:eastAsia="宋体" w:cs="宋体"/>
                <w:b/>
                <w:bCs/>
                <w:kern w:val="0"/>
                <w:sz w:val="24"/>
                <w:szCs w:val="24"/>
                <w:lang w:val="en-US" w:eastAsia="zh-CN" w:bidi="ar"/>
              </w:rPr>
              <w:t>课程目标</w:t>
            </w:r>
          </w:p>
        </w:tc>
        <w:tc>
          <w:tcPr>
            <w:tcW w:w="0" w:type="auto"/>
            <w:tcBorders>
              <w:tl2br w:val="nil"/>
              <w:tr2bl w:val="nil"/>
            </w:tcBorders>
            <w:shd w:val="clear" w:color="auto" w:fill="auto"/>
            <w:vAlign w:val="center"/>
          </w:tcPr>
          <w:p w14:paraId="2E22EF3B">
            <w:pPr>
              <w:keepNext w:val="0"/>
              <w:keepLines w:val="0"/>
              <w:widowControl/>
              <w:suppressLineNumbers w:val="0"/>
              <w:jc w:val="center"/>
              <w:rPr>
                <w:b/>
                <w:bCs/>
              </w:rPr>
            </w:pPr>
            <w:r>
              <w:rPr>
                <w:rFonts w:ascii="宋体" w:hAnsi="宋体" w:eastAsia="宋体" w:cs="宋体"/>
                <w:b/>
                <w:bCs/>
                <w:kern w:val="0"/>
                <w:sz w:val="24"/>
                <w:szCs w:val="24"/>
                <w:lang w:val="en-US" w:eastAsia="zh-CN" w:bidi="ar"/>
              </w:rPr>
              <w:t>理论学时</w:t>
            </w:r>
          </w:p>
        </w:tc>
        <w:tc>
          <w:tcPr>
            <w:tcW w:w="0" w:type="auto"/>
            <w:tcBorders>
              <w:tl2br w:val="nil"/>
              <w:tr2bl w:val="nil"/>
            </w:tcBorders>
            <w:shd w:val="clear" w:color="auto" w:fill="auto"/>
            <w:vAlign w:val="center"/>
          </w:tcPr>
          <w:p w14:paraId="2523AB8E">
            <w:pPr>
              <w:keepNext w:val="0"/>
              <w:keepLines w:val="0"/>
              <w:widowControl/>
              <w:suppressLineNumbers w:val="0"/>
              <w:jc w:val="center"/>
              <w:rPr>
                <w:b/>
                <w:bCs/>
              </w:rPr>
            </w:pPr>
            <w:r>
              <w:rPr>
                <w:rFonts w:ascii="宋体" w:hAnsi="宋体" w:eastAsia="宋体" w:cs="宋体"/>
                <w:b/>
                <w:bCs/>
                <w:kern w:val="0"/>
                <w:sz w:val="24"/>
                <w:szCs w:val="24"/>
                <w:lang w:val="en-US" w:eastAsia="zh-CN" w:bidi="ar"/>
              </w:rPr>
              <w:t>实践学时</w:t>
            </w:r>
          </w:p>
        </w:tc>
      </w:tr>
      <w:tr w14:paraId="06DA3DFA">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shd w:val="clear" w:color="auto" w:fill="auto"/>
          <w:tblCellMar>
            <w:top w:w="15" w:type="dxa"/>
            <w:left w:w="15" w:type="dxa"/>
            <w:bottom w:w="15" w:type="dxa"/>
            <w:right w:w="15" w:type="dxa"/>
          </w:tblCellMar>
        </w:tblPrEx>
        <w:trPr>
          <w:tblCellSpacing w:w="15" w:type="dxa"/>
        </w:trPr>
        <w:tc>
          <w:tcPr>
            <w:tcW w:w="0" w:type="auto"/>
            <w:vMerge w:val="restart"/>
            <w:tcBorders>
              <w:tl2br w:val="nil"/>
              <w:tr2bl w:val="nil"/>
            </w:tcBorders>
            <w:shd w:val="clear" w:color="auto" w:fill="auto"/>
            <w:vAlign w:val="center"/>
          </w:tcPr>
          <w:p w14:paraId="7D2DAE4C">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《婴幼儿早期教育概论》</w:t>
            </w:r>
          </w:p>
          <w:p w14:paraId="46288CCE">
            <w:pPr>
              <w:keepNext w:val="0"/>
              <w:keepLines w:val="0"/>
              <w:widowControl/>
              <w:suppressLineNumbers w:val="0"/>
              <w:jc w:val="left"/>
            </w:pPr>
          </w:p>
        </w:tc>
        <w:tc>
          <w:tcPr>
            <w:tcW w:w="0" w:type="auto"/>
            <w:tcBorders>
              <w:tl2br w:val="nil"/>
              <w:tr2bl w:val="nil"/>
            </w:tcBorders>
            <w:shd w:val="clear" w:color="auto" w:fill="auto"/>
            <w:vAlign w:val="center"/>
          </w:tcPr>
          <w:p w14:paraId="4CEA2CD0">
            <w:pPr>
              <w:keepNext w:val="0"/>
              <w:keepLines w:val="0"/>
              <w:widowControl/>
              <w:suppressLineNumbers w:val="0"/>
              <w:jc w:val="left"/>
            </w:pPr>
            <w:r>
              <w:rPr>
                <w:rFonts w:ascii="宋体" w:hAnsi="宋体" w:eastAsia="宋体" w:cs="宋体"/>
                <w:kern w:val="0"/>
                <w:sz w:val="24"/>
                <w:szCs w:val="24"/>
                <w:lang w:val="en-US" w:eastAsia="zh-CN" w:bidi="ar"/>
              </w:rPr>
              <w:t>绪论：婴幼儿早期教育概述</w:t>
            </w:r>
          </w:p>
        </w:tc>
        <w:tc>
          <w:tcPr>
            <w:tcW w:w="0" w:type="auto"/>
            <w:tcBorders>
              <w:tl2br w:val="nil"/>
              <w:tr2bl w:val="nil"/>
            </w:tcBorders>
            <w:shd w:val="clear" w:color="auto" w:fill="auto"/>
            <w:vAlign w:val="center"/>
          </w:tcPr>
          <w:p w14:paraId="166DEAF2">
            <w:pPr>
              <w:keepNext w:val="0"/>
              <w:keepLines w:val="0"/>
              <w:widowControl/>
              <w:suppressLineNumbers w:val="0"/>
              <w:jc w:val="left"/>
            </w:pPr>
            <w:r>
              <w:rPr>
                <w:rFonts w:ascii="宋体" w:hAnsi="宋体" w:eastAsia="宋体" w:cs="宋体"/>
                <w:kern w:val="0"/>
                <w:sz w:val="24"/>
                <w:szCs w:val="24"/>
                <w:lang w:val="en-US" w:eastAsia="zh-CN" w:bidi="ar"/>
              </w:rPr>
              <w:t>婴幼儿早期教育的概念、价值与发展历程</w:t>
            </w:r>
          </w:p>
        </w:tc>
        <w:tc>
          <w:tcPr>
            <w:tcW w:w="0" w:type="auto"/>
            <w:tcBorders>
              <w:tl2br w:val="nil"/>
              <w:tr2bl w:val="nil"/>
            </w:tcBorders>
            <w:shd w:val="clear" w:color="auto" w:fill="auto"/>
            <w:vAlign w:val="center"/>
          </w:tcPr>
          <w:p w14:paraId="743C1D79">
            <w:pPr>
              <w:keepNext w:val="0"/>
              <w:keepLines w:val="0"/>
              <w:widowControl/>
              <w:suppressLineNumbers w:val="0"/>
              <w:jc w:val="left"/>
            </w:pPr>
            <w:r>
              <w:rPr>
                <w:rFonts w:ascii="宋体" w:hAnsi="宋体" w:eastAsia="宋体" w:cs="宋体"/>
                <w:kern w:val="0"/>
                <w:sz w:val="24"/>
                <w:szCs w:val="24"/>
                <w:lang w:val="en-US" w:eastAsia="zh-CN" w:bidi="ar"/>
              </w:rPr>
              <w:t>理解婴幼儿早期教育的基本内涵与社会意义</w:t>
            </w:r>
          </w:p>
        </w:tc>
        <w:tc>
          <w:tcPr>
            <w:tcW w:w="0" w:type="auto"/>
            <w:tcBorders>
              <w:tl2br w:val="nil"/>
              <w:tr2bl w:val="nil"/>
            </w:tcBorders>
            <w:shd w:val="clear" w:color="auto" w:fill="auto"/>
            <w:vAlign w:val="center"/>
          </w:tcPr>
          <w:p w14:paraId="7572A645">
            <w:pPr>
              <w:keepNext w:val="0"/>
              <w:keepLines w:val="0"/>
              <w:widowControl/>
              <w:suppressLineNumbers w:val="0"/>
              <w:jc w:val="left"/>
            </w:pPr>
            <w:r>
              <w:rPr>
                <w:rFonts w:ascii="宋体" w:hAnsi="宋体" w:eastAsia="宋体" w:cs="宋体"/>
                <w:kern w:val="0"/>
                <w:sz w:val="24"/>
                <w:szCs w:val="24"/>
                <w:lang w:val="en-US" w:eastAsia="zh-CN" w:bidi="ar"/>
              </w:rPr>
              <w:t>4</w:t>
            </w:r>
          </w:p>
        </w:tc>
        <w:tc>
          <w:tcPr>
            <w:tcW w:w="0" w:type="auto"/>
            <w:tcBorders>
              <w:tl2br w:val="nil"/>
              <w:tr2bl w:val="nil"/>
            </w:tcBorders>
            <w:shd w:val="clear" w:color="auto" w:fill="auto"/>
            <w:vAlign w:val="center"/>
          </w:tcPr>
          <w:p w14:paraId="26F74D2A">
            <w:pPr>
              <w:keepNext w:val="0"/>
              <w:keepLines w:val="0"/>
              <w:widowControl/>
              <w:suppressLineNumbers w:val="0"/>
              <w:jc w:val="left"/>
            </w:pPr>
            <w:r>
              <w:rPr>
                <w:rFonts w:ascii="宋体" w:hAnsi="宋体" w:eastAsia="宋体" w:cs="宋体"/>
                <w:kern w:val="0"/>
                <w:sz w:val="24"/>
                <w:szCs w:val="24"/>
                <w:lang w:val="en-US" w:eastAsia="zh-CN" w:bidi="ar"/>
              </w:rPr>
              <w:t>0</w:t>
            </w:r>
          </w:p>
        </w:tc>
      </w:tr>
      <w:tr w14:paraId="1714D3C0">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shd w:val="clear" w:color="auto" w:fill="auto"/>
          <w:tblCellMar>
            <w:top w:w="15" w:type="dxa"/>
            <w:left w:w="15" w:type="dxa"/>
            <w:bottom w:w="15" w:type="dxa"/>
            <w:right w:w="15" w:type="dxa"/>
          </w:tblCellMar>
        </w:tblPrEx>
        <w:trPr>
          <w:tblCellSpacing w:w="15" w:type="dxa"/>
        </w:trPr>
        <w:tc>
          <w:tcPr>
            <w:tcW w:w="0" w:type="auto"/>
            <w:vMerge w:val="continue"/>
            <w:tcBorders>
              <w:tl2br w:val="nil"/>
              <w:tr2bl w:val="nil"/>
            </w:tcBorders>
            <w:shd w:val="clear" w:color="auto" w:fill="auto"/>
            <w:vAlign w:val="center"/>
          </w:tcPr>
          <w:p w14:paraId="0D6825B4">
            <w:pPr>
              <w:keepNext w:val="0"/>
              <w:keepLines w:val="0"/>
              <w:widowControl/>
              <w:suppressLineNumbers w:val="0"/>
              <w:jc w:val="left"/>
            </w:pPr>
          </w:p>
        </w:tc>
        <w:tc>
          <w:tcPr>
            <w:tcW w:w="0" w:type="auto"/>
            <w:tcBorders>
              <w:tl2br w:val="nil"/>
              <w:tr2bl w:val="nil"/>
            </w:tcBorders>
            <w:shd w:val="clear" w:color="auto" w:fill="auto"/>
            <w:vAlign w:val="center"/>
          </w:tcPr>
          <w:p w14:paraId="61174483">
            <w:pPr>
              <w:keepNext w:val="0"/>
              <w:keepLines w:val="0"/>
              <w:widowControl/>
              <w:suppressLineNumbers w:val="0"/>
              <w:jc w:val="left"/>
            </w:pPr>
            <w:r>
              <w:rPr>
                <w:rFonts w:ascii="宋体" w:hAnsi="宋体" w:eastAsia="宋体" w:cs="宋体"/>
                <w:kern w:val="0"/>
                <w:sz w:val="24"/>
                <w:szCs w:val="24"/>
                <w:lang w:val="en-US" w:eastAsia="zh-CN" w:bidi="ar"/>
              </w:rPr>
              <w:t>婴幼儿发展基础</w:t>
            </w:r>
          </w:p>
        </w:tc>
        <w:tc>
          <w:tcPr>
            <w:tcW w:w="0" w:type="auto"/>
            <w:tcBorders>
              <w:tl2br w:val="nil"/>
              <w:tr2bl w:val="nil"/>
            </w:tcBorders>
            <w:shd w:val="clear" w:color="auto" w:fill="auto"/>
            <w:vAlign w:val="center"/>
          </w:tcPr>
          <w:p w14:paraId="4B7D3725">
            <w:pPr>
              <w:keepNext w:val="0"/>
              <w:keepLines w:val="0"/>
              <w:widowControl/>
              <w:suppressLineNumbers w:val="0"/>
              <w:jc w:val="left"/>
            </w:pPr>
            <w:r>
              <w:rPr>
                <w:rFonts w:ascii="宋体" w:hAnsi="宋体" w:eastAsia="宋体" w:cs="宋体"/>
                <w:kern w:val="0"/>
                <w:sz w:val="24"/>
                <w:szCs w:val="24"/>
                <w:lang w:val="en-US" w:eastAsia="zh-CN" w:bidi="ar"/>
              </w:rPr>
              <w:t>0—3岁婴幼儿身心发展规律与教育需求</w:t>
            </w:r>
          </w:p>
        </w:tc>
        <w:tc>
          <w:tcPr>
            <w:tcW w:w="0" w:type="auto"/>
            <w:tcBorders>
              <w:tl2br w:val="nil"/>
              <w:tr2bl w:val="nil"/>
            </w:tcBorders>
            <w:shd w:val="clear" w:color="auto" w:fill="auto"/>
            <w:vAlign w:val="center"/>
          </w:tcPr>
          <w:p w14:paraId="52B581E9">
            <w:pPr>
              <w:keepNext w:val="0"/>
              <w:keepLines w:val="0"/>
              <w:widowControl/>
              <w:suppressLineNumbers w:val="0"/>
              <w:jc w:val="left"/>
            </w:pPr>
            <w:r>
              <w:rPr>
                <w:rFonts w:ascii="宋体" w:hAnsi="宋体" w:eastAsia="宋体" w:cs="宋体"/>
                <w:kern w:val="0"/>
                <w:sz w:val="24"/>
                <w:szCs w:val="24"/>
                <w:lang w:val="en-US" w:eastAsia="zh-CN" w:bidi="ar"/>
              </w:rPr>
              <w:t>掌握婴幼儿各领域发展特点，能进行观察与分析</w:t>
            </w:r>
          </w:p>
        </w:tc>
        <w:tc>
          <w:tcPr>
            <w:tcW w:w="0" w:type="auto"/>
            <w:tcBorders>
              <w:tl2br w:val="nil"/>
              <w:tr2bl w:val="nil"/>
            </w:tcBorders>
            <w:shd w:val="clear" w:color="auto" w:fill="auto"/>
            <w:vAlign w:val="center"/>
          </w:tcPr>
          <w:p w14:paraId="70A52FFC">
            <w:pPr>
              <w:keepNext w:val="0"/>
              <w:keepLines w:val="0"/>
              <w:widowControl/>
              <w:suppressLineNumbers w:val="0"/>
              <w:jc w:val="left"/>
            </w:pPr>
            <w:r>
              <w:rPr>
                <w:rFonts w:ascii="宋体" w:hAnsi="宋体" w:eastAsia="宋体" w:cs="宋体"/>
                <w:kern w:val="0"/>
                <w:sz w:val="24"/>
                <w:szCs w:val="24"/>
                <w:lang w:val="en-US" w:eastAsia="zh-CN" w:bidi="ar"/>
              </w:rPr>
              <w:t>6</w:t>
            </w:r>
          </w:p>
        </w:tc>
        <w:tc>
          <w:tcPr>
            <w:tcW w:w="0" w:type="auto"/>
            <w:tcBorders>
              <w:tl2br w:val="nil"/>
              <w:tr2bl w:val="nil"/>
            </w:tcBorders>
            <w:shd w:val="clear" w:color="auto" w:fill="auto"/>
            <w:vAlign w:val="center"/>
          </w:tcPr>
          <w:p w14:paraId="7F503F98">
            <w:pPr>
              <w:keepNext w:val="0"/>
              <w:keepLines w:val="0"/>
              <w:widowControl/>
              <w:suppressLineNumbers w:val="0"/>
              <w:jc w:val="left"/>
            </w:pPr>
            <w:r>
              <w:rPr>
                <w:rFonts w:ascii="宋体" w:hAnsi="宋体" w:eastAsia="宋体" w:cs="宋体"/>
                <w:kern w:val="0"/>
                <w:sz w:val="24"/>
                <w:szCs w:val="24"/>
                <w:lang w:val="en-US" w:eastAsia="zh-CN" w:bidi="ar"/>
              </w:rPr>
              <w:t>2</w:t>
            </w:r>
          </w:p>
        </w:tc>
      </w:tr>
      <w:tr w14:paraId="4BB4C74A">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shd w:val="clear" w:color="auto" w:fill="auto"/>
          <w:tblCellMar>
            <w:top w:w="15" w:type="dxa"/>
            <w:left w:w="15" w:type="dxa"/>
            <w:bottom w:w="15" w:type="dxa"/>
            <w:right w:w="15" w:type="dxa"/>
          </w:tblCellMar>
        </w:tblPrEx>
        <w:trPr>
          <w:tblCellSpacing w:w="15" w:type="dxa"/>
        </w:trPr>
        <w:tc>
          <w:tcPr>
            <w:tcW w:w="0" w:type="auto"/>
            <w:vMerge w:val="continue"/>
            <w:tcBorders>
              <w:tl2br w:val="nil"/>
              <w:tr2bl w:val="nil"/>
            </w:tcBorders>
            <w:shd w:val="clear" w:color="auto" w:fill="auto"/>
            <w:vAlign w:val="center"/>
          </w:tcPr>
          <w:p w14:paraId="0954C2D3">
            <w:pPr>
              <w:keepNext w:val="0"/>
              <w:keepLines w:val="0"/>
              <w:widowControl/>
              <w:suppressLineNumbers w:val="0"/>
              <w:jc w:val="left"/>
            </w:pPr>
          </w:p>
        </w:tc>
        <w:tc>
          <w:tcPr>
            <w:tcW w:w="0" w:type="auto"/>
            <w:tcBorders>
              <w:tl2br w:val="nil"/>
              <w:tr2bl w:val="nil"/>
            </w:tcBorders>
            <w:shd w:val="clear" w:color="auto" w:fill="auto"/>
            <w:vAlign w:val="center"/>
          </w:tcPr>
          <w:p w14:paraId="2448025B">
            <w:pPr>
              <w:keepNext w:val="0"/>
              <w:keepLines w:val="0"/>
              <w:widowControl/>
              <w:suppressLineNumbers w:val="0"/>
              <w:jc w:val="left"/>
            </w:pPr>
            <w:r>
              <w:rPr>
                <w:rFonts w:ascii="宋体" w:hAnsi="宋体" w:eastAsia="宋体" w:cs="宋体"/>
                <w:kern w:val="0"/>
                <w:sz w:val="24"/>
                <w:szCs w:val="24"/>
                <w:lang w:val="en-US" w:eastAsia="zh-CN" w:bidi="ar"/>
              </w:rPr>
              <w:t>早期教育理论与流派</w:t>
            </w:r>
          </w:p>
        </w:tc>
        <w:tc>
          <w:tcPr>
            <w:tcW w:w="0" w:type="auto"/>
            <w:tcBorders>
              <w:tl2br w:val="nil"/>
              <w:tr2bl w:val="nil"/>
            </w:tcBorders>
            <w:shd w:val="clear" w:color="auto" w:fill="auto"/>
            <w:vAlign w:val="center"/>
          </w:tcPr>
          <w:p w14:paraId="0EE13A87">
            <w:pPr>
              <w:keepNext w:val="0"/>
              <w:keepLines w:val="0"/>
              <w:widowControl/>
              <w:suppressLineNumbers w:val="0"/>
              <w:jc w:val="left"/>
            </w:pPr>
            <w:r>
              <w:rPr>
                <w:rFonts w:ascii="宋体" w:hAnsi="宋体" w:eastAsia="宋体" w:cs="宋体"/>
                <w:kern w:val="0"/>
                <w:sz w:val="24"/>
                <w:szCs w:val="24"/>
                <w:lang w:val="en-US" w:eastAsia="zh-CN" w:bidi="ar"/>
              </w:rPr>
              <w:t>蒙台梭利、皮亚杰、维果茨基等早教理论及应用</w:t>
            </w:r>
          </w:p>
        </w:tc>
        <w:tc>
          <w:tcPr>
            <w:tcW w:w="0" w:type="auto"/>
            <w:tcBorders>
              <w:tl2br w:val="nil"/>
              <w:tr2bl w:val="nil"/>
            </w:tcBorders>
            <w:shd w:val="clear" w:color="auto" w:fill="auto"/>
            <w:vAlign w:val="center"/>
          </w:tcPr>
          <w:p w14:paraId="51825355">
            <w:pPr>
              <w:keepNext w:val="0"/>
              <w:keepLines w:val="0"/>
              <w:widowControl/>
              <w:suppressLineNumbers w:val="0"/>
              <w:jc w:val="left"/>
            </w:pPr>
            <w:r>
              <w:rPr>
                <w:rFonts w:ascii="宋体" w:hAnsi="宋体" w:eastAsia="宋体" w:cs="宋体"/>
                <w:kern w:val="0"/>
                <w:sz w:val="24"/>
                <w:szCs w:val="24"/>
                <w:lang w:val="en-US" w:eastAsia="zh-CN" w:bidi="ar"/>
              </w:rPr>
              <w:t>能结合理论分析婴幼儿行为，形成教育启示</w:t>
            </w:r>
          </w:p>
        </w:tc>
        <w:tc>
          <w:tcPr>
            <w:tcW w:w="0" w:type="auto"/>
            <w:tcBorders>
              <w:tl2br w:val="nil"/>
              <w:tr2bl w:val="nil"/>
            </w:tcBorders>
            <w:shd w:val="clear" w:color="auto" w:fill="auto"/>
            <w:vAlign w:val="center"/>
          </w:tcPr>
          <w:p w14:paraId="3D89B9F5">
            <w:pPr>
              <w:keepNext w:val="0"/>
              <w:keepLines w:val="0"/>
              <w:widowControl/>
              <w:suppressLineNumbers w:val="0"/>
              <w:jc w:val="left"/>
            </w:pPr>
            <w:r>
              <w:rPr>
                <w:rFonts w:ascii="宋体" w:hAnsi="宋体" w:eastAsia="宋体" w:cs="宋体"/>
                <w:kern w:val="0"/>
                <w:sz w:val="24"/>
                <w:szCs w:val="24"/>
                <w:lang w:val="en-US" w:eastAsia="zh-CN" w:bidi="ar"/>
              </w:rPr>
              <w:t>6</w:t>
            </w:r>
          </w:p>
        </w:tc>
        <w:tc>
          <w:tcPr>
            <w:tcW w:w="0" w:type="auto"/>
            <w:tcBorders>
              <w:tl2br w:val="nil"/>
              <w:tr2bl w:val="nil"/>
            </w:tcBorders>
            <w:shd w:val="clear" w:color="auto" w:fill="auto"/>
            <w:vAlign w:val="center"/>
          </w:tcPr>
          <w:p w14:paraId="7D5DB279">
            <w:pPr>
              <w:keepNext w:val="0"/>
              <w:keepLines w:val="0"/>
              <w:widowControl/>
              <w:suppressLineNumbers w:val="0"/>
              <w:jc w:val="left"/>
            </w:pPr>
            <w:r>
              <w:rPr>
                <w:rFonts w:ascii="宋体" w:hAnsi="宋体" w:eastAsia="宋体" w:cs="宋体"/>
                <w:kern w:val="0"/>
                <w:sz w:val="24"/>
                <w:szCs w:val="24"/>
                <w:lang w:val="en-US" w:eastAsia="zh-CN" w:bidi="ar"/>
              </w:rPr>
              <w:t>2</w:t>
            </w:r>
          </w:p>
        </w:tc>
      </w:tr>
      <w:tr w14:paraId="2EC569E6">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shd w:val="clear" w:color="auto" w:fill="auto"/>
          <w:tblCellMar>
            <w:top w:w="15" w:type="dxa"/>
            <w:left w:w="15" w:type="dxa"/>
            <w:bottom w:w="15" w:type="dxa"/>
            <w:right w:w="15" w:type="dxa"/>
          </w:tblCellMar>
        </w:tblPrEx>
        <w:trPr>
          <w:tblCellSpacing w:w="15" w:type="dxa"/>
        </w:trPr>
        <w:tc>
          <w:tcPr>
            <w:tcW w:w="0" w:type="auto"/>
            <w:vMerge w:val="continue"/>
            <w:tcBorders>
              <w:tl2br w:val="nil"/>
              <w:tr2bl w:val="nil"/>
            </w:tcBorders>
            <w:shd w:val="clear" w:color="auto" w:fill="auto"/>
            <w:vAlign w:val="center"/>
          </w:tcPr>
          <w:p w14:paraId="436CBD49">
            <w:pPr>
              <w:keepNext w:val="0"/>
              <w:keepLines w:val="0"/>
              <w:widowControl/>
              <w:suppressLineNumbers w:val="0"/>
              <w:jc w:val="left"/>
            </w:pPr>
          </w:p>
        </w:tc>
        <w:tc>
          <w:tcPr>
            <w:tcW w:w="0" w:type="auto"/>
            <w:tcBorders>
              <w:tl2br w:val="nil"/>
              <w:tr2bl w:val="nil"/>
            </w:tcBorders>
            <w:shd w:val="clear" w:color="auto" w:fill="auto"/>
            <w:vAlign w:val="center"/>
          </w:tcPr>
          <w:p w14:paraId="4FC1588F">
            <w:pPr>
              <w:keepNext w:val="0"/>
              <w:keepLines w:val="0"/>
              <w:widowControl/>
              <w:suppressLineNumbers w:val="0"/>
              <w:jc w:val="left"/>
            </w:pPr>
            <w:r>
              <w:rPr>
                <w:rFonts w:ascii="宋体" w:hAnsi="宋体" w:eastAsia="宋体" w:cs="宋体"/>
                <w:kern w:val="0"/>
                <w:sz w:val="24"/>
                <w:szCs w:val="24"/>
                <w:lang w:val="en-US" w:eastAsia="zh-CN" w:bidi="ar"/>
              </w:rPr>
              <w:t>家庭早期教育</w:t>
            </w:r>
          </w:p>
        </w:tc>
        <w:tc>
          <w:tcPr>
            <w:tcW w:w="0" w:type="auto"/>
            <w:tcBorders>
              <w:tl2br w:val="nil"/>
              <w:tr2bl w:val="nil"/>
            </w:tcBorders>
            <w:shd w:val="clear" w:color="auto" w:fill="auto"/>
            <w:vAlign w:val="center"/>
          </w:tcPr>
          <w:p w14:paraId="3BEEFEC3">
            <w:pPr>
              <w:keepNext w:val="0"/>
              <w:keepLines w:val="0"/>
              <w:widowControl/>
              <w:suppressLineNumbers w:val="0"/>
              <w:jc w:val="left"/>
            </w:pPr>
            <w:r>
              <w:rPr>
                <w:rFonts w:ascii="宋体" w:hAnsi="宋体" w:eastAsia="宋体" w:cs="宋体"/>
                <w:kern w:val="0"/>
                <w:sz w:val="24"/>
                <w:szCs w:val="24"/>
                <w:lang w:val="en-US" w:eastAsia="zh-CN" w:bidi="ar"/>
              </w:rPr>
              <w:t>家庭教育目标、方法与常见问题指导</w:t>
            </w:r>
          </w:p>
        </w:tc>
        <w:tc>
          <w:tcPr>
            <w:tcW w:w="0" w:type="auto"/>
            <w:tcBorders>
              <w:tl2br w:val="nil"/>
              <w:tr2bl w:val="nil"/>
            </w:tcBorders>
            <w:shd w:val="clear" w:color="auto" w:fill="auto"/>
            <w:vAlign w:val="center"/>
          </w:tcPr>
          <w:p w14:paraId="26326B7A">
            <w:pPr>
              <w:keepNext w:val="0"/>
              <w:keepLines w:val="0"/>
              <w:widowControl/>
              <w:suppressLineNumbers w:val="0"/>
              <w:jc w:val="left"/>
            </w:pPr>
            <w:r>
              <w:rPr>
                <w:rFonts w:ascii="宋体" w:hAnsi="宋体" w:eastAsia="宋体" w:cs="宋体"/>
                <w:kern w:val="0"/>
                <w:sz w:val="24"/>
                <w:szCs w:val="24"/>
                <w:lang w:val="en-US" w:eastAsia="zh-CN" w:bidi="ar"/>
              </w:rPr>
              <w:t>掌握家庭育儿指导的方法，提升家园合作意识</w:t>
            </w:r>
          </w:p>
        </w:tc>
        <w:tc>
          <w:tcPr>
            <w:tcW w:w="0" w:type="auto"/>
            <w:tcBorders>
              <w:tl2br w:val="nil"/>
              <w:tr2bl w:val="nil"/>
            </w:tcBorders>
            <w:shd w:val="clear" w:color="auto" w:fill="auto"/>
            <w:vAlign w:val="center"/>
          </w:tcPr>
          <w:p w14:paraId="1D4E53B9">
            <w:pPr>
              <w:keepNext w:val="0"/>
              <w:keepLines w:val="0"/>
              <w:widowControl/>
              <w:suppressLineNumbers w:val="0"/>
              <w:jc w:val="left"/>
            </w:pPr>
            <w:r>
              <w:rPr>
                <w:rFonts w:ascii="宋体" w:hAnsi="宋体" w:eastAsia="宋体" w:cs="宋体"/>
                <w:kern w:val="0"/>
                <w:sz w:val="24"/>
                <w:szCs w:val="24"/>
                <w:lang w:val="en-US" w:eastAsia="zh-CN" w:bidi="ar"/>
              </w:rPr>
              <w:t>4</w:t>
            </w:r>
          </w:p>
        </w:tc>
        <w:tc>
          <w:tcPr>
            <w:tcW w:w="0" w:type="auto"/>
            <w:tcBorders>
              <w:tl2br w:val="nil"/>
              <w:tr2bl w:val="nil"/>
            </w:tcBorders>
            <w:shd w:val="clear" w:color="auto" w:fill="auto"/>
            <w:vAlign w:val="center"/>
          </w:tcPr>
          <w:p w14:paraId="7DCE6BE7">
            <w:pPr>
              <w:keepNext w:val="0"/>
              <w:keepLines w:val="0"/>
              <w:widowControl/>
              <w:suppressLineNumbers w:val="0"/>
              <w:jc w:val="left"/>
            </w:pPr>
            <w:r>
              <w:rPr>
                <w:rFonts w:ascii="宋体" w:hAnsi="宋体" w:eastAsia="宋体" w:cs="宋体"/>
                <w:kern w:val="0"/>
                <w:sz w:val="24"/>
                <w:szCs w:val="24"/>
                <w:lang w:val="en-US" w:eastAsia="zh-CN" w:bidi="ar"/>
              </w:rPr>
              <w:t>2</w:t>
            </w:r>
          </w:p>
        </w:tc>
      </w:tr>
      <w:tr w14:paraId="0D2F5712">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15" w:type="dxa"/>
            <w:left w:w="15" w:type="dxa"/>
            <w:bottom w:w="15" w:type="dxa"/>
            <w:right w:w="15" w:type="dxa"/>
          </w:tblCellMar>
        </w:tblPrEx>
        <w:trPr>
          <w:tblCellSpacing w:w="15" w:type="dxa"/>
        </w:trPr>
        <w:tc>
          <w:tcPr>
            <w:tcW w:w="0" w:type="auto"/>
            <w:vMerge w:val="continue"/>
            <w:tcBorders>
              <w:tl2br w:val="nil"/>
              <w:tr2bl w:val="nil"/>
            </w:tcBorders>
            <w:shd w:val="clear" w:color="auto" w:fill="auto"/>
            <w:vAlign w:val="center"/>
          </w:tcPr>
          <w:p w14:paraId="19355B3D">
            <w:pPr>
              <w:keepNext w:val="0"/>
              <w:keepLines w:val="0"/>
              <w:widowControl/>
              <w:suppressLineNumbers w:val="0"/>
              <w:jc w:val="left"/>
            </w:pPr>
          </w:p>
        </w:tc>
        <w:tc>
          <w:tcPr>
            <w:tcW w:w="0" w:type="auto"/>
            <w:tcBorders>
              <w:tl2br w:val="nil"/>
              <w:tr2bl w:val="nil"/>
            </w:tcBorders>
            <w:shd w:val="clear" w:color="auto" w:fill="auto"/>
            <w:vAlign w:val="center"/>
          </w:tcPr>
          <w:p w14:paraId="5B826807">
            <w:pPr>
              <w:keepNext w:val="0"/>
              <w:keepLines w:val="0"/>
              <w:widowControl/>
              <w:suppressLineNumbers w:val="0"/>
              <w:jc w:val="left"/>
            </w:pPr>
            <w:r>
              <w:rPr>
                <w:rFonts w:ascii="宋体" w:hAnsi="宋体" w:eastAsia="宋体" w:cs="宋体"/>
                <w:kern w:val="0"/>
                <w:sz w:val="24"/>
                <w:szCs w:val="24"/>
                <w:lang w:val="en-US" w:eastAsia="zh-CN" w:bidi="ar"/>
              </w:rPr>
              <w:t>托育机构早期教育与照护</w:t>
            </w:r>
          </w:p>
        </w:tc>
        <w:tc>
          <w:tcPr>
            <w:tcW w:w="0" w:type="auto"/>
            <w:tcBorders>
              <w:tl2br w:val="nil"/>
              <w:tr2bl w:val="nil"/>
            </w:tcBorders>
            <w:shd w:val="clear" w:color="auto" w:fill="auto"/>
            <w:vAlign w:val="center"/>
          </w:tcPr>
          <w:p w14:paraId="1D7DF12B">
            <w:pPr>
              <w:keepNext w:val="0"/>
              <w:keepLines w:val="0"/>
              <w:widowControl/>
              <w:suppressLineNumbers w:val="0"/>
              <w:jc w:val="left"/>
            </w:pPr>
            <w:r>
              <w:rPr>
                <w:rFonts w:ascii="宋体" w:hAnsi="宋体" w:eastAsia="宋体" w:cs="宋体"/>
                <w:kern w:val="0"/>
                <w:sz w:val="24"/>
                <w:szCs w:val="24"/>
                <w:lang w:val="en-US" w:eastAsia="zh-CN" w:bidi="ar"/>
              </w:rPr>
              <w:t>托育机构中的教育与照护内容、方式与案例</w:t>
            </w:r>
          </w:p>
        </w:tc>
        <w:tc>
          <w:tcPr>
            <w:tcW w:w="0" w:type="auto"/>
            <w:tcBorders>
              <w:tl2br w:val="nil"/>
              <w:tr2bl w:val="nil"/>
            </w:tcBorders>
            <w:shd w:val="clear" w:color="auto" w:fill="auto"/>
            <w:vAlign w:val="center"/>
          </w:tcPr>
          <w:p w14:paraId="5194B1ED">
            <w:pPr>
              <w:keepNext w:val="0"/>
              <w:keepLines w:val="0"/>
              <w:widowControl/>
              <w:suppressLineNumbers w:val="0"/>
              <w:jc w:val="left"/>
            </w:pPr>
            <w:r>
              <w:rPr>
                <w:rFonts w:ascii="宋体" w:hAnsi="宋体" w:eastAsia="宋体" w:cs="宋体"/>
                <w:kern w:val="0"/>
                <w:sz w:val="24"/>
                <w:szCs w:val="24"/>
                <w:lang w:val="en-US" w:eastAsia="zh-CN" w:bidi="ar"/>
              </w:rPr>
              <w:t>能初步设计并实施托育活动，理解保教结合</w:t>
            </w:r>
          </w:p>
        </w:tc>
        <w:tc>
          <w:tcPr>
            <w:tcW w:w="0" w:type="auto"/>
            <w:tcBorders>
              <w:tl2br w:val="nil"/>
              <w:tr2bl w:val="nil"/>
            </w:tcBorders>
            <w:shd w:val="clear" w:color="auto" w:fill="auto"/>
            <w:vAlign w:val="center"/>
          </w:tcPr>
          <w:p w14:paraId="70178373">
            <w:pPr>
              <w:keepNext w:val="0"/>
              <w:keepLines w:val="0"/>
              <w:widowControl/>
              <w:suppressLineNumbers w:val="0"/>
              <w:jc w:val="left"/>
            </w:pPr>
            <w:r>
              <w:rPr>
                <w:rFonts w:ascii="宋体" w:hAnsi="宋体" w:eastAsia="宋体" w:cs="宋体"/>
                <w:kern w:val="0"/>
                <w:sz w:val="24"/>
                <w:szCs w:val="24"/>
                <w:lang w:val="en-US" w:eastAsia="zh-CN" w:bidi="ar"/>
              </w:rPr>
              <w:t>6</w:t>
            </w:r>
          </w:p>
        </w:tc>
        <w:tc>
          <w:tcPr>
            <w:tcW w:w="0" w:type="auto"/>
            <w:tcBorders>
              <w:tl2br w:val="nil"/>
              <w:tr2bl w:val="nil"/>
            </w:tcBorders>
            <w:shd w:val="clear" w:color="auto" w:fill="auto"/>
            <w:vAlign w:val="center"/>
          </w:tcPr>
          <w:p w14:paraId="669ABA8A">
            <w:pPr>
              <w:keepNext w:val="0"/>
              <w:keepLines w:val="0"/>
              <w:widowControl/>
              <w:suppressLineNumbers w:val="0"/>
              <w:jc w:val="left"/>
            </w:pPr>
            <w:r>
              <w:rPr>
                <w:rFonts w:ascii="宋体" w:hAnsi="宋体" w:eastAsia="宋体" w:cs="宋体"/>
                <w:kern w:val="0"/>
                <w:sz w:val="24"/>
                <w:szCs w:val="24"/>
                <w:lang w:val="en-US" w:eastAsia="zh-CN" w:bidi="ar"/>
              </w:rPr>
              <w:t>4</w:t>
            </w:r>
          </w:p>
        </w:tc>
      </w:tr>
      <w:tr w14:paraId="7CCEC16F">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shd w:val="clear" w:color="auto" w:fill="auto"/>
          <w:tblCellMar>
            <w:top w:w="15" w:type="dxa"/>
            <w:left w:w="15" w:type="dxa"/>
            <w:bottom w:w="15" w:type="dxa"/>
            <w:right w:w="15" w:type="dxa"/>
          </w:tblCellMar>
        </w:tblPrEx>
        <w:trPr>
          <w:tblCellSpacing w:w="15" w:type="dxa"/>
        </w:trPr>
        <w:tc>
          <w:tcPr>
            <w:tcW w:w="0" w:type="auto"/>
            <w:vMerge w:val="continue"/>
            <w:tcBorders>
              <w:tl2br w:val="nil"/>
              <w:tr2bl w:val="nil"/>
            </w:tcBorders>
            <w:shd w:val="clear" w:color="auto" w:fill="auto"/>
            <w:vAlign w:val="center"/>
          </w:tcPr>
          <w:p w14:paraId="1B741FC4">
            <w:pPr>
              <w:keepNext w:val="0"/>
              <w:keepLines w:val="0"/>
              <w:widowControl/>
              <w:suppressLineNumbers w:val="0"/>
              <w:jc w:val="left"/>
            </w:pPr>
          </w:p>
        </w:tc>
        <w:tc>
          <w:tcPr>
            <w:tcW w:w="0" w:type="auto"/>
            <w:tcBorders>
              <w:tl2br w:val="nil"/>
              <w:tr2bl w:val="nil"/>
            </w:tcBorders>
            <w:shd w:val="clear" w:color="auto" w:fill="auto"/>
            <w:vAlign w:val="center"/>
          </w:tcPr>
          <w:p w14:paraId="41644598">
            <w:pPr>
              <w:keepNext w:val="0"/>
              <w:keepLines w:val="0"/>
              <w:widowControl/>
              <w:suppressLineNumbers w:val="0"/>
              <w:jc w:val="left"/>
            </w:pPr>
            <w:r>
              <w:rPr>
                <w:rFonts w:ascii="宋体" w:hAnsi="宋体" w:eastAsia="宋体" w:cs="宋体"/>
                <w:kern w:val="0"/>
                <w:sz w:val="24"/>
                <w:szCs w:val="24"/>
                <w:lang w:val="en-US" w:eastAsia="zh-CN" w:bidi="ar"/>
              </w:rPr>
              <w:t>社区与社会支持系统</w:t>
            </w:r>
          </w:p>
        </w:tc>
        <w:tc>
          <w:tcPr>
            <w:tcW w:w="0" w:type="auto"/>
            <w:tcBorders>
              <w:tl2br w:val="nil"/>
              <w:tr2bl w:val="nil"/>
            </w:tcBorders>
            <w:shd w:val="clear" w:color="auto" w:fill="auto"/>
            <w:vAlign w:val="center"/>
          </w:tcPr>
          <w:p w14:paraId="3F073373">
            <w:pPr>
              <w:keepNext w:val="0"/>
              <w:keepLines w:val="0"/>
              <w:widowControl/>
              <w:suppressLineNumbers w:val="0"/>
              <w:jc w:val="left"/>
            </w:pPr>
            <w:r>
              <w:rPr>
                <w:rFonts w:ascii="宋体" w:hAnsi="宋体" w:eastAsia="宋体" w:cs="宋体"/>
                <w:kern w:val="0"/>
                <w:sz w:val="24"/>
                <w:szCs w:val="24"/>
                <w:lang w:val="en-US" w:eastAsia="zh-CN" w:bidi="ar"/>
              </w:rPr>
              <w:t>社区资源、社会政策在婴幼儿早期教育中的作用</w:t>
            </w:r>
          </w:p>
        </w:tc>
        <w:tc>
          <w:tcPr>
            <w:tcW w:w="0" w:type="auto"/>
            <w:tcBorders>
              <w:tl2br w:val="nil"/>
              <w:tr2bl w:val="nil"/>
            </w:tcBorders>
            <w:shd w:val="clear" w:color="auto" w:fill="auto"/>
            <w:vAlign w:val="center"/>
          </w:tcPr>
          <w:p w14:paraId="6815A4FD">
            <w:pPr>
              <w:keepNext w:val="0"/>
              <w:keepLines w:val="0"/>
              <w:widowControl/>
              <w:suppressLineNumbers w:val="0"/>
              <w:jc w:val="left"/>
            </w:pPr>
            <w:r>
              <w:rPr>
                <w:rFonts w:ascii="宋体" w:hAnsi="宋体" w:eastAsia="宋体" w:cs="宋体"/>
                <w:kern w:val="0"/>
                <w:sz w:val="24"/>
                <w:szCs w:val="24"/>
                <w:lang w:val="en-US" w:eastAsia="zh-CN" w:bidi="ar"/>
              </w:rPr>
              <w:t>认识多元支持体系，增强社会资源整合意识</w:t>
            </w:r>
          </w:p>
        </w:tc>
        <w:tc>
          <w:tcPr>
            <w:tcW w:w="0" w:type="auto"/>
            <w:tcBorders>
              <w:tl2br w:val="nil"/>
              <w:tr2bl w:val="nil"/>
            </w:tcBorders>
            <w:shd w:val="clear" w:color="auto" w:fill="auto"/>
            <w:vAlign w:val="center"/>
          </w:tcPr>
          <w:p w14:paraId="312EDA17">
            <w:pPr>
              <w:keepNext w:val="0"/>
              <w:keepLines w:val="0"/>
              <w:widowControl/>
              <w:suppressLineNumbers w:val="0"/>
              <w:jc w:val="left"/>
            </w:pPr>
            <w:r>
              <w:rPr>
                <w:rFonts w:ascii="宋体" w:hAnsi="宋体" w:eastAsia="宋体" w:cs="宋体"/>
                <w:kern w:val="0"/>
                <w:sz w:val="24"/>
                <w:szCs w:val="24"/>
                <w:lang w:val="en-US" w:eastAsia="zh-CN" w:bidi="ar"/>
              </w:rPr>
              <w:t>4</w:t>
            </w:r>
          </w:p>
        </w:tc>
        <w:tc>
          <w:tcPr>
            <w:tcW w:w="0" w:type="auto"/>
            <w:tcBorders>
              <w:tl2br w:val="nil"/>
              <w:tr2bl w:val="nil"/>
            </w:tcBorders>
            <w:shd w:val="clear" w:color="auto" w:fill="auto"/>
            <w:vAlign w:val="center"/>
          </w:tcPr>
          <w:p w14:paraId="2140C219">
            <w:pPr>
              <w:keepNext w:val="0"/>
              <w:keepLines w:val="0"/>
              <w:widowControl/>
              <w:suppressLineNumbers w:val="0"/>
              <w:jc w:val="left"/>
            </w:pPr>
            <w:r>
              <w:rPr>
                <w:rFonts w:ascii="宋体" w:hAnsi="宋体" w:eastAsia="宋体" w:cs="宋体"/>
                <w:kern w:val="0"/>
                <w:sz w:val="24"/>
                <w:szCs w:val="24"/>
                <w:lang w:val="en-US" w:eastAsia="zh-CN" w:bidi="ar"/>
              </w:rPr>
              <w:t>0</w:t>
            </w:r>
          </w:p>
        </w:tc>
      </w:tr>
      <w:tr w14:paraId="3CAF0CF4">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15" w:type="dxa"/>
            <w:left w:w="15" w:type="dxa"/>
            <w:bottom w:w="15" w:type="dxa"/>
            <w:right w:w="15" w:type="dxa"/>
          </w:tblCellMar>
        </w:tblPrEx>
        <w:trPr>
          <w:tblCellSpacing w:w="15" w:type="dxa"/>
        </w:trPr>
        <w:tc>
          <w:tcPr>
            <w:tcW w:w="0" w:type="auto"/>
            <w:vMerge w:val="continue"/>
            <w:tcBorders>
              <w:tl2br w:val="nil"/>
              <w:tr2bl w:val="nil"/>
            </w:tcBorders>
            <w:shd w:val="clear" w:color="auto" w:fill="auto"/>
            <w:vAlign w:val="center"/>
          </w:tcPr>
          <w:p w14:paraId="6284FFAE">
            <w:pPr>
              <w:keepNext w:val="0"/>
              <w:keepLines w:val="0"/>
              <w:widowControl/>
              <w:suppressLineNumbers w:val="0"/>
              <w:jc w:val="left"/>
            </w:pPr>
          </w:p>
        </w:tc>
        <w:tc>
          <w:tcPr>
            <w:tcW w:w="0" w:type="auto"/>
            <w:tcBorders>
              <w:tl2br w:val="nil"/>
              <w:tr2bl w:val="nil"/>
            </w:tcBorders>
            <w:shd w:val="clear" w:color="auto" w:fill="auto"/>
            <w:vAlign w:val="center"/>
          </w:tcPr>
          <w:p w14:paraId="42AC2947">
            <w:pPr>
              <w:keepNext w:val="0"/>
              <w:keepLines w:val="0"/>
              <w:widowControl/>
              <w:suppressLineNumbers w:val="0"/>
              <w:jc w:val="left"/>
            </w:pPr>
            <w:r>
              <w:rPr>
                <w:rFonts w:ascii="宋体" w:hAnsi="宋体" w:eastAsia="宋体" w:cs="宋体"/>
                <w:kern w:val="0"/>
                <w:sz w:val="24"/>
                <w:szCs w:val="24"/>
                <w:lang w:val="en-US" w:eastAsia="zh-CN" w:bidi="ar"/>
              </w:rPr>
              <w:t>案例分析与实践指导</w:t>
            </w:r>
          </w:p>
        </w:tc>
        <w:tc>
          <w:tcPr>
            <w:tcW w:w="0" w:type="auto"/>
            <w:tcBorders>
              <w:tl2br w:val="nil"/>
              <w:tr2bl w:val="nil"/>
            </w:tcBorders>
            <w:shd w:val="clear" w:color="auto" w:fill="auto"/>
            <w:vAlign w:val="center"/>
          </w:tcPr>
          <w:p w14:paraId="4F7436FA">
            <w:pPr>
              <w:keepNext w:val="0"/>
              <w:keepLines w:val="0"/>
              <w:widowControl/>
              <w:suppressLineNumbers w:val="0"/>
              <w:jc w:val="left"/>
            </w:pPr>
            <w:r>
              <w:rPr>
                <w:rFonts w:ascii="宋体" w:hAnsi="宋体" w:eastAsia="宋体" w:cs="宋体"/>
                <w:kern w:val="0"/>
                <w:sz w:val="24"/>
                <w:szCs w:val="24"/>
                <w:lang w:val="en-US" w:eastAsia="zh-CN" w:bidi="ar"/>
              </w:rPr>
              <w:t>婴幼儿观察、活动设计、案例研讨</w:t>
            </w:r>
          </w:p>
        </w:tc>
        <w:tc>
          <w:tcPr>
            <w:tcW w:w="0" w:type="auto"/>
            <w:tcBorders>
              <w:tl2br w:val="nil"/>
              <w:tr2bl w:val="nil"/>
            </w:tcBorders>
            <w:shd w:val="clear" w:color="auto" w:fill="auto"/>
            <w:vAlign w:val="center"/>
          </w:tcPr>
          <w:p w14:paraId="3B8027DE">
            <w:pPr>
              <w:keepNext w:val="0"/>
              <w:keepLines w:val="0"/>
              <w:widowControl/>
              <w:suppressLineNumbers w:val="0"/>
              <w:jc w:val="left"/>
            </w:pPr>
            <w:r>
              <w:rPr>
                <w:rFonts w:ascii="宋体" w:hAnsi="宋体" w:eastAsia="宋体" w:cs="宋体"/>
                <w:kern w:val="0"/>
                <w:sz w:val="24"/>
                <w:szCs w:val="24"/>
                <w:lang w:val="en-US" w:eastAsia="zh-CN" w:bidi="ar"/>
              </w:rPr>
              <w:t>能独立进行婴幼儿教育案例分析与反思</w:t>
            </w:r>
          </w:p>
        </w:tc>
        <w:tc>
          <w:tcPr>
            <w:tcW w:w="0" w:type="auto"/>
            <w:tcBorders>
              <w:tl2br w:val="nil"/>
              <w:tr2bl w:val="nil"/>
            </w:tcBorders>
            <w:shd w:val="clear" w:color="auto" w:fill="auto"/>
            <w:vAlign w:val="center"/>
          </w:tcPr>
          <w:p w14:paraId="2A6F33B1">
            <w:pPr>
              <w:keepNext w:val="0"/>
              <w:keepLines w:val="0"/>
              <w:widowControl/>
              <w:suppressLineNumbers w:val="0"/>
              <w:jc w:val="left"/>
            </w:pPr>
            <w:r>
              <w:rPr>
                <w:rFonts w:ascii="宋体" w:hAnsi="宋体" w:eastAsia="宋体" w:cs="宋体"/>
                <w:kern w:val="0"/>
                <w:sz w:val="24"/>
                <w:szCs w:val="24"/>
                <w:lang w:val="en-US" w:eastAsia="zh-CN" w:bidi="ar"/>
              </w:rPr>
              <w:t>2</w:t>
            </w:r>
          </w:p>
        </w:tc>
        <w:tc>
          <w:tcPr>
            <w:tcW w:w="0" w:type="auto"/>
            <w:tcBorders>
              <w:tl2br w:val="nil"/>
              <w:tr2bl w:val="nil"/>
            </w:tcBorders>
            <w:shd w:val="clear" w:color="auto" w:fill="auto"/>
            <w:vAlign w:val="center"/>
          </w:tcPr>
          <w:p w14:paraId="722314BA">
            <w:pPr>
              <w:keepNext w:val="0"/>
              <w:keepLines w:val="0"/>
              <w:widowControl/>
              <w:suppressLineNumbers w:val="0"/>
              <w:jc w:val="left"/>
            </w:pPr>
            <w:r>
              <w:rPr>
                <w:rFonts w:ascii="宋体" w:hAnsi="宋体" w:eastAsia="宋体" w:cs="宋体"/>
                <w:kern w:val="0"/>
                <w:sz w:val="24"/>
                <w:szCs w:val="24"/>
                <w:lang w:val="en-US" w:eastAsia="zh-CN" w:bidi="ar"/>
              </w:rPr>
              <w:t>6</w:t>
            </w:r>
          </w:p>
        </w:tc>
      </w:tr>
      <w:tr w14:paraId="1186F0D2">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42749EBC">
            <w:pPr>
              <w:keepNext w:val="0"/>
              <w:keepLines w:val="0"/>
              <w:widowControl/>
              <w:suppressLineNumbers w:val="0"/>
              <w:jc w:val="left"/>
            </w:pPr>
            <w:r>
              <w:rPr>
                <w:rStyle w:val="5"/>
                <w:rFonts w:ascii="宋体" w:hAnsi="宋体" w:eastAsia="宋体" w:cs="宋体"/>
                <w:kern w:val="0"/>
                <w:sz w:val="24"/>
                <w:szCs w:val="24"/>
                <w:lang w:val="en-US" w:eastAsia="zh-CN" w:bidi="ar"/>
              </w:rPr>
              <w:t>合计</w:t>
            </w:r>
          </w:p>
        </w:tc>
        <w:tc>
          <w:tcPr>
            <w:tcW w:w="0" w:type="auto"/>
            <w:tcBorders>
              <w:tl2br w:val="nil"/>
              <w:tr2bl w:val="nil"/>
            </w:tcBorders>
            <w:shd w:val="clear" w:color="auto" w:fill="auto"/>
            <w:vAlign w:val="center"/>
          </w:tcPr>
          <w:p w14:paraId="38BB2866">
            <w:pPr>
              <w:rPr>
                <w:rFonts w:hint="eastAsia" w:ascii="宋体"/>
                <w:sz w:val="24"/>
                <w:szCs w:val="24"/>
              </w:rPr>
            </w:pPr>
          </w:p>
        </w:tc>
        <w:tc>
          <w:tcPr>
            <w:tcW w:w="0" w:type="auto"/>
            <w:tcBorders>
              <w:tl2br w:val="nil"/>
              <w:tr2bl w:val="nil"/>
            </w:tcBorders>
            <w:shd w:val="clear" w:color="auto" w:fill="auto"/>
            <w:vAlign w:val="center"/>
          </w:tcPr>
          <w:p w14:paraId="1795A513">
            <w:pPr>
              <w:rPr>
                <w:rFonts w:hint="eastAsia" w:ascii="宋体"/>
                <w:sz w:val="24"/>
                <w:szCs w:val="24"/>
              </w:rPr>
            </w:pPr>
          </w:p>
        </w:tc>
        <w:tc>
          <w:tcPr>
            <w:tcW w:w="0" w:type="auto"/>
            <w:tcBorders>
              <w:tl2br w:val="nil"/>
              <w:tr2bl w:val="nil"/>
            </w:tcBorders>
            <w:shd w:val="clear" w:color="auto" w:fill="auto"/>
            <w:vAlign w:val="center"/>
          </w:tcPr>
          <w:p w14:paraId="1893873B">
            <w:pPr>
              <w:rPr>
                <w:rFonts w:hint="eastAsia" w:ascii="宋体"/>
                <w:sz w:val="24"/>
                <w:szCs w:val="24"/>
              </w:rPr>
            </w:pPr>
          </w:p>
        </w:tc>
        <w:tc>
          <w:tcPr>
            <w:tcW w:w="0" w:type="auto"/>
            <w:tcBorders>
              <w:tl2br w:val="nil"/>
              <w:tr2bl w:val="nil"/>
            </w:tcBorders>
            <w:shd w:val="clear" w:color="auto" w:fill="auto"/>
            <w:vAlign w:val="center"/>
          </w:tcPr>
          <w:p w14:paraId="23256857">
            <w:pPr>
              <w:keepNext w:val="0"/>
              <w:keepLines w:val="0"/>
              <w:widowControl/>
              <w:suppressLineNumbers w:val="0"/>
              <w:jc w:val="left"/>
            </w:pPr>
            <w:r>
              <w:rPr>
                <w:rStyle w:val="5"/>
                <w:rFonts w:ascii="宋体" w:hAnsi="宋体" w:eastAsia="宋体" w:cs="宋体"/>
                <w:kern w:val="0"/>
                <w:sz w:val="24"/>
                <w:szCs w:val="24"/>
                <w:lang w:val="en-US" w:eastAsia="zh-CN" w:bidi="ar"/>
              </w:rPr>
              <w:t>32</w:t>
            </w:r>
          </w:p>
        </w:tc>
        <w:tc>
          <w:tcPr>
            <w:tcW w:w="0" w:type="auto"/>
            <w:tcBorders>
              <w:tl2br w:val="nil"/>
              <w:tr2bl w:val="nil"/>
            </w:tcBorders>
            <w:shd w:val="clear" w:color="auto" w:fill="auto"/>
            <w:vAlign w:val="center"/>
          </w:tcPr>
          <w:p w14:paraId="5C3DA080">
            <w:pPr>
              <w:keepNext w:val="0"/>
              <w:keepLines w:val="0"/>
              <w:widowControl/>
              <w:suppressLineNumbers w:val="0"/>
              <w:jc w:val="left"/>
            </w:pPr>
            <w:r>
              <w:rPr>
                <w:rStyle w:val="5"/>
                <w:rFonts w:ascii="宋体" w:hAnsi="宋体" w:eastAsia="宋体" w:cs="宋体"/>
                <w:kern w:val="0"/>
                <w:sz w:val="24"/>
                <w:szCs w:val="24"/>
                <w:lang w:val="en-US" w:eastAsia="zh-CN" w:bidi="ar"/>
              </w:rPr>
              <w:t>16</w:t>
            </w:r>
          </w:p>
        </w:tc>
      </w:tr>
    </w:tbl>
    <w:p w14:paraId="086087F0">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textAlignment w:val="auto"/>
        <w:rPr>
          <w:rFonts w:hint="eastAsia" w:ascii="方正黑体简体" w:hAnsi="方正黑体简体" w:eastAsia="方正黑体简体" w:cs="方正黑体简体"/>
          <w:b w:val="0"/>
          <w:bCs w:val="0"/>
          <w:sz w:val="32"/>
          <w:szCs w:val="32"/>
          <w:lang w:val="en-US" w:eastAsia="zh-CN"/>
        </w:rPr>
      </w:pPr>
    </w:p>
    <w:p w14:paraId="024AA718">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auto"/>
        <w:ind w:left="0" w:leftChars="0" w:firstLine="640" w:firstLineChars="200"/>
        <w:textAlignment w:val="auto"/>
        <w:rPr>
          <w:rFonts w:hint="eastAsia" w:ascii="方正黑体简体" w:hAnsi="方正黑体简体" w:eastAsia="方正黑体简体" w:cs="方正黑体简体"/>
          <w:b w:val="0"/>
          <w:bCs w:val="0"/>
          <w:sz w:val="32"/>
          <w:szCs w:val="32"/>
          <w:lang w:val="en-US" w:eastAsia="zh-CN"/>
        </w:rPr>
      </w:pPr>
      <w:r>
        <w:rPr>
          <w:rFonts w:hint="eastAsia" w:ascii="方正黑体简体" w:hAnsi="方正黑体简体" w:eastAsia="方正黑体简体" w:cs="方正黑体简体"/>
          <w:b w:val="0"/>
          <w:bCs w:val="0"/>
          <w:sz w:val="32"/>
          <w:szCs w:val="32"/>
          <w:lang w:val="en-US" w:eastAsia="zh-CN"/>
        </w:rPr>
        <w:t>教学实施的建议</w:t>
      </w:r>
    </w:p>
    <w:p w14:paraId="7F134972">
      <w:pPr>
        <w:keepNext w:val="0"/>
        <w:keepLines w:val="0"/>
        <w:pageBreakBefore w:val="0"/>
        <w:widowControl w:val="0"/>
        <w:numPr>
          <w:ilvl w:val="0"/>
          <w:numId w:val="5"/>
        </w:numPr>
        <w:kinsoku/>
        <w:wordWrap/>
        <w:overflowPunct/>
        <w:topLinePunct w:val="0"/>
        <w:autoSpaceDE/>
        <w:autoSpaceDN/>
        <w:bidi w:val="0"/>
        <w:adjustRightInd w:val="0"/>
        <w:snapToGrid w:val="0"/>
        <w:spacing w:line="360" w:lineRule="auto"/>
        <w:ind w:leftChars="0" w:firstLine="643" w:firstLineChars="200"/>
        <w:textAlignment w:val="auto"/>
        <w:rPr>
          <w:rFonts w:hint="eastAsia" w:ascii="仿宋" w:hAnsi="仿宋" w:eastAsia="仿宋" w:cs="仿宋"/>
          <w:b/>
          <w:bCs/>
          <w:sz w:val="32"/>
          <w:szCs w:val="32"/>
          <w:lang w:val="en-US" w:eastAsia="zh-CN"/>
        </w:rPr>
      </w:pPr>
      <w:r>
        <w:rPr>
          <w:rFonts w:hint="eastAsia" w:ascii="仿宋" w:hAnsi="仿宋" w:eastAsia="仿宋" w:cs="仿宋"/>
          <w:b/>
          <w:bCs/>
          <w:sz w:val="32"/>
          <w:szCs w:val="32"/>
          <w:lang w:val="en-US" w:eastAsia="zh-CN"/>
        </w:rPr>
        <w:t>教材选用和编写建议</w:t>
      </w:r>
    </w:p>
    <w:p w14:paraId="015CB686">
      <w:pPr>
        <w:keepNext w:val="0"/>
        <w:keepLines w:val="0"/>
        <w:pageBreakBefore w:val="0"/>
        <w:widowControl w:val="0"/>
        <w:numPr>
          <w:ilvl w:val="0"/>
          <w:numId w:val="6"/>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教材编写原则与要求：教材应以托育岗位能力需求为导向，突出科学性、实践性与应用性，既要系统呈现婴幼儿早期教育的基本理论，又要体现与实际工作的紧密结合，确保学生“学得懂、用得上”。同时注重先进性与前瞻性，能够反映托育行业的发展趋势和新理念。</w:t>
      </w:r>
    </w:p>
    <w:p w14:paraId="50F8238D">
      <w:pPr>
        <w:keepNext w:val="0"/>
        <w:keepLines w:val="0"/>
        <w:pageBreakBefore w:val="0"/>
        <w:widowControl w:val="0"/>
        <w:numPr>
          <w:ilvl w:val="0"/>
          <w:numId w:val="6"/>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教材、教学参考资料使用建议：在教材选用上，优先使用国家规划教材或行业权威教材，确保科学性与规范性。同时结合托育机构的真实案例和地方实际，补充德宏地区及周边少数民族在婴幼儿养育中的文化智慧与实践经验。参考资料包括最新研究成果、政策法规文件、托育服务标准与相关指导手册，为学生提供理论与实务的双重支撑。</w:t>
      </w:r>
    </w:p>
    <w:p w14:paraId="05D95A44">
      <w:pPr>
        <w:keepNext w:val="0"/>
        <w:keepLines w:val="0"/>
        <w:pageBreakBefore w:val="0"/>
        <w:widowControl w:val="0"/>
        <w:numPr>
          <w:ilvl w:val="0"/>
          <w:numId w:val="5"/>
        </w:numPr>
        <w:kinsoku/>
        <w:wordWrap/>
        <w:overflowPunct/>
        <w:topLinePunct w:val="0"/>
        <w:autoSpaceDE/>
        <w:autoSpaceDN/>
        <w:bidi w:val="0"/>
        <w:adjustRightInd w:val="0"/>
        <w:snapToGrid w:val="0"/>
        <w:spacing w:line="360" w:lineRule="auto"/>
        <w:ind w:left="0" w:leftChars="0" w:firstLine="643" w:firstLineChars="200"/>
        <w:textAlignment w:val="auto"/>
        <w:rPr>
          <w:rFonts w:hint="eastAsia" w:ascii="仿宋" w:hAnsi="仿宋" w:eastAsia="仿宋" w:cs="仿宋"/>
          <w:b/>
          <w:bCs/>
          <w:sz w:val="32"/>
          <w:szCs w:val="32"/>
          <w:lang w:val="en-US" w:eastAsia="zh-CN"/>
        </w:rPr>
      </w:pPr>
      <w:r>
        <w:rPr>
          <w:rFonts w:hint="eastAsia" w:ascii="仿宋" w:hAnsi="仿宋" w:eastAsia="仿宋" w:cs="仿宋"/>
          <w:b/>
          <w:bCs/>
          <w:sz w:val="32"/>
          <w:szCs w:val="32"/>
          <w:lang w:val="en-US" w:eastAsia="zh-CN"/>
        </w:rPr>
        <w:t>教学建议</w:t>
      </w:r>
    </w:p>
    <w:p w14:paraId="694593D0">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1、师资条件：授课教师应具备婴幼儿教育、护理、心理学及托育机构管理等相关专业背景，既有较扎实的理论功底，又有一定的托育机构实践经验。同时鼓励“双师型”教师队伍建设，邀请一线托育机构管理人员、资深托育教师共同参与课程教学，形成“校内教师+行业专家”的协同育人模式。</w:t>
      </w:r>
    </w:p>
    <w:p w14:paraId="3E55A96D">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教学设施：课程实施需要配备婴幼儿模拟实训室、托育情境实验室、多功能教室、多媒体教学资源等基础条件。模拟实训室应包括婴幼儿生活照护、教育活动设计、健康护理等功能区，以满足学生动手操作和情境模拟的需要。同时充分利用信息化教学平台，支持线上线下混合式教学，提高学习的灵活性与互动性。</w:t>
      </w:r>
    </w:p>
    <w:p w14:paraId="330D614B">
      <w:pPr>
        <w:keepNext w:val="0"/>
        <w:keepLines w:val="0"/>
        <w:pageBreakBefore w:val="0"/>
        <w:widowControl w:val="0"/>
        <w:numPr>
          <w:ilvl w:val="0"/>
          <w:numId w:val="5"/>
        </w:numPr>
        <w:kinsoku/>
        <w:wordWrap/>
        <w:overflowPunct/>
        <w:topLinePunct w:val="0"/>
        <w:autoSpaceDE/>
        <w:autoSpaceDN/>
        <w:bidi w:val="0"/>
        <w:adjustRightInd w:val="0"/>
        <w:snapToGrid w:val="0"/>
        <w:spacing w:line="360" w:lineRule="auto"/>
        <w:ind w:left="0" w:leftChars="0" w:firstLine="643" w:firstLineChars="200"/>
        <w:textAlignment w:val="auto"/>
        <w:rPr>
          <w:rFonts w:hint="eastAsia" w:ascii="仿宋" w:hAnsi="仿宋" w:eastAsia="仿宋" w:cs="仿宋"/>
          <w:b/>
          <w:bCs/>
          <w:sz w:val="32"/>
          <w:szCs w:val="32"/>
          <w:lang w:val="en-US" w:eastAsia="zh-CN"/>
        </w:rPr>
      </w:pPr>
      <w:r>
        <w:rPr>
          <w:rFonts w:hint="eastAsia" w:ascii="仿宋" w:hAnsi="仿宋" w:eastAsia="仿宋" w:cs="仿宋"/>
          <w:b/>
          <w:bCs/>
          <w:sz w:val="32"/>
          <w:szCs w:val="32"/>
          <w:lang w:val="en-US" w:eastAsia="zh-CN"/>
        </w:rPr>
        <w:t>课程资源开发与利用</w:t>
      </w:r>
    </w:p>
    <w:p w14:paraId="3A72B959">
      <w:pPr>
        <w:keepNext w:val="0"/>
        <w:keepLines w:val="0"/>
        <w:pageBreakBefore w:val="0"/>
        <w:widowControl w:val="0"/>
        <w:numPr>
          <w:numId w:val="0"/>
        </w:numPr>
        <w:kinsoku/>
        <w:wordWrap/>
        <w:overflowPunct/>
        <w:topLinePunct w:val="0"/>
        <w:autoSpaceDE/>
        <w:autoSpaceDN/>
        <w:bidi w:val="0"/>
        <w:adjustRightInd w:val="0"/>
        <w:snapToGrid w:val="0"/>
        <w:spacing w:line="360" w:lineRule="auto"/>
        <w:ind w:left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本课程应注重多元化课程资源的开发与整合：</w:t>
      </w:r>
    </w:p>
    <w:p w14:paraId="368754D7">
      <w:pPr>
        <w:keepNext w:val="0"/>
        <w:keepLines w:val="0"/>
        <w:pageBreakBefore w:val="0"/>
        <w:widowControl w:val="0"/>
        <w:numPr>
          <w:numId w:val="0"/>
        </w:numPr>
        <w:kinsoku/>
        <w:wordWrap/>
        <w:overflowPunct/>
        <w:topLinePunct w:val="0"/>
        <w:autoSpaceDE/>
        <w:autoSpaceDN/>
        <w:bidi w:val="0"/>
        <w:adjustRightInd w:val="0"/>
        <w:snapToGrid w:val="0"/>
        <w:spacing w:line="360" w:lineRule="auto"/>
        <w:ind w:left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1.数字化资源：建设配套的线上课程、微课视频、知识图谱，方便学生课前预习与课后复习。</w:t>
      </w:r>
    </w:p>
    <w:p w14:paraId="06014B4E">
      <w:pPr>
        <w:keepNext w:val="0"/>
        <w:keepLines w:val="0"/>
        <w:pageBreakBefore w:val="0"/>
        <w:widowControl w:val="0"/>
        <w:numPr>
          <w:numId w:val="0"/>
        </w:numPr>
        <w:kinsoku/>
        <w:wordWrap/>
        <w:overflowPunct/>
        <w:topLinePunct w:val="0"/>
        <w:autoSpaceDE/>
        <w:autoSpaceDN/>
        <w:bidi w:val="0"/>
        <w:adjustRightInd w:val="0"/>
        <w:snapToGrid w:val="0"/>
        <w:spacing w:line="360" w:lineRule="auto"/>
        <w:ind w:left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2.案例库建设：收集典型托育机构的教育案例、婴幼儿发展观察记录、家庭育儿指导实例，形成可供分析和研讨的案例资源库。</w:t>
      </w:r>
    </w:p>
    <w:p w14:paraId="42901E4D">
      <w:pPr>
        <w:keepNext w:val="0"/>
        <w:keepLines w:val="0"/>
        <w:pageBreakBefore w:val="0"/>
        <w:widowControl w:val="0"/>
        <w:numPr>
          <w:numId w:val="0"/>
        </w:numPr>
        <w:kinsoku/>
        <w:wordWrap/>
        <w:overflowPunct/>
        <w:topLinePunct w:val="0"/>
        <w:autoSpaceDE/>
        <w:autoSpaceDN/>
        <w:bidi w:val="0"/>
        <w:adjustRightInd w:val="0"/>
        <w:snapToGrid w:val="0"/>
        <w:spacing w:line="360" w:lineRule="auto"/>
        <w:ind w:left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3.岗位实践项目：通过校企合作，建立稳定的托育实践基地，让学生在真实情境中提升实操能力。</w:t>
      </w:r>
    </w:p>
    <w:p w14:paraId="2063A704">
      <w:pPr>
        <w:keepNext w:val="0"/>
        <w:keepLines w:val="0"/>
        <w:pageBreakBefore w:val="0"/>
        <w:widowControl w:val="0"/>
        <w:numPr>
          <w:numId w:val="0"/>
        </w:numPr>
        <w:kinsoku/>
        <w:wordWrap/>
        <w:overflowPunct/>
        <w:topLinePunct w:val="0"/>
        <w:autoSpaceDE/>
        <w:autoSpaceDN/>
        <w:bidi w:val="0"/>
        <w:adjustRightInd w:val="0"/>
        <w:snapToGrid w:val="0"/>
        <w:spacing w:line="360" w:lineRule="auto"/>
        <w:ind w:left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4.跨学科资源整合：结合心理学、护理学、营养学等相关领域知识，为婴幼儿早期教育提供系统支持。</w:t>
      </w:r>
    </w:p>
    <w:p w14:paraId="4EEA549E">
      <w:pPr>
        <w:keepNext w:val="0"/>
        <w:keepLines w:val="0"/>
        <w:pageBreakBefore w:val="0"/>
        <w:widowControl w:val="0"/>
        <w:numPr>
          <w:numId w:val="0"/>
        </w:numPr>
        <w:kinsoku/>
        <w:wordWrap/>
        <w:overflowPunct/>
        <w:topLinePunct w:val="0"/>
        <w:autoSpaceDE/>
        <w:autoSpaceDN/>
        <w:bidi w:val="0"/>
        <w:adjustRightInd w:val="0"/>
        <w:snapToGrid w:val="0"/>
        <w:spacing w:line="360" w:lineRule="auto"/>
        <w:ind w:left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通过课堂教学、实训训练与顶岗实习的有机融合，推动“课堂+实训+实习”的一体化教学模式。</w:t>
      </w:r>
    </w:p>
    <w:p w14:paraId="170F4702">
      <w:pPr>
        <w:keepNext w:val="0"/>
        <w:keepLines w:val="0"/>
        <w:pageBreakBefore w:val="0"/>
        <w:widowControl w:val="0"/>
        <w:numPr>
          <w:ilvl w:val="0"/>
          <w:numId w:val="5"/>
        </w:numPr>
        <w:kinsoku/>
        <w:wordWrap/>
        <w:overflowPunct/>
        <w:topLinePunct w:val="0"/>
        <w:autoSpaceDE/>
        <w:autoSpaceDN/>
        <w:bidi w:val="0"/>
        <w:adjustRightInd w:val="0"/>
        <w:snapToGrid w:val="0"/>
        <w:spacing w:line="360" w:lineRule="auto"/>
        <w:ind w:left="0" w:leftChars="0" w:firstLine="643" w:firstLineChars="200"/>
        <w:textAlignment w:val="auto"/>
        <w:rPr>
          <w:rFonts w:hint="eastAsia" w:ascii="仿宋" w:hAnsi="仿宋" w:eastAsia="仿宋" w:cs="仿宋"/>
          <w:b/>
          <w:bCs/>
          <w:sz w:val="32"/>
          <w:szCs w:val="32"/>
          <w:lang w:val="en-US" w:eastAsia="zh-CN"/>
        </w:rPr>
      </w:pPr>
      <w:r>
        <w:rPr>
          <w:rFonts w:hint="eastAsia" w:ascii="仿宋" w:hAnsi="仿宋" w:eastAsia="仿宋" w:cs="仿宋"/>
          <w:b/>
          <w:bCs/>
          <w:sz w:val="32"/>
          <w:szCs w:val="32"/>
          <w:lang w:val="en-US" w:eastAsia="zh-CN"/>
        </w:rPr>
        <w:t>其他说明</w:t>
      </w:r>
    </w:p>
    <w:p w14:paraId="62D75C08">
      <w:pPr>
        <w:keepNext w:val="0"/>
        <w:keepLines w:val="0"/>
        <w:pageBreakBefore w:val="0"/>
        <w:widowControl w:val="0"/>
        <w:numPr>
          <w:numId w:val="0"/>
        </w:numPr>
        <w:kinsoku/>
        <w:wordWrap/>
        <w:overflowPunct/>
        <w:topLinePunct w:val="0"/>
        <w:autoSpaceDE/>
        <w:autoSpaceDN/>
        <w:bidi w:val="0"/>
        <w:adjustRightInd w:val="0"/>
        <w:snapToGrid w:val="0"/>
        <w:spacing w:line="360" w:lineRule="auto"/>
        <w:ind w:left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本课程应结合德宏地区多民族文化背景，合理融入地方育儿智慧和传统养育方式，提升课程的地域性与实践性。例如，可结合德宏傣族、景颇族等少数民族在婴幼儿生活照护、饮食习惯、家庭教育等方面的经验，引导学生在尊重文化多样性的前提下，形成科学、包容的教育观。同时注重引导学生将理论与实际相结合，提升职业认同感和社会责任感。</w:t>
      </w:r>
    </w:p>
    <w:p w14:paraId="4CA7FDE5">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auto"/>
        <w:ind w:left="0" w:leftChars="0" w:firstLine="640" w:firstLineChars="200"/>
        <w:textAlignment w:val="auto"/>
        <w:rPr>
          <w:rFonts w:hint="eastAsia" w:ascii="方正黑体简体" w:hAnsi="方正黑体简体" w:eastAsia="方正黑体简体" w:cs="方正黑体简体"/>
          <w:b w:val="0"/>
          <w:bCs w:val="0"/>
          <w:sz w:val="32"/>
          <w:szCs w:val="32"/>
          <w:lang w:val="en-US" w:eastAsia="zh-CN"/>
        </w:rPr>
      </w:pPr>
      <w:r>
        <w:rPr>
          <w:rFonts w:hint="eastAsia" w:ascii="方正黑体简体" w:hAnsi="方正黑体简体" w:eastAsia="方正黑体简体" w:cs="方正黑体简体"/>
          <w:b w:val="0"/>
          <w:bCs w:val="0"/>
          <w:sz w:val="32"/>
          <w:szCs w:val="32"/>
          <w:lang w:val="en-US" w:eastAsia="zh-CN"/>
        </w:rPr>
        <w:t>教学评价和考核要求</w:t>
      </w:r>
    </w:p>
    <w:p w14:paraId="612C5582">
      <w:pPr>
        <w:keepNext w:val="0"/>
        <w:keepLines w:val="0"/>
        <w:pageBreakBefore w:val="0"/>
        <w:widowControl w:val="0"/>
        <w:numPr>
          <w:ilvl w:val="0"/>
          <w:numId w:val="7"/>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考核方式</w:t>
      </w:r>
    </w:p>
    <w:p w14:paraId="39D1165B">
      <w:pPr>
        <w:keepNext w:val="0"/>
        <w:keepLines w:val="0"/>
        <w:pageBreakBefore w:val="0"/>
        <w:widowControl w:val="0"/>
        <w:numPr>
          <w:numId w:val="0"/>
        </w:numPr>
        <w:kinsoku/>
        <w:wordWrap/>
        <w:overflowPunct/>
        <w:topLinePunct w:val="0"/>
        <w:autoSpaceDE/>
        <w:autoSpaceDN/>
        <w:bidi w:val="0"/>
        <w:adjustRightInd w:val="0"/>
        <w:snapToGrid w:val="0"/>
        <w:spacing w:line="360" w:lineRule="auto"/>
        <w:ind w:left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平时成绩（10%，含作业、小组讨论、课堂表现）；</w:t>
      </w:r>
    </w:p>
    <w:p w14:paraId="0B4CEBCE">
      <w:pPr>
        <w:keepNext w:val="0"/>
        <w:keepLines w:val="0"/>
        <w:pageBreakBefore w:val="0"/>
        <w:widowControl w:val="0"/>
        <w:numPr>
          <w:numId w:val="0"/>
        </w:numPr>
        <w:kinsoku/>
        <w:wordWrap/>
        <w:overflowPunct/>
        <w:topLinePunct w:val="0"/>
        <w:autoSpaceDE/>
        <w:autoSpaceDN/>
        <w:bidi w:val="0"/>
        <w:adjustRightInd w:val="0"/>
        <w:snapToGrid w:val="0"/>
        <w:spacing w:line="360" w:lineRule="auto"/>
        <w:ind w:left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实训考核（30%，含婴幼儿观察、活动设计与操作）；</w:t>
      </w:r>
    </w:p>
    <w:p w14:paraId="7EE0F614">
      <w:pPr>
        <w:keepNext w:val="0"/>
        <w:keepLines w:val="0"/>
        <w:pageBreakBefore w:val="0"/>
        <w:widowControl w:val="0"/>
        <w:numPr>
          <w:numId w:val="0"/>
        </w:numPr>
        <w:kinsoku/>
        <w:wordWrap/>
        <w:overflowPunct/>
        <w:topLinePunct w:val="0"/>
        <w:autoSpaceDE/>
        <w:autoSpaceDN/>
        <w:bidi w:val="0"/>
        <w:adjustRightInd w:val="0"/>
        <w:snapToGrid w:val="0"/>
        <w:spacing w:line="360" w:lineRule="auto"/>
        <w:ind w:left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期末考试（60%，笔试与案例分析结合）。</w:t>
      </w:r>
    </w:p>
    <w:p w14:paraId="76203ACE">
      <w:pPr>
        <w:keepNext w:val="0"/>
        <w:keepLines w:val="0"/>
        <w:pageBreakBefore w:val="0"/>
        <w:widowControl w:val="0"/>
        <w:numPr>
          <w:ilvl w:val="0"/>
          <w:numId w:val="7"/>
        </w:numPr>
        <w:kinsoku/>
        <w:wordWrap/>
        <w:overflowPunct/>
        <w:topLinePunct w:val="0"/>
        <w:autoSpaceDE/>
        <w:autoSpaceDN/>
        <w:bidi w:val="0"/>
        <w:adjustRightInd w:val="0"/>
        <w:snapToGrid w:val="0"/>
        <w:spacing w:line="360" w:lineRule="auto"/>
        <w:ind w:left="0" w:leftChars="0"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评价标准</w:t>
      </w:r>
    </w:p>
    <w:p w14:paraId="5C0FC51E">
      <w:pPr>
        <w:keepNext w:val="0"/>
        <w:keepLines w:val="0"/>
        <w:pageBreakBefore w:val="0"/>
        <w:widowControl w:val="0"/>
        <w:numPr>
          <w:numId w:val="0"/>
        </w:numPr>
        <w:kinsoku/>
        <w:wordWrap/>
        <w:overflowPunct/>
        <w:topLinePunct w:val="0"/>
        <w:autoSpaceDE/>
        <w:autoSpaceDN/>
        <w:bidi w:val="0"/>
        <w:adjustRightInd w:val="0"/>
        <w:snapToGrid w:val="0"/>
        <w:spacing w:line="360" w:lineRule="auto"/>
        <w:ind w:left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综合考察学生的知识掌握、技能应用与职业素养，突出实践能力与教育反思。</w:t>
      </w:r>
    </w:p>
    <w:p w14:paraId="5F957E7E">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auto"/>
        <w:ind w:left="0" w:leftChars="0" w:firstLine="640" w:firstLineChars="200"/>
        <w:textAlignment w:val="auto"/>
        <w:rPr>
          <w:rFonts w:hint="eastAsia" w:ascii="方正黑体简体" w:hAnsi="方正黑体简体" w:eastAsia="方正黑体简体" w:cs="方正黑体简体"/>
          <w:b w:val="0"/>
          <w:bCs w:val="0"/>
          <w:sz w:val="32"/>
          <w:szCs w:val="32"/>
          <w:lang w:val="en-US" w:eastAsia="zh-CN"/>
        </w:rPr>
      </w:pPr>
      <w:r>
        <w:rPr>
          <w:rFonts w:hint="eastAsia" w:ascii="方正黑体简体" w:hAnsi="方正黑体简体" w:eastAsia="方正黑体简体" w:cs="方正黑体简体"/>
          <w:b w:val="0"/>
          <w:bCs w:val="0"/>
          <w:sz w:val="32"/>
          <w:szCs w:val="32"/>
          <w:lang w:val="en-US" w:eastAsia="zh-CN"/>
        </w:rPr>
        <w:t>课程思政元素融入</w:t>
      </w:r>
    </w:p>
    <w:p w14:paraId="728EC194">
      <w:pPr>
        <w:keepNext w:val="0"/>
        <w:keepLines w:val="0"/>
        <w:pageBreakBefore w:val="0"/>
        <w:widowControl w:val="0"/>
        <w:numPr>
          <w:numId w:val="0"/>
        </w:numPr>
        <w:kinsoku/>
        <w:wordWrap/>
        <w:overflowPunct/>
        <w:topLinePunct w:val="0"/>
        <w:autoSpaceDE/>
        <w:autoSpaceDN/>
        <w:bidi w:val="0"/>
        <w:adjustRightInd w:val="0"/>
        <w:snapToGrid w:val="0"/>
        <w:spacing w:line="360" w:lineRule="auto"/>
        <w:ind w:leftChars="200" w:firstLine="640" w:firstLineChars="200"/>
        <w:textAlignment w:val="auto"/>
        <w:rPr>
          <w:rFonts w:hint="eastAsia" w:ascii="方正仿宋_GB2312" w:hAnsi="方正仿宋_GB2312" w:eastAsia="方正仿宋_GB2312" w:cs="方正仿宋_GB2312"/>
          <w:b w:val="0"/>
          <w:bCs w:val="0"/>
          <w:sz w:val="32"/>
          <w:szCs w:val="32"/>
          <w:lang w:val="en-US" w:eastAsia="zh-CN"/>
        </w:rPr>
      </w:pPr>
      <w:r>
        <w:rPr>
          <w:rFonts w:hint="eastAsia" w:ascii="方正仿宋_GB2312" w:hAnsi="方正仿宋_GB2312" w:eastAsia="方正仿宋_GB2312" w:cs="方正仿宋_GB2312"/>
          <w:b w:val="0"/>
          <w:bCs w:val="0"/>
          <w:sz w:val="32"/>
          <w:szCs w:val="32"/>
          <w:lang w:val="en-US" w:eastAsia="zh-CN"/>
        </w:rPr>
        <w:t>在《婴幼儿早期教育概论》课程教学过程中，充分挖掘育人价值，将思政教育有机融入知识传授与能力培养中，做到润物无声、潜移默化，帮助学生树立正确的价值观和职业使命感。</w:t>
      </w:r>
    </w:p>
    <w:p w14:paraId="6288418C">
      <w:pPr>
        <w:keepNext w:val="0"/>
        <w:keepLines w:val="0"/>
        <w:pageBreakBefore w:val="0"/>
        <w:widowControl w:val="0"/>
        <w:numPr>
          <w:numId w:val="0"/>
        </w:numPr>
        <w:kinsoku/>
        <w:wordWrap/>
        <w:overflowPunct/>
        <w:topLinePunct w:val="0"/>
        <w:autoSpaceDE/>
        <w:autoSpaceDN/>
        <w:bidi w:val="0"/>
        <w:adjustRightInd w:val="0"/>
        <w:snapToGrid w:val="0"/>
        <w:spacing w:line="360" w:lineRule="auto"/>
        <w:ind w:leftChars="200"/>
        <w:textAlignment w:val="auto"/>
        <w:rPr>
          <w:rFonts w:hint="eastAsia" w:ascii="方正仿宋_GB2312" w:hAnsi="方正仿宋_GB2312" w:eastAsia="方正仿宋_GB2312" w:cs="方正仿宋_GB2312"/>
          <w:b w:val="0"/>
          <w:bCs w:val="0"/>
          <w:sz w:val="32"/>
          <w:szCs w:val="32"/>
          <w:lang w:val="en-US" w:eastAsia="zh-CN"/>
        </w:rPr>
      </w:pPr>
      <w:r>
        <w:rPr>
          <w:rFonts w:hint="eastAsia" w:ascii="方正仿宋_GB2312" w:hAnsi="方正仿宋_GB2312" w:eastAsia="方正仿宋_GB2312" w:cs="方正仿宋_GB2312"/>
          <w:b w:val="0"/>
          <w:bCs w:val="0"/>
          <w:sz w:val="32"/>
          <w:szCs w:val="32"/>
          <w:lang w:val="en-US" w:eastAsia="zh-CN"/>
        </w:rPr>
        <w:t>1.职业道德教育</w:t>
      </w:r>
    </w:p>
    <w:p w14:paraId="1CED539C">
      <w:pPr>
        <w:keepNext w:val="0"/>
        <w:keepLines w:val="0"/>
        <w:pageBreakBefore w:val="0"/>
        <w:widowControl w:val="0"/>
        <w:numPr>
          <w:numId w:val="0"/>
        </w:numPr>
        <w:kinsoku/>
        <w:wordWrap/>
        <w:overflowPunct/>
        <w:topLinePunct w:val="0"/>
        <w:autoSpaceDE/>
        <w:autoSpaceDN/>
        <w:bidi w:val="0"/>
        <w:adjustRightInd w:val="0"/>
        <w:snapToGrid w:val="0"/>
        <w:spacing w:line="360" w:lineRule="auto"/>
        <w:ind w:leftChars="200" w:firstLine="640" w:firstLineChars="200"/>
        <w:textAlignment w:val="auto"/>
        <w:rPr>
          <w:rFonts w:hint="eastAsia" w:ascii="方正仿宋_GB2312" w:hAnsi="方正仿宋_GB2312" w:eastAsia="方正仿宋_GB2312" w:cs="方正仿宋_GB2312"/>
          <w:b w:val="0"/>
          <w:bCs w:val="0"/>
          <w:sz w:val="32"/>
          <w:szCs w:val="32"/>
          <w:lang w:val="en-US" w:eastAsia="zh-CN"/>
        </w:rPr>
      </w:pPr>
      <w:r>
        <w:rPr>
          <w:rFonts w:hint="eastAsia" w:ascii="方正仿宋_GB2312" w:hAnsi="方正仿宋_GB2312" w:eastAsia="方正仿宋_GB2312" w:cs="方正仿宋_GB2312"/>
          <w:b w:val="0"/>
          <w:bCs w:val="0"/>
          <w:sz w:val="32"/>
          <w:szCs w:val="32"/>
          <w:lang w:val="en-US" w:eastAsia="zh-CN"/>
        </w:rPr>
        <w:t>通过分析婴幼儿教育案例，引导学生认识到托育工作不仅是技术性劳动，更是富有责任感和使命感的职业。强调“以婴幼儿为本”的职业伦理，培养学生的爱心、耐心和责任心，强化职业操守与职业自豪感。</w:t>
      </w:r>
    </w:p>
    <w:p w14:paraId="4D2CD7C4">
      <w:pPr>
        <w:keepNext w:val="0"/>
        <w:keepLines w:val="0"/>
        <w:pageBreakBefore w:val="0"/>
        <w:widowControl w:val="0"/>
        <w:numPr>
          <w:numId w:val="0"/>
        </w:numPr>
        <w:kinsoku/>
        <w:wordWrap/>
        <w:overflowPunct/>
        <w:topLinePunct w:val="0"/>
        <w:autoSpaceDE/>
        <w:autoSpaceDN/>
        <w:bidi w:val="0"/>
        <w:adjustRightInd w:val="0"/>
        <w:snapToGrid w:val="0"/>
        <w:spacing w:line="360" w:lineRule="auto"/>
        <w:ind w:leftChars="200"/>
        <w:textAlignment w:val="auto"/>
        <w:rPr>
          <w:rFonts w:hint="eastAsia" w:ascii="方正仿宋_GB2312" w:hAnsi="方正仿宋_GB2312" w:eastAsia="方正仿宋_GB2312" w:cs="方正仿宋_GB2312"/>
          <w:b w:val="0"/>
          <w:bCs w:val="0"/>
          <w:sz w:val="32"/>
          <w:szCs w:val="32"/>
          <w:lang w:val="en-US" w:eastAsia="zh-CN"/>
        </w:rPr>
      </w:pPr>
      <w:r>
        <w:rPr>
          <w:rFonts w:hint="eastAsia" w:ascii="方正仿宋_GB2312" w:hAnsi="方正仿宋_GB2312" w:eastAsia="方正仿宋_GB2312" w:cs="方正仿宋_GB2312"/>
          <w:b w:val="0"/>
          <w:bCs w:val="0"/>
          <w:sz w:val="32"/>
          <w:szCs w:val="32"/>
          <w:lang w:val="en-US" w:eastAsia="zh-CN"/>
        </w:rPr>
        <w:t>2.家庭责任意识</w:t>
      </w:r>
    </w:p>
    <w:p w14:paraId="4BA12E99">
      <w:pPr>
        <w:keepNext w:val="0"/>
        <w:keepLines w:val="0"/>
        <w:pageBreakBefore w:val="0"/>
        <w:widowControl w:val="0"/>
        <w:numPr>
          <w:numId w:val="0"/>
        </w:numPr>
        <w:kinsoku/>
        <w:wordWrap/>
        <w:overflowPunct/>
        <w:topLinePunct w:val="0"/>
        <w:autoSpaceDE/>
        <w:autoSpaceDN/>
        <w:bidi w:val="0"/>
        <w:adjustRightInd w:val="0"/>
        <w:snapToGrid w:val="0"/>
        <w:spacing w:line="360" w:lineRule="auto"/>
        <w:ind w:leftChars="200" w:firstLine="640" w:firstLineChars="200"/>
        <w:textAlignment w:val="auto"/>
        <w:rPr>
          <w:rFonts w:hint="eastAsia" w:ascii="方正仿宋_GB2312" w:hAnsi="方正仿宋_GB2312" w:eastAsia="方正仿宋_GB2312" w:cs="方正仿宋_GB2312"/>
          <w:b w:val="0"/>
          <w:bCs w:val="0"/>
          <w:sz w:val="32"/>
          <w:szCs w:val="32"/>
          <w:lang w:val="en-US" w:eastAsia="zh-CN"/>
        </w:rPr>
      </w:pPr>
      <w:r>
        <w:rPr>
          <w:rFonts w:hint="eastAsia" w:ascii="方正仿宋_GB2312" w:hAnsi="方正仿宋_GB2312" w:eastAsia="方正仿宋_GB2312" w:cs="方正仿宋_GB2312"/>
          <w:b w:val="0"/>
          <w:bCs w:val="0"/>
          <w:sz w:val="32"/>
          <w:szCs w:val="32"/>
          <w:lang w:val="en-US" w:eastAsia="zh-CN"/>
        </w:rPr>
        <w:t>在讲授家庭早期教育内容时，引导学生理解家庭在婴幼儿成长中的基础性作用，增强其对家长教育指导的责任感。通过案例研讨与角色扮演，培养学生与家长沟通合作的能力，使其能够在未来工作中成为家庭教育的支持者和指导者。</w:t>
      </w:r>
    </w:p>
    <w:p w14:paraId="6B8D7B9E">
      <w:pPr>
        <w:keepNext w:val="0"/>
        <w:keepLines w:val="0"/>
        <w:pageBreakBefore w:val="0"/>
        <w:widowControl w:val="0"/>
        <w:numPr>
          <w:numId w:val="0"/>
        </w:numPr>
        <w:kinsoku/>
        <w:wordWrap/>
        <w:overflowPunct/>
        <w:topLinePunct w:val="0"/>
        <w:autoSpaceDE/>
        <w:autoSpaceDN/>
        <w:bidi w:val="0"/>
        <w:adjustRightInd w:val="0"/>
        <w:snapToGrid w:val="0"/>
        <w:spacing w:line="360" w:lineRule="auto"/>
        <w:ind w:leftChars="200"/>
        <w:textAlignment w:val="auto"/>
        <w:rPr>
          <w:rFonts w:hint="eastAsia" w:ascii="方正仿宋_GB2312" w:hAnsi="方正仿宋_GB2312" w:eastAsia="方正仿宋_GB2312" w:cs="方正仿宋_GB2312"/>
          <w:b w:val="0"/>
          <w:bCs w:val="0"/>
          <w:sz w:val="32"/>
          <w:szCs w:val="32"/>
          <w:lang w:val="en-US" w:eastAsia="zh-CN"/>
        </w:rPr>
      </w:pPr>
      <w:r>
        <w:rPr>
          <w:rFonts w:hint="eastAsia" w:ascii="方正仿宋_GB2312" w:hAnsi="方正仿宋_GB2312" w:eastAsia="方正仿宋_GB2312" w:cs="方正仿宋_GB2312"/>
          <w:b w:val="0"/>
          <w:bCs w:val="0"/>
          <w:sz w:val="32"/>
          <w:szCs w:val="32"/>
          <w:lang w:val="en-US" w:eastAsia="zh-CN"/>
        </w:rPr>
        <w:t>3.民族团结与文化自信</w:t>
      </w:r>
    </w:p>
    <w:p w14:paraId="1527B062">
      <w:pPr>
        <w:keepNext w:val="0"/>
        <w:keepLines w:val="0"/>
        <w:pageBreakBefore w:val="0"/>
        <w:widowControl w:val="0"/>
        <w:numPr>
          <w:numId w:val="0"/>
        </w:numPr>
        <w:kinsoku/>
        <w:wordWrap/>
        <w:overflowPunct/>
        <w:topLinePunct w:val="0"/>
        <w:autoSpaceDE/>
        <w:autoSpaceDN/>
        <w:bidi w:val="0"/>
        <w:adjustRightInd w:val="0"/>
        <w:snapToGrid w:val="0"/>
        <w:spacing w:line="360" w:lineRule="auto"/>
        <w:ind w:leftChars="200" w:firstLine="640" w:firstLineChars="200"/>
        <w:textAlignment w:val="auto"/>
        <w:rPr>
          <w:rFonts w:hint="eastAsia" w:ascii="方正仿宋_GB2312" w:hAnsi="方正仿宋_GB2312" w:eastAsia="方正仿宋_GB2312" w:cs="方正仿宋_GB2312"/>
          <w:b w:val="0"/>
          <w:bCs w:val="0"/>
          <w:sz w:val="32"/>
          <w:szCs w:val="32"/>
          <w:lang w:val="en-US" w:eastAsia="zh-CN"/>
        </w:rPr>
      </w:pPr>
      <w:r>
        <w:rPr>
          <w:rFonts w:hint="eastAsia" w:ascii="方正仿宋_GB2312" w:hAnsi="方正仿宋_GB2312" w:eastAsia="方正仿宋_GB2312" w:cs="方正仿宋_GB2312"/>
          <w:b w:val="0"/>
          <w:bCs w:val="0"/>
          <w:sz w:val="32"/>
          <w:szCs w:val="32"/>
          <w:lang w:val="en-US" w:eastAsia="zh-CN"/>
        </w:rPr>
        <w:t>结合德宏多民族文化背景，将不同民族的育儿智慧和家庭教育传统融入课程教学。通过比较分析，引导学生尊重文化差异，理解民族团结的重要性，提升其文化认同感和文化自信。同时让学生学会在科学教育理念指导下，合理借鉴和传承民族育儿经验。</w:t>
      </w:r>
    </w:p>
    <w:p w14:paraId="264CD255">
      <w:pPr>
        <w:keepNext w:val="0"/>
        <w:keepLines w:val="0"/>
        <w:pageBreakBefore w:val="0"/>
        <w:widowControl w:val="0"/>
        <w:numPr>
          <w:numId w:val="0"/>
        </w:numPr>
        <w:kinsoku/>
        <w:wordWrap/>
        <w:overflowPunct/>
        <w:topLinePunct w:val="0"/>
        <w:autoSpaceDE/>
        <w:autoSpaceDN/>
        <w:bidi w:val="0"/>
        <w:adjustRightInd w:val="0"/>
        <w:snapToGrid w:val="0"/>
        <w:spacing w:line="360" w:lineRule="auto"/>
        <w:ind w:leftChars="200"/>
        <w:textAlignment w:val="auto"/>
        <w:rPr>
          <w:rFonts w:hint="eastAsia" w:ascii="方正仿宋_GB2312" w:hAnsi="方正仿宋_GB2312" w:eastAsia="方正仿宋_GB2312" w:cs="方正仿宋_GB2312"/>
          <w:b w:val="0"/>
          <w:bCs w:val="0"/>
          <w:sz w:val="32"/>
          <w:szCs w:val="32"/>
          <w:lang w:val="en-US" w:eastAsia="zh-CN"/>
        </w:rPr>
      </w:pPr>
      <w:r>
        <w:rPr>
          <w:rFonts w:hint="eastAsia" w:ascii="方正仿宋_GB2312" w:hAnsi="方正仿宋_GB2312" w:eastAsia="方正仿宋_GB2312" w:cs="方正仿宋_GB2312"/>
          <w:b w:val="0"/>
          <w:bCs w:val="0"/>
          <w:sz w:val="32"/>
          <w:szCs w:val="32"/>
          <w:lang w:val="en-US" w:eastAsia="zh-CN"/>
        </w:rPr>
        <w:t>4.社会责任感培育</w:t>
      </w:r>
    </w:p>
    <w:p w14:paraId="2D50FE3F">
      <w:pPr>
        <w:keepNext w:val="0"/>
        <w:keepLines w:val="0"/>
        <w:pageBreakBefore w:val="0"/>
        <w:widowControl w:val="0"/>
        <w:numPr>
          <w:numId w:val="0"/>
        </w:numPr>
        <w:kinsoku/>
        <w:wordWrap/>
        <w:overflowPunct/>
        <w:topLinePunct w:val="0"/>
        <w:autoSpaceDE/>
        <w:autoSpaceDN/>
        <w:bidi w:val="0"/>
        <w:adjustRightInd w:val="0"/>
        <w:snapToGrid w:val="0"/>
        <w:spacing w:line="360" w:lineRule="auto"/>
        <w:ind w:leftChars="200" w:firstLine="640" w:firstLineChars="200"/>
        <w:textAlignment w:val="auto"/>
        <w:rPr>
          <w:rFonts w:hint="eastAsia" w:ascii="方正仿宋_GB2312" w:hAnsi="方正仿宋_GB2312" w:eastAsia="方正仿宋_GB2312" w:cs="方正仿宋_GB2312"/>
          <w:b w:val="0"/>
          <w:bCs w:val="0"/>
          <w:sz w:val="32"/>
          <w:szCs w:val="32"/>
          <w:lang w:val="en-US" w:eastAsia="zh-CN"/>
        </w:rPr>
      </w:pPr>
      <w:r>
        <w:rPr>
          <w:rFonts w:hint="eastAsia" w:ascii="方正仿宋_GB2312" w:hAnsi="方正仿宋_GB2312" w:eastAsia="方正仿宋_GB2312" w:cs="方正仿宋_GB2312"/>
          <w:b w:val="0"/>
          <w:bCs w:val="0"/>
          <w:sz w:val="32"/>
          <w:szCs w:val="32"/>
          <w:lang w:val="en-US" w:eastAsia="zh-CN"/>
        </w:rPr>
        <w:t>通过学习国家相关政策法规和托育行业发展规划，引导学生认识托育服务在社会民生保障、促进家庭幸福和国家人口战略中的重要意义。鼓励学生树立服务社会、回馈社会的价值观，培养其主动承担社会责任的意识。</w:t>
      </w:r>
    </w:p>
    <w:p w14:paraId="75D1D897">
      <w:pPr>
        <w:keepNext w:val="0"/>
        <w:keepLines w:val="0"/>
        <w:pageBreakBefore w:val="0"/>
        <w:widowControl w:val="0"/>
        <w:numPr>
          <w:numId w:val="0"/>
        </w:numPr>
        <w:kinsoku/>
        <w:wordWrap/>
        <w:overflowPunct/>
        <w:topLinePunct w:val="0"/>
        <w:autoSpaceDE/>
        <w:autoSpaceDN/>
        <w:bidi w:val="0"/>
        <w:adjustRightInd w:val="0"/>
        <w:snapToGrid w:val="0"/>
        <w:spacing w:line="360" w:lineRule="auto"/>
        <w:ind w:leftChars="200"/>
        <w:textAlignment w:val="auto"/>
        <w:rPr>
          <w:rFonts w:hint="eastAsia" w:ascii="方正仿宋_GB2312" w:hAnsi="方正仿宋_GB2312" w:eastAsia="方正仿宋_GB2312" w:cs="方正仿宋_GB2312"/>
          <w:b w:val="0"/>
          <w:bCs w:val="0"/>
          <w:sz w:val="32"/>
          <w:szCs w:val="32"/>
          <w:lang w:val="en-US" w:eastAsia="zh-CN"/>
        </w:rPr>
      </w:pPr>
      <w:r>
        <w:rPr>
          <w:rFonts w:hint="eastAsia" w:ascii="方正仿宋_GB2312" w:hAnsi="方正仿宋_GB2312" w:eastAsia="方正仿宋_GB2312" w:cs="方正仿宋_GB2312"/>
          <w:b w:val="0"/>
          <w:bCs w:val="0"/>
          <w:sz w:val="32"/>
          <w:szCs w:val="32"/>
          <w:lang w:val="en-US" w:eastAsia="zh-CN"/>
        </w:rPr>
        <w:t>5.理想信念与职业使命感</w:t>
      </w:r>
    </w:p>
    <w:p w14:paraId="3A684127">
      <w:pPr>
        <w:keepNext w:val="0"/>
        <w:keepLines w:val="0"/>
        <w:pageBreakBefore w:val="0"/>
        <w:widowControl w:val="0"/>
        <w:numPr>
          <w:numId w:val="0"/>
        </w:numPr>
        <w:kinsoku/>
        <w:wordWrap/>
        <w:overflowPunct/>
        <w:topLinePunct w:val="0"/>
        <w:autoSpaceDE/>
        <w:autoSpaceDN/>
        <w:bidi w:val="0"/>
        <w:adjustRightInd w:val="0"/>
        <w:snapToGrid w:val="0"/>
        <w:spacing w:line="360" w:lineRule="auto"/>
        <w:ind w:leftChars="200" w:firstLine="640" w:firstLineChars="200"/>
        <w:textAlignment w:val="auto"/>
        <w:rPr>
          <w:rFonts w:hint="eastAsia" w:ascii="方正仿宋_GB2312" w:hAnsi="方正仿宋_GB2312" w:eastAsia="方正仿宋_GB2312" w:cs="方正仿宋_GB2312"/>
          <w:b w:val="0"/>
          <w:bCs w:val="0"/>
          <w:sz w:val="32"/>
          <w:szCs w:val="32"/>
          <w:lang w:val="en-US" w:eastAsia="zh-CN"/>
        </w:rPr>
      </w:pPr>
      <w:bookmarkStart w:id="0" w:name="_GoBack"/>
      <w:bookmarkEnd w:id="0"/>
      <w:r>
        <w:rPr>
          <w:rFonts w:hint="eastAsia" w:ascii="方正仿宋_GB2312" w:hAnsi="方正仿宋_GB2312" w:eastAsia="方正仿宋_GB2312" w:cs="方正仿宋_GB2312"/>
          <w:b w:val="0"/>
          <w:bCs w:val="0"/>
          <w:sz w:val="32"/>
          <w:szCs w:val="32"/>
          <w:lang w:val="en-US" w:eastAsia="zh-CN"/>
        </w:rPr>
        <w:t>在课程的全过程中，引导学生深刻理解“立德树人”的根本任务，帮助他们把个人职业发展与国家托育事业发展紧密结合起来。通过榜样引领、案例讲解和社会实践，让学生形成坚定的理想信念，树立为婴幼儿健康成长和社会美好未来贡献力量的职业使命感。</w:t>
      </w:r>
    </w:p>
    <w:p w14:paraId="42F244DE">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auto"/>
        <w:ind w:left="0" w:leftChars="0" w:firstLine="640" w:firstLineChars="200"/>
        <w:textAlignment w:val="auto"/>
        <w:rPr>
          <w:rFonts w:hint="eastAsia" w:ascii="方正黑体简体" w:hAnsi="方正黑体简体" w:eastAsia="方正黑体简体" w:cs="方正黑体简体"/>
          <w:b w:val="0"/>
          <w:bCs w:val="0"/>
          <w:sz w:val="32"/>
          <w:szCs w:val="32"/>
          <w:lang w:val="en-US" w:eastAsia="zh-CN"/>
        </w:rPr>
      </w:pPr>
      <w:r>
        <w:rPr>
          <w:rFonts w:hint="eastAsia" w:ascii="方正黑体简体" w:hAnsi="方正黑体简体" w:eastAsia="方正黑体简体" w:cs="方正黑体简体"/>
          <w:b w:val="0"/>
          <w:bCs w:val="0"/>
          <w:sz w:val="32"/>
          <w:szCs w:val="32"/>
          <w:lang w:val="en-US" w:eastAsia="zh-CN"/>
        </w:rPr>
        <w:t>编制依据</w:t>
      </w:r>
    </w:p>
    <w:p w14:paraId="4698471B">
      <w:pPr>
        <w:keepNext w:val="0"/>
        <w:keepLines w:val="0"/>
        <w:pageBreakBefore w:val="0"/>
        <w:widowControl w:val="0"/>
        <w:numPr>
          <w:numId w:val="0"/>
        </w:numPr>
        <w:kinsoku/>
        <w:wordWrap/>
        <w:overflowPunct/>
        <w:topLinePunct w:val="0"/>
        <w:autoSpaceDE/>
        <w:autoSpaceDN/>
        <w:bidi w:val="0"/>
        <w:adjustRightInd w:val="0"/>
        <w:snapToGrid w:val="0"/>
        <w:spacing w:line="360" w:lineRule="auto"/>
        <w:ind w:leftChars="200"/>
        <w:textAlignment w:val="auto"/>
        <w:rPr>
          <w:rFonts w:hint="eastAsia" w:ascii="方正仿宋_GB2312" w:hAnsi="方正仿宋_GB2312" w:eastAsia="方正仿宋_GB2312" w:cs="方正仿宋_GB2312"/>
          <w:b w:val="0"/>
          <w:bCs w:val="0"/>
          <w:sz w:val="32"/>
          <w:szCs w:val="32"/>
          <w:lang w:val="en-US" w:eastAsia="zh-CN"/>
        </w:rPr>
      </w:pPr>
      <w:r>
        <w:rPr>
          <w:rFonts w:hint="eastAsia" w:ascii="方正仿宋_GB2312" w:hAnsi="方正仿宋_GB2312" w:eastAsia="方正仿宋_GB2312" w:cs="方正仿宋_GB2312"/>
          <w:b w:val="0"/>
          <w:bCs w:val="0"/>
          <w:sz w:val="32"/>
          <w:szCs w:val="32"/>
          <w:lang w:val="en-US" w:eastAsia="zh-CN"/>
        </w:rPr>
        <w:t>1.《国家职业教育改革实施方案》</w:t>
      </w:r>
    </w:p>
    <w:p w14:paraId="58C7B906">
      <w:pPr>
        <w:keepNext w:val="0"/>
        <w:keepLines w:val="0"/>
        <w:pageBreakBefore w:val="0"/>
        <w:widowControl w:val="0"/>
        <w:numPr>
          <w:numId w:val="0"/>
        </w:numPr>
        <w:kinsoku/>
        <w:wordWrap/>
        <w:overflowPunct/>
        <w:topLinePunct w:val="0"/>
        <w:autoSpaceDE/>
        <w:autoSpaceDN/>
        <w:bidi w:val="0"/>
        <w:adjustRightInd w:val="0"/>
        <w:snapToGrid w:val="0"/>
        <w:spacing w:line="360" w:lineRule="auto"/>
        <w:ind w:leftChars="200"/>
        <w:textAlignment w:val="auto"/>
        <w:rPr>
          <w:rFonts w:hint="eastAsia" w:ascii="方正仿宋_GB2312" w:hAnsi="方正仿宋_GB2312" w:eastAsia="方正仿宋_GB2312" w:cs="方正仿宋_GB2312"/>
          <w:b w:val="0"/>
          <w:bCs w:val="0"/>
          <w:sz w:val="32"/>
          <w:szCs w:val="32"/>
          <w:lang w:val="en-US" w:eastAsia="zh-CN"/>
        </w:rPr>
      </w:pPr>
      <w:r>
        <w:rPr>
          <w:rFonts w:hint="eastAsia" w:ascii="方正仿宋_GB2312" w:hAnsi="方正仿宋_GB2312" w:eastAsia="方正仿宋_GB2312" w:cs="方正仿宋_GB2312"/>
          <w:b w:val="0"/>
          <w:bCs w:val="0"/>
          <w:sz w:val="32"/>
          <w:szCs w:val="32"/>
          <w:lang w:val="en-US" w:eastAsia="zh-CN"/>
        </w:rPr>
        <w:t>2.《高等职业教育婴幼儿托育服务与管理专业教学标准（试行）》</w:t>
      </w:r>
    </w:p>
    <w:p w14:paraId="04904496">
      <w:pPr>
        <w:keepNext w:val="0"/>
        <w:keepLines w:val="0"/>
        <w:pageBreakBefore w:val="0"/>
        <w:widowControl w:val="0"/>
        <w:numPr>
          <w:numId w:val="0"/>
        </w:numPr>
        <w:kinsoku/>
        <w:wordWrap/>
        <w:overflowPunct/>
        <w:topLinePunct w:val="0"/>
        <w:autoSpaceDE/>
        <w:autoSpaceDN/>
        <w:bidi w:val="0"/>
        <w:adjustRightInd w:val="0"/>
        <w:snapToGrid w:val="0"/>
        <w:spacing w:line="360" w:lineRule="auto"/>
        <w:ind w:leftChars="200"/>
        <w:textAlignment w:val="auto"/>
        <w:rPr>
          <w:rFonts w:hint="eastAsia" w:ascii="方正仿宋_GB2312" w:hAnsi="方正仿宋_GB2312" w:eastAsia="方正仿宋_GB2312" w:cs="方正仿宋_GB2312"/>
          <w:b w:val="0"/>
          <w:bCs w:val="0"/>
          <w:sz w:val="32"/>
          <w:szCs w:val="32"/>
          <w:lang w:val="en-US" w:eastAsia="zh-CN"/>
        </w:rPr>
      </w:pPr>
      <w:r>
        <w:rPr>
          <w:rFonts w:hint="eastAsia" w:ascii="方正仿宋_GB2312" w:hAnsi="方正仿宋_GB2312" w:eastAsia="方正仿宋_GB2312" w:cs="方正仿宋_GB2312"/>
          <w:b w:val="0"/>
          <w:bCs w:val="0"/>
          <w:sz w:val="32"/>
          <w:szCs w:val="32"/>
          <w:lang w:val="en-US" w:eastAsia="zh-CN"/>
        </w:rPr>
        <w:t>3.《托育服务标准体系建设指南》</w:t>
      </w:r>
    </w:p>
    <w:p w14:paraId="42B0DAD1">
      <w:pPr>
        <w:keepNext w:val="0"/>
        <w:keepLines w:val="0"/>
        <w:pageBreakBefore w:val="0"/>
        <w:widowControl w:val="0"/>
        <w:numPr>
          <w:numId w:val="0"/>
        </w:numPr>
        <w:kinsoku/>
        <w:wordWrap/>
        <w:overflowPunct/>
        <w:topLinePunct w:val="0"/>
        <w:autoSpaceDE/>
        <w:autoSpaceDN/>
        <w:bidi w:val="0"/>
        <w:adjustRightInd w:val="0"/>
        <w:snapToGrid w:val="0"/>
        <w:spacing w:line="360" w:lineRule="auto"/>
        <w:ind w:leftChars="200"/>
        <w:textAlignment w:val="auto"/>
        <w:rPr>
          <w:rFonts w:hint="eastAsia" w:ascii="方正仿宋_GB2312" w:hAnsi="方正仿宋_GB2312" w:eastAsia="方正仿宋_GB2312" w:cs="方正仿宋_GB2312"/>
          <w:b w:val="0"/>
          <w:bCs w:val="0"/>
          <w:sz w:val="32"/>
          <w:szCs w:val="32"/>
          <w:lang w:val="en-US" w:eastAsia="zh-CN"/>
        </w:rPr>
      </w:pPr>
      <w:r>
        <w:rPr>
          <w:rFonts w:hint="eastAsia" w:ascii="方正仿宋_GB2312" w:hAnsi="方正仿宋_GB2312" w:eastAsia="方正仿宋_GB2312" w:cs="方正仿宋_GB2312"/>
          <w:b w:val="0"/>
          <w:bCs w:val="0"/>
          <w:sz w:val="32"/>
          <w:szCs w:val="32"/>
          <w:lang w:val="en-US" w:eastAsia="zh-CN"/>
        </w:rPr>
        <w:t>4.德宏职业学院婴幼儿托育服务与管理专业人才培养方案</w:t>
      </w:r>
    </w:p>
    <w:p w14:paraId="17D04A6A">
      <w:pPr>
        <w:rPr>
          <w:rFonts w:hint="eastAsia" w:ascii="方正仿宋_GB2312" w:hAnsi="方正仿宋_GB2312" w:eastAsia="方正仿宋_GB2312" w:cs="方正仿宋_GB2312"/>
          <w:sz w:val="32"/>
          <w:szCs w:val="32"/>
        </w:rPr>
      </w:pPr>
    </w:p>
    <w:p w14:paraId="1E259385">
      <w:pPr>
        <w:rPr>
          <w:rFonts w:hint="eastAsia" w:ascii="方正仿宋_GB2312" w:hAnsi="方正仿宋_GB2312" w:eastAsia="方正仿宋_GB2312" w:cs="方正仿宋_GB2312"/>
          <w:sz w:val="32"/>
          <w:szCs w:val="32"/>
        </w:rPr>
      </w:pPr>
    </w:p>
    <w:sectPr>
      <w:footerReference r:id="rId3" w:type="default"/>
      <w:pgSz w:w="11906" w:h="16838"/>
      <w:pgMar w:top="1440" w:right="1474" w:bottom="1440" w:left="147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方正小标宋简体">
    <w:panose1 w:val="02000000000000000000"/>
    <w:charset w:val="86"/>
    <w:family w:val="auto"/>
    <w:pitch w:val="default"/>
    <w:sig w:usb0="00000001" w:usb1="08000000" w:usb2="00000000" w:usb3="00000000" w:csb0="00040000" w:csb1="00000000"/>
    <w:embedRegular r:id="rId1" w:fontKey="{40934265-F555-4025-AD6F-98FEB29EA7FA}"/>
  </w:font>
  <w:font w:name="仿宋">
    <w:panose1 w:val="02010609060101010101"/>
    <w:charset w:val="86"/>
    <w:family w:val="auto"/>
    <w:pitch w:val="default"/>
    <w:sig w:usb0="800002BF" w:usb1="38CF7CFA" w:usb2="00000016" w:usb3="00000000" w:csb0="00040001" w:csb1="00000000"/>
    <w:embedRegular r:id="rId2" w:fontKey="{C1F2AF30-EBA2-434D-8D66-17FD7C73C095}"/>
  </w:font>
  <w:font w:name="方正黑体简体">
    <w:altName w:val="微软雅黑"/>
    <w:panose1 w:val="02010601030101010101"/>
    <w:charset w:val="86"/>
    <w:family w:val="auto"/>
    <w:pitch w:val="default"/>
    <w:sig w:usb0="00000000" w:usb1="00000000" w:usb2="00000000" w:usb3="00000000" w:csb0="00040000" w:csb1="00000000"/>
    <w:embedRegular r:id="rId3" w:fontKey="{989B68B9-A126-4370-8075-992E76A50D33}"/>
  </w:font>
  <w:font w:name="微软雅黑">
    <w:panose1 w:val="020B0503020204020204"/>
    <w:charset w:val="86"/>
    <w:family w:val="auto"/>
    <w:pitch w:val="default"/>
    <w:sig w:usb0="80000287" w:usb1="2ACF3C50" w:usb2="00000016" w:usb3="00000000" w:csb0="0004001F" w:csb1="00000000"/>
  </w:font>
  <w:font w:name="方正仿宋_GB2312">
    <w:panose1 w:val="02000000000000000000"/>
    <w:charset w:val="86"/>
    <w:family w:val="auto"/>
    <w:pitch w:val="default"/>
    <w:sig w:usb0="A00002BF" w:usb1="184F6CFA" w:usb2="00000012" w:usb3="00000000" w:csb0="00040001" w:csb1="00000000"/>
    <w:embedRegular r:id="rId4" w:fontKey="{5FBC68C1-2DD8-4C59-8192-49384F894D7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974060">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AE20F4">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7BAE20F4">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0BAC706"/>
    <w:multiLevelType w:val="singleLevel"/>
    <w:tmpl w:val="D0BAC706"/>
    <w:lvl w:ilvl="0" w:tentative="0">
      <w:start w:val="1"/>
      <w:numFmt w:val="chineseCounting"/>
      <w:suff w:val="nothing"/>
      <w:lvlText w:val="（%1）"/>
      <w:lvlJc w:val="left"/>
      <w:rPr>
        <w:rFonts w:hint="eastAsia"/>
      </w:rPr>
    </w:lvl>
  </w:abstractNum>
  <w:abstractNum w:abstractNumId="1">
    <w:nsid w:val="D1317ED1"/>
    <w:multiLevelType w:val="singleLevel"/>
    <w:tmpl w:val="D1317ED1"/>
    <w:lvl w:ilvl="0" w:tentative="0">
      <w:start w:val="1"/>
      <w:numFmt w:val="chineseCounting"/>
      <w:suff w:val="nothing"/>
      <w:lvlText w:val="（%1）"/>
      <w:lvlJc w:val="left"/>
      <w:rPr>
        <w:rFonts w:hint="eastAsia"/>
      </w:rPr>
    </w:lvl>
  </w:abstractNum>
  <w:abstractNum w:abstractNumId="2">
    <w:nsid w:val="D5D798E7"/>
    <w:multiLevelType w:val="singleLevel"/>
    <w:tmpl w:val="D5D798E7"/>
    <w:lvl w:ilvl="0" w:tentative="0">
      <w:start w:val="1"/>
      <w:numFmt w:val="chineseCounting"/>
      <w:suff w:val="nothing"/>
      <w:lvlText w:val="（%1）"/>
      <w:lvlJc w:val="left"/>
      <w:rPr>
        <w:rFonts w:hint="eastAsia"/>
      </w:rPr>
    </w:lvl>
  </w:abstractNum>
  <w:abstractNum w:abstractNumId="3">
    <w:nsid w:val="E4D66174"/>
    <w:multiLevelType w:val="singleLevel"/>
    <w:tmpl w:val="E4D66174"/>
    <w:lvl w:ilvl="0" w:tentative="0">
      <w:start w:val="1"/>
      <w:numFmt w:val="decimal"/>
      <w:suff w:val="nothing"/>
      <w:lvlText w:val="%1、"/>
      <w:lvlJc w:val="left"/>
    </w:lvl>
  </w:abstractNum>
  <w:abstractNum w:abstractNumId="4">
    <w:nsid w:val="03ECAC19"/>
    <w:multiLevelType w:val="singleLevel"/>
    <w:tmpl w:val="03ECAC19"/>
    <w:lvl w:ilvl="0" w:tentative="0">
      <w:start w:val="1"/>
      <w:numFmt w:val="chineseCounting"/>
      <w:suff w:val="nothing"/>
      <w:lvlText w:val="%1、"/>
      <w:lvlJc w:val="left"/>
      <w:rPr>
        <w:rFonts w:hint="eastAsia"/>
      </w:rPr>
    </w:lvl>
  </w:abstractNum>
  <w:abstractNum w:abstractNumId="5">
    <w:nsid w:val="37A7B3DD"/>
    <w:multiLevelType w:val="singleLevel"/>
    <w:tmpl w:val="37A7B3DD"/>
    <w:lvl w:ilvl="0" w:tentative="0">
      <w:start w:val="1"/>
      <w:numFmt w:val="chineseCounting"/>
      <w:suff w:val="nothing"/>
      <w:lvlText w:val="（%1）"/>
      <w:lvlJc w:val="left"/>
      <w:rPr>
        <w:rFonts w:hint="eastAsia"/>
      </w:rPr>
    </w:lvl>
  </w:abstractNum>
  <w:abstractNum w:abstractNumId="6">
    <w:nsid w:val="65B68748"/>
    <w:multiLevelType w:val="singleLevel"/>
    <w:tmpl w:val="65B68748"/>
    <w:lvl w:ilvl="0" w:tentative="0">
      <w:start w:val="1"/>
      <w:numFmt w:val="chineseCounting"/>
      <w:suff w:val="nothing"/>
      <w:lvlText w:val="（%1）"/>
      <w:lvlJc w:val="left"/>
      <w:rPr>
        <w:rFonts w:hint="eastAsia"/>
      </w:rPr>
    </w:lvl>
  </w:abstractNum>
  <w:num w:numId="1">
    <w:abstractNumId w:val="4"/>
  </w:num>
  <w:num w:numId="2">
    <w:abstractNumId w:val="5"/>
  </w:num>
  <w:num w:numId="3">
    <w:abstractNumId w:val="1"/>
  </w:num>
  <w:num w:numId="4">
    <w:abstractNumId w:val="2"/>
  </w:num>
  <w:num w:numId="5">
    <w:abstractNumId w:val="6"/>
  </w:num>
  <w:num w:numId="6">
    <w:abstractNumId w:val="3"/>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D2C4355"/>
    <w:rsid w:val="4D2C4355"/>
    <w:rsid w:val="71B306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character" w:styleId="5">
    <w:name w:val="Strong"/>
    <w:qFormat/>
    <w:uiPriority w:val="0"/>
    <w:rPr>
      <w: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1340</Words>
  <Characters>1345</Characters>
  <Lines>0</Lines>
  <Paragraphs>0</Paragraphs>
  <TotalTime>21</TotalTime>
  <ScaleCrop>false</ScaleCrop>
  <LinksUpToDate>false</LinksUpToDate>
  <CharactersWithSpaces>1382</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2025-08-20T02:24:00Z</dcterms:created>
  <dc:creator>罗吉良</dc:creator>
  <cp:lastModifiedBy>罗吉良</cp:lastModifiedBy>
  <dcterms:modified xsi:type="dcterms:W3CDTF">2025-08-20T03:23:41Z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B60B889AC7374767B5FDE4FDAA5F3F7A_11</vt:lpwstr>
  </property>
  <property fmtid="{D5CDD505-2E9C-101B-9397-08002B2CF9AE}" pid="4" name="KSOTemplateDocerSaveRecord">
    <vt:lpwstr>eyJoZGlkIjoiNDJmNjlmNjZjMDhiYWE4ZjUzOGNjZjRjNWY3MzcyYjEiLCJ1c2VySWQiOiIxNjAyNzUzNzM1In0=</vt:lpwstr>
  </property>
</Properties>
</file>