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364F4">
      <w:pPr>
        <w:jc w:val="center"/>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eastAsia="zh-CN"/>
        </w:rPr>
        <w:t>德宏职业学院</w:t>
      </w:r>
    </w:p>
    <w:p w14:paraId="71FFFDEB">
      <w:pPr>
        <w:jc w:val="center"/>
        <w:rPr>
          <w:rFonts w:hint="eastAsia" w:ascii="方正小标宋简体" w:hAnsi="方正小标宋简体" w:eastAsia="方正小标宋简体" w:cs="方正小标宋简体"/>
          <w:b w:val="0"/>
          <w:bCs w:val="0"/>
          <w:sz w:val="36"/>
          <w:szCs w:val="36"/>
          <w:lang w:eastAsia="zh-CN"/>
        </w:rPr>
      </w:pPr>
      <w:r>
        <w:rPr>
          <w:rFonts w:hint="eastAsia" w:ascii="方正小标宋简体" w:hAnsi="方正小标宋简体" w:eastAsia="方正小标宋简体" w:cs="方正小标宋简体"/>
          <w:b w:val="0"/>
          <w:bCs w:val="0"/>
          <w:sz w:val="36"/>
          <w:szCs w:val="36"/>
          <w:lang w:eastAsia="zh-CN"/>
        </w:rPr>
        <w:t>《学前教育学》课程标准</w:t>
      </w:r>
    </w:p>
    <w:p w14:paraId="0E5C40C8">
      <w:pPr>
        <w:jc w:val="center"/>
        <w:rPr>
          <w:rFonts w:hint="eastAsia" w:ascii="仿宋" w:hAnsi="仿宋" w:eastAsia="仿宋" w:cs="仿宋"/>
          <w:b/>
          <w:bCs/>
          <w:sz w:val="21"/>
          <w:szCs w:val="21"/>
          <w:lang w:eastAsia="zh-CN"/>
        </w:rPr>
      </w:pPr>
    </w:p>
    <w:p w14:paraId="5876FDBC">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eastAsia="zh-CN"/>
        </w:rPr>
      </w:pPr>
      <w:r>
        <w:rPr>
          <w:rFonts w:hint="eastAsia" w:ascii="方正黑体简体" w:hAnsi="方正黑体简体" w:eastAsia="方正黑体简体" w:cs="方正黑体简体"/>
          <w:b w:val="0"/>
          <w:bCs w:val="0"/>
          <w:sz w:val="32"/>
          <w:szCs w:val="32"/>
          <w:lang w:eastAsia="zh-CN"/>
        </w:rPr>
        <w:t>课程概述</w:t>
      </w:r>
    </w:p>
    <w:p w14:paraId="26877029">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课程基本信息</w:t>
      </w:r>
    </w:p>
    <w:p w14:paraId="42DFD71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课程名称：学前教育学</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课程编码：</w:t>
      </w:r>
      <w:r>
        <w:rPr>
          <w:rFonts w:hint="eastAsia" w:ascii="仿宋" w:hAnsi="仿宋" w:eastAsia="仿宋" w:cs="仿宋"/>
          <w:sz w:val="32"/>
          <w:szCs w:val="32"/>
          <w:lang w:val="en-US" w:eastAsia="zh-CN"/>
        </w:rPr>
        <w:t>待定</w:t>
      </w:r>
    </w:p>
    <w:p w14:paraId="2E41BFF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课程类型：专业课</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课程性质：</w:t>
      </w:r>
      <w:r>
        <w:rPr>
          <w:rFonts w:hint="eastAsia" w:ascii="仿宋" w:hAnsi="仿宋" w:eastAsia="仿宋" w:cs="仿宋"/>
          <w:sz w:val="32"/>
          <w:szCs w:val="32"/>
          <w:lang w:val="en-US" w:eastAsia="zh-CN"/>
        </w:rPr>
        <w:t>专业必修课</w:t>
      </w:r>
    </w:p>
    <w:p w14:paraId="36672F2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适用专业：学前教育</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课程学时（学分）：</w:t>
      </w:r>
      <w:r>
        <w:rPr>
          <w:rFonts w:hint="eastAsia" w:ascii="方正仿宋_GBK" w:eastAsia="方正仿宋_GBK"/>
          <w:color w:val="000000" w:themeColor="text1"/>
          <w:sz w:val="28"/>
          <w:szCs w:val="28"/>
          <w:lang w:val="en-US" w:eastAsia="zh-CN"/>
          <w14:textFill>
            <w14:solidFill>
              <w14:schemeClr w14:val="tx1"/>
            </w14:solidFill>
          </w14:textFill>
        </w:rPr>
        <w:t>72学时、4学分</w:t>
      </w:r>
    </w:p>
    <w:p w14:paraId="6FA6E00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先修课程：</w:t>
      </w:r>
      <w:r>
        <w:rPr>
          <w:rFonts w:hint="eastAsia" w:ascii="仿宋" w:hAnsi="仿宋" w:eastAsia="仿宋" w:cs="仿宋"/>
          <w:sz w:val="32"/>
          <w:szCs w:val="32"/>
          <w:lang w:val="en-US" w:eastAsia="zh-CN"/>
        </w:rPr>
        <w:t xml:space="preserve">学前心理学   </w:t>
      </w:r>
      <w:r>
        <w:rPr>
          <w:rFonts w:hint="eastAsia" w:ascii="仿宋" w:hAnsi="仿宋" w:eastAsia="仿宋" w:cs="仿宋"/>
          <w:sz w:val="32"/>
          <w:szCs w:val="32"/>
          <w:lang w:eastAsia="zh-CN"/>
        </w:rPr>
        <w:t>后续课程：</w:t>
      </w:r>
      <w:r>
        <w:rPr>
          <w:rFonts w:hint="eastAsia" w:ascii="仿宋" w:hAnsi="仿宋" w:eastAsia="仿宋" w:cs="仿宋"/>
          <w:sz w:val="32"/>
          <w:szCs w:val="32"/>
          <w:lang w:val="en-US" w:eastAsia="zh-CN"/>
        </w:rPr>
        <w:t>学前儿童行为观察</w:t>
      </w:r>
    </w:p>
    <w:p w14:paraId="477C2AF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课程负责人：</w:t>
      </w:r>
      <w:r>
        <w:rPr>
          <w:rFonts w:hint="eastAsia" w:ascii="仿宋" w:hAnsi="仿宋" w:eastAsia="仿宋" w:cs="仿宋"/>
          <w:sz w:val="32"/>
          <w:szCs w:val="32"/>
          <w:lang w:val="en-US" w:eastAsia="zh-CN"/>
        </w:rPr>
        <w:t xml:space="preserve">闫婷               </w:t>
      </w:r>
      <w:r>
        <w:rPr>
          <w:rFonts w:hint="eastAsia" w:ascii="仿宋" w:hAnsi="仿宋" w:eastAsia="仿宋" w:cs="仿宋"/>
          <w:sz w:val="32"/>
          <w:szCs w:val="32"/>
          <w:lang w:eastAsia="zh-CN"/>
        </w:rPr>
        <w:t>修订时间：</w:t>
      </w:r>
      <w:r>
        <w:rPr>
          <w:rFonts w:hint="eastAsia" w:ascii="仿宋" w:hAnsi="仿宋" w:eastAsia="仿宋" w:cs="仿宋"/>
          <w:sz w:val="32"/>
          <w:szCs w:val="32"/>
          <w:lang w:val="en-US" w:eastAsia="zh-CN"/>
        </w:rPr>
        <w:t>2025年8月</w:t>
      </w:r>
    </w:p>
    <w:p w14:paraId="491D9AB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课程标准审批人：</w:t>
      </w:r>
      <w:r>
        <w:rPr>
          <w:rFonts w:hint="eastAsia" w:ascii="仿宋" w:hAnsi="仿宋" w:eastAsia="仿宋" w:cs="仿宋"/>
          <w:sz w:val="32"/>
          <w:szCs w:val="32"/>
          <w:lang w:val="en-US" w:eastAsia="zh-CN"/>
        </w:rPr>
        <w:t>段雯舒</w:t>
      </w:r>
    </w:p>
    <w:p w14:paraId="55544D74">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课程定位与课程设计</w:t>
      </w:r>
    </w:p>
    <w:p w14:paraId="490BFBE2">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1、课程简介：</w:t>
      </w:r>
      <w:r>
        <w:rPr>
          <w:rFonts w:hint="eastAsia" w:ascii="仿宋" w:hAnsi="仿宋" w:eastAsia="仿宋" w:cs="仿宋"/>
          <w:sz w:val="32"/>
          <w:szCs w:val="32"/>
        </w:rPr>
        <w:t>学前教育学是以</w:t>
      </w:r>
      <w:r>
        <w:rPr>
          <w:rFonts w:hint="eastAsia" w:ascii="仿宋" w:hAnsi="仿宋" w:eastAsia="仿宋" w:cs="仿宋"/>
          <w:sz w:val="32"/>
          <w:szCs w:val="32"/>
          <w:lang w:val="en-US" w:eastAsia="zh-CN"/>
        </w:rPr>
        <w:t>生理</w:t>
      </w:r>
      <w:r>
        <w:rPr>
          <w:rFonts w:hint="eastAsia" w:ascii="仿宋" w:hAnsi="仿宋" w:eastAsia="仿宋" w:cs="仿宋"/>
          <w:sz w:val="32"/>
          <w:szCs w:val="32"/>
        </w:rPr>
        <w:t>学、心理学、教育学等学科为基础，研究学前教育的发生、发展，系统阐述现代学前教育的观念、知识和基础原理，以寻求促进学前儿童身心全面和谐发展的规律和一般方法的学科。它具有理论性、宏观性、全面性和师范性特点。该课程系统阐明了学前教育的基本原理、教师与儿童、教育教学活动与方法，注重培养学生现代化的儿童观、教育观、教师观，在学前教育专业课程设置中处于核心地位，为学生后续学习幼儿园活动设计与指导、幼儿园教育环境创设、学前儿童游戏等课程打下基础。</w:t>
      </w:r>
    </w:p>
    <w:p w14:paraId="7AA6624A">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2、课程性质与定位</w:t>
      </w:r>
    </w:p>
    <w:p w14:paraId="69906560">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（1）课程性质：</w:t>
      </w:r>
      <w:r>
        <w:rPr>
          <w:rFonts w:hint="eastAsia" w:ascii="仿宋" w:hAnsi="仿宋" w:eastAsia="仿宋" w:cs="仿宋"/>
          <w:sz w:val="32"/>
          <w:szCs w:val="32"/>
        </w:rPr>
        <w:t>学前教育学课程是一门兼顾理论与实践，偏重理论的课程，是学前教育专业学生必修</w:t>
      </w:r>
      <w:r>
        <w:rPr>
          <w:rFonts w:hint="eastAsia" w:ascii="仿宋" w:hAnsi="仿宋" w:eastAsia="仿宋" w:cs="仿宋"/>
          <w:sz w:val="32"/>
          <w:szCs w:val="32"/>
          <w:lang w:val="en-US" w:eastAsia="zh-CN"/>
        </w:rPr>
        <w:t>基础</w:t>
      </w:r>
      <w:r>
        <w:rPr>
          <w:rFonts w:hint="eastAsia" w:ascii="仿宋" w:hAnsi="仿宋" w:eastAsia="仿宋" w:cs="仿宋"/>
          <w:sz w:val="32"/>
          <w:szCs w:val="32"/>
        </w:rPr>
        <w:t>课程。</w:t>
      </w:r>
    </w:p>
    <w:p w14:paraId="30AD9BF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课程定位：该课程其目的是学生能掌握学前教育学的基本理论与先进思想，认识学前儿童自身发展的特征及学前教育活动的基本特点，领会科学的学前教育观念，树立正确的教师观和儿童观，学生能形成学前教育与活动工作能力。它以《学前心理学》、《儿童发展心理学》等课程的学习为基础，也是进一步学习《幼儿园活动设计与指导》、《幼儿园环境创设与利用》、《学前儿童行为观察》等课程的基础。</w:t>
      </w:r>
    </w:p>
    <w:p w14:paraId="2EA34EF5">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3、课程基本理念：</w:t>
      </w:r>
      <w:r>
        <w:rPr>
          <w:rFonts w:hint="eastAsia" w:ascii="仿宋" w:hAnsi="仿宋" w:eastAsia="仿宋" w:cs="仿宋"/>
          <w:sz w:val="32"/>
          <w:szCs w:val="32"/>
        </w:rPr>
        <w:t>本课程以基于工作过程的课程开发理念为指导，以职业能力培养和职业素养养成为重点，根据职业领域和职业岗位（群）的任职要求，融合幼儿教师和保育员职业资格标准，以幼儿教师为典型工作过程，以来源于幼儿教育活动的实际案例为载体，“课、岗、证”相结合，对课程内容进行优化与整合。本课程的教学过程要通过校企合作、校内实训基地建设等多种途径来实现，融“教、学、做”为一体，充分开发学习资源，给学生提供丰富的实践机会。教学效果评价采取过程评价与终结评价相结合的方式，通过理论与实践相结合，重点评价学生的职业知识与职业技能。</w:t>
      </w:r>
    </w:p>
    <w:p w14:paraId="386D2ED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课程设计的思路：本课程定位于知识、技能与能力、情感态度三大领域，以幼儿教师的岗位能力需求与职业资格标准要求完善课程的内容体系，以“学生为中心”的教学指导思想引领整个教学过程。通过教学内容的选择、实践性教学方法的运用以及教师的言传身教等手段将培养职业信念贯穿于课程教学中，最终强化学生学习的主体意识，锻炼创新思维、问题求解、决策制定、批判性思维等高阶思维能力，为学生的职后发展和终身学习打下基础。</w:t>
      </w:r>
    </w:p>
    <w:p w14:paraId="274CE2B7">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课程目标</w:t>
      </w:r>
    </w:p>
    <w:p w14:paraId="5F5EB242">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总体目标</w:t>
      </w:r>
    </w:p>
    <w:p w14:paraId="4E3D1BDB">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程目标是通过学习使学生能掌握学前教育学的基础知识、基本理论和基本问题，能树立正确的教师观和儿童观，能认识学前教育规律和方法，认识学前儿童自身发展的特征，能设计和组织学前教育活动，能通过学前教育现象进行分析与研讨。学习本课程之后，学生具有学前教育与活动的工作能力。</w:t>
      </w:r>
    </w:p>
    <w:p w14:paraId="456A3BCA">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具体目标</w:t>
      </w:r>
    </w:p>
    <w:p w14:paraId="55F7D044">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知识目标</w:t>
      </w:r>
    </w:p>
    <w:p w14:paraId="24378A7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  通过本课程的学习，学生能了解学前教育在儿童的发展过程中及在整个教育系统中的地位与价值，掌握学前教育的先进思想及基本理论，认识学前儿童自身发展的特征及学前教育活动的基本特点和一般规律，能设计和组织学前教育活动，能通过学前教育现象进行分析与研讨。</w:t>
      </w:r>
    </w:p>
    <w:p w14:paraId="5B579B6F">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能力目标</w:t>
      </w:r>
    </w:p>
    <w:p w14:paraId="1E31750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通过本课程的学习，学生应该具备如下能力：</w:t>
      </w:r>
    </w:p>
    <w:p w14:paraId="53ECDC8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（1）具有运用理论指导实际工作的能力；</w:t>
      </w:r>
    </w:p>
    <w:p w14:paraId="48E9F46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（2）具有学前教育活动设计、组织与指导的基本能力；</w:t>
      </w:r>
    </w:p>
    <w:p w14:paraId="7905240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（3）具有学前教育活动分析与评价的能力；</w:t>
      </w:r>
    </w:p>
    <w:p w14:paraId="72A8D9A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（4）具有分析问题、解决问题的能力：</w:t>
      </w:r>
    </w:p>
    <w:p w14:paraId="35592FB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（5）形成运用理论指导实际工作的能力，锻炼创新思维、问题求解、决策制定、批判性思维等高阶思维能力，</w:t>
      </w:r>
    </w:p>
    <w:p w14:paraId="5F8CE82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（6）具有自主学习、研究性学习、合作学习等能力。</w:t>
      </w:r>
    </w:p>
    <w:p w14:paraId="7F13724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（7）具有学前教育调查与研究能力。</w:t>
      </w:r>
    </w:p>
    <w:p w14:paraId="6EDE2EBD">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素质目标</w:t>
      </w:r>
    </w:p>
    <w:p w14:paraId="23D25E9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过本课程的学习，培养学生爱岗敬业、勇于创新、团结协作、谦逊好学、求真务实等方面的素质。树立现代化的儿童观、教师观及先进的学前教育观，培养学生热爱儿童、热爱学前教育工作的情感及投身学前教育事业的职业品质。</w:t>
      </w:r>
    </w:p>
    <w:p w14:paraId="5D17FB16">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与前后课程的关系</w:t>
      </w:r>
    </w:p>
    <w:p w14:paraId="5D135629">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与前续课程的关系</w:t>
      </w:r>
    </w:p>
    <w:p w14:paraId="16B168D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学前教育学是在学前儿童卫生与保健和儿童发展心理学课程之后开设的一门专业基础课程。目的是在学生了解了学前儿童身心发展的特点之后，教给学生针对儿童的身心发展水平采用适宜的方法，创设环境进行有效的教育。</w:t>
      </w:r>
    </w:p>
    <w:p w14:paraId="6A1610F3">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与后继课程的关系</w:t>
      </w:r>
    </w:p>
    <w:p w14:paraId="0FE91F9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在学前教育学课程之后，将要开设幼儿园课程、儿童游戏、幼儿园教育活动设计等系列课程。学前教育学为后续这些课程的开设提供了教育原则、教育观、儿童观、教育理论和方法的条件。</w:t>
      </w:r>
    </w:p>
    <w:p w14:paraId="257A0C8C">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课程内容标准</w:t>
      </w:r>
    </w:p>
    <w:p w14:paraId="10F2A13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eastAsia="zh-CN"/>
          <w14:textFill>
            <w14:solidFill>
              <w14:schemeClr w14:val="tx1"/>
            </w14:solidFill>
          </w14:textFill>
        </w:rPr>
        <w:t>课程内容标准包括</w:t>
      </w:r>
      <w:r>
        <w:rPr>
          <w:rFonts w:hint="eastAsia" w:ascii="方正仿宋_GBK" w:eastAsia="方正仿宋_GBK"/>
          <w:color w:val="000000" w:themeColor="text1"/>
          <w:sz w:val="28"/>
          <w:szCs w:val="28"/>
          <w:lang w:val="en-US" w:eastAsia="zh-CN"/>
          <w14:textFill>
            <w14:solidFill>
              <w14:schemeClr w14:val="tx1"/>
            </w14:solidFill>
          </w14:textFill>
        </w:rPr>
        <w:t>教学单元</w:t>
      </w:r>
      <w:r>
        <w:rPr>
          <w:rFonts w:hint="eastAsia" w:ascii="方正仿宋_GBK" w:eastAsia="方正仿宋_GBK"/>
          <w:color w:val="000000" w:themeColor="text1"/>
          <w:sz w:val="28"/>
          <w:szCs w:val="28"/>
          <w:lang w:eastAsia="zh-CN"/>
          <w14:textFill>
            <w14:solidFill>
              <w14:schemeClr w14:val="tx1"/>
            </w14:solidFill>
          </w14:textFill>
        </w:rPr>
        <w:t>、</w:t>
      </w:r>
      <w:r>
        <w:rPr>
          <w:rFonts w:hint="eastAsia" w:ascii="方正仿宋_GBK" w:eastAsia="方正仿宋_GBK"/>
          <w:color w:val="000000" w:themeColor="text1"/>
          <w:sz w:val="28"/>
          <w:szCs w:val="28"/>
          <w14:textFill>
            <w14:solidFill>
              <w14:schemeClr w14:val="tx1"/>
            </w14:solidFill>
          </w14:textFill>
        </w:rPr>
        <w:t>教学</w:t>
      </w:r>
      <w:r>
        <w:rPr>
          <w:rFonts w:hint="eastAsia" w:ascii="方正仿宋_GBK" w:eastAsia="方正仿宋_GBK"/>
          <w:color w:val="000000" w:themeColor="text1"/>
          <w:sz w:val="28"/>
          <w:szCs w:val="28"/>
          <w:lang w:val="en-US" w:eastAsia="zh-CN"/>
          <w14:textFill>
            <w14:solidFill>
              <w14:schemeClr w14:val="tx1"/>
            </w14:solidFill>
          </w14:textFill>
        </w:rPr>
        <w:t>内容</w:t>
      </w:r>
      <w:r>
        <w:rPr>
          <w:rFonts w:hint="eastAsia" w:ascii="方正仿宋_GBK" w:eastAsia="方正仿宋_GBK"/>
          <w:color w:val="000000" w:themeColor="text1"/>
          <w:sz w:val="28"/>
          <w:szCs w:val="28"/>
          <w14:textFill>
            <w14:solidFill>
              <w14:schemeClr w14:val="tx1"/>
            </w14:solidFill>
          </w14:textFill>
        </w:rPr>
        <w:t>要求</w:t>
      </w:r>
      <w:r>
        <w:rPr>
          <w:rFonts w:hint="eastAsia" w:ascii="方正仿宋_GBK" w:eastAsia="方正仿宋_GBK"/>
          <w:color w:val="000000" w:themeColor="text1"/>
          <w:sz w:val="28"/>
          <w:szCs w:val="28"/>
          <w:lang w:eastAsia="zh-CN"/>
          <w14:textFill>
            <w14:solidFill>
              <w14:schemeClr w14:val="tx1"/>
            </w14:solidFill>
          </w14:textFill>
        </w:rPr>
        <w:t>及学时分配</w:t>
      </w:r>
      <w:r>
        <w:rPr>
          <w:rFonts w:hint="eastAsia" w:ascii="方正仿宋_GBK" w:eastAsia="方正仿宋_GBK"/>
          <w:color w:val="000000" w:themeColor="text1"/>
          <w:sz w:val="28"/>
          <w:szCs w:val="28"/>
          <w:lang w:val="en-US" w:eastAsia="zh-CN"/>
          <w14:textFill>
            <w14:solidFill>
              <w14:schemeClr w14:val="tx1"/>
            </w14:solidFill>
          </w14:textFill>
        </w:rPr>
        <w:t>三</w:t>
      </w:r>
      <w:r>
        <w:rPr>
          <w:rFonts w:hint="eastAsia" w:ascii="方正仿宋_GBK" w:eastAsia="方正仿宋_GBK"/>
          <w:color w:val="000000" w:themeColor="text1"/>
          <w:sz w:val="28"/>
          <w:szCs w:val="28"/>
          <w:lang w:eastAsia="zh-CN"/>
          <w14:textFill>
            <w14:solidFill>
              <w14:schemeClr w14:val="tx1"/>
            </w14:solidFill>
          </w14:textFill>
        </w:rPr>
        <w:t>个方面。</w:t>
      </w:r>
    </w:p>
    <w:tbl>
      <w:tblPr>
        <w:tblStyle w:val="2"/>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 w:type="dxa"/>
          <w:bottom w:w="0" w:type="dxa"/>
          <w:right w:w="10" w:type="dxa"/>
        </w:tblCellMar>
      </w:tblPr>
      <w:tblGrid>
        <w:gridCol w:w="913"/>
        <w:gridCol w:w="1402"/>
        <w:gridCol w:w="2911"/>
        <w:gridCol w:w="2942"/>
        <w:gridCol w:w="810"/>
      </w:tblGrid>
      <w:tr w14:paraId="006E51A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34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67934E4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序号</w:t>
            </w:r>
          </w:p>
        </w:tc>
        <w:tc>
          <w:tcPr>
            <w:tcW w:w="2040" w:type="dxa"/>
            <w:tcBorders>
              <w:top w:val="single" w:color="000000" w:sz="4" w:space="0"/>
              <w:left w:val="single" w:color="000000" w:sz="4" w:space="0"/>
              <w:bottom w:val="single" w:color="000000" w:sz="4" w:space="0"/>
              <w:right w:val="single" w:color="000000" w:sz="4" w:space="0"/>
            </w:tcBorders>
            <w:vAlign w:val="top"/>
          </w:tcPr>
          <w:p w14:paraId="32A1D2FA">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教学单元</w:t>
            </w:r>
          </w:p>
        </w:tc>
        <w:tc>
          <w:tcPr>
            <w:tcW w:w="4960" w:type="dxa"/>
            <w:tcBorders>
              <w:top w:val="single" w:color="000000" w:sz="4" w:space="0"/>
              <w:left w:val="single" w:color="000000" w:sz="4" w:space="0"/>
              <w:bottom w:val="single" w:color="000000" w:sz="4" w:space="0"/>
              <w:right w:val="single" w:color="000000" w:sz="4" w:space="0"/>
            </w:tcBorders>
            <w:vAlign w:val="top"/>
          </w:tcPr>
          <w:p w14:paraId="5A59BE0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知识要求</w:t>
            </w:r>
          </w:p>
        </w:tc>
        <w:tc>
          <w:tcPr>
            <w:tcW w:w="5020" w:type="dxa"/>
            <w:tcBorders>
              <w:top w:val="single" w:color="000000" w:sz="4" w:space="0"/>
              <w:left w:val="single" w:color="000000" w:sz="4" w:space="0"/>
              <w:bottom w:val="single" w:color="000000" w:sz="4" w:space="0"/>
              <w:right w:val="single" w:color="000000" w:sz="4" w:space="0"/>
            </w:tcBorders>
            <w:vAlign w:val="top"/>
          </w:tcPr>
          <w:p w14:paraId="4C8EABE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技能要求</w:t>
            </w:r>
          </w:p>
        </w:tc>
        <w:tc>
          <w:tcPr>
            <w:tcW w:w="1020" w:type="dxa"/>
            <w:tcBorders>
              <w:top w:val="single" w:color="000000" w:sz="4" w:space="0"/>
              <w:left w:val="single" w:color="000000" w:sz="4" w:space="0"/>
              <w:bottom w:val="single" w:color="000000" w:sz="4" w:space="0"/>
              <w:right w:val="single" w:color="000000" w:sz="4" w:space="0"/>
            </w:tcBorders>
            <w:vAlign w:val="top"/>
          </w:tcPr>
          <w:p w14:paraId="7A3D5813">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建议</w:t>
            </w:r>
          </w:p>
          <w:p w14:paraId="5E627D14">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课时</w:t>
            </w:r>
          </w:p>
        </w:tc>
      </w:tr>
      <w:tr w14:paraId="34463EA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286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2F92A75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p>
          <w:p w14:paraId="61FA405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w:t>
            </w:r>
          </w:p>
        </w:tc>
        <w:tc>
          <w:tcPr>
            <w:tcW w:w="2040" w:type="dxa"/>
            <w:tcBorders>
              <w:top w:val="single" w:color="000000" w:sz="4" w:space="0"/>
              <w:left w:val="single" w:color="000000" w:sz="4" w:space="0"/>
              <w:bottom w:val="single" w:color="000000" w:sz="4" w:space="0"/>
              <w:right w:val="single" w:color="000000" w:sz="4" w:space="0"/>
            </w:tcBorders>
            <w:vAlign w:val="top"/>
          </w:tcPr>
          <w:p w14:paraId="764E258C">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绪论、</w:t>
            </w:r>
            <w:r>
              <w:rPr>
                <w:rFonts w:hint="eastAsia" w:ascii="方正仿宋_GBK" w:eastAsia="方正仿宋_GBK"/>
                <w:color w:val="000000" w:themeColor="text1"/>
                <w:sz w:val="28"/>
                <w:szCs w:val="28"/>
                <w14:textFill>
                  <w14:solidFill>
                    <w14:schemeClr w14:val="tx1"/>
                  </w14:solidFill>
                </w14:textFill>
              </w:rPr>
              <w:t>第一章</w:t>
            </w:r>
          </w:p>
          <w:p w14:paraId="45D49F6B">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学前教育学</w:t>
            </w:r>
            <w:r>
              <w:rPr>
                <w:rFonts w:hint="eastAsia" w:ascii="方正仿宋_GBK" w:eastAsia="方正仿宋_GBK"/>
                <w:color w:val="000000" w:themeColor="text1"/>
                <w:sz w:val="28"/>
                <w:szCs w:val="28"/>
                <w:lang w:val="en-US" w:eastAsia="zh-CN"/>
                <w14:textFill>
                  <w14:solidFill>
                    <w14:schemeClr w14:val="tx1"/>
                  </w14:solidFill>
                </w14:textFill>
              </w:rPr>
              <w:t>的含义</w:t>
            </w:r>
            <w:r>
              <w:rPr>
                <w:rFonts w:hint="eastAsia" w:ascii="方正仿宋_GBK" w:eastAsia="方正仿宋_GBK"/>
                <w:color w:val="000000" w:themeColor="text1"/>
                <w:sz w:val="28"/>
                <w:szCs w:val="28"/>
                <w14:textFill>
                  <w14:solidFill>
                    <w14:schemeClr w14:val="tx1"/>
                  </w14:solidFill>
                </w14:textFill>
              </w:rPr>
              <w:t>和学前教育概述</w:t>
            </w:r>
          </w:p>
        </w:tc>
        <w:tc>
          <w:tcPr>
            <w:tcW w:w="4960" w:type="dxa"/>
            <w:tcBorders>
              <w:top w:val="single" w:color="000000" w:sz="4" w:space="0"/>
              <w:left w:val="single" w:color="000000" w:sz="4" w:space="0"/>
              <w:bottom w:val="single" w:color="000000" w:sz="4" w:space="0"/>
              <w:right w:val="single" w:color="000000" w:sz="4" w:space="0"/>
            </w:tcBorders>
            <w:vAlign w:val="top"/>
          </w:tcPr>
          <w:p w14:paraId="79E8D90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学前教育学的含义，学前教育的含义、特点、类型、</w:t>
            </w:r>
            <w:r>
              <w:rPr>
                <w:rFonts w:hint="eastAsia" w:ascii="方正仿宋_GBK" w:eastAsia="方正仿宋_GBK"/>
                <w:color w:val="000000" w:themeColor="text1"/>
                <w:sz w:val="28"/>
                <w:szCs w:val="28"/>
                <w:lang w:val="en-US" w:eastAsia="zh-CN"/>
                <w14:textFill>
                  <w14:solidFill>
                    <w14:schemeClr w14:val="tx1"/>
                  </w14:solidFill>
                </w14:textFill>
              </w:rPr>
              <w:t>发展趋势、</w:t>
            </w:r>
            <w:r>
              <w:rPr>
                <w:rFonts w:hint="eastAsia" w:ascii="方正仿宋_GBK" w:eastAsia="方正仿宋_GBK"/>
                <w:color w:val="000000" w:themeColor="text1"/>
                <w:sz w:val="28"/>
                <w:szCs w:val="28"/>
                <w14:textFill>
                  <w14:solidFill>
                    <w14:schemeClr w14:val="tx1"/>
                  </w14:solidFill>
                </w14:textFill>
              </w:rPr>
              <w:t>原则、任务。</w:t>
            </w:r>
          </w:p>
        </w:tc>
        <w:tc>
          <w:tcPr>
            <w:tcW w:w="5020" w:type="dxa"/>
            <w:tcBorders>
              <w:top w:val="single" w:color="000000" w:sz="4" w:space="0"/>
              <w:left w:val="single" w:color="000000" w:sz="4" w:space="0"/>
              <w:bottom w:val="single" w:color="000000" w:sz="4" w:space="0"/>
              <w:right w:val="single" w:color="000000" w:sz="4" w:space="0"/>
            </w:tcBorders>
            <w:vAlign w:val="top"/>
          </w:tcPr>
          <w:p w14:paraId="4839E9C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p>
          <w:p w14:paraId="5FBA68E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分析学前教育特点、原则和任务的能力。</w:t>
            </w:r>
          </w:p>
        </w:tc>
        <w:tc>
          <w:tcPr>
            <w:tcW w:w="1020" w:type="dxa"/>
            <w:tcBorders>
              <w:top w:val="single" w:color="000000" w:sz="4" w:space="0"/>
              <w:left w:val="single" w:color="000000" w:sz="4" w:space="0"/>
              <w:bottom w:val="single" w:color="000000" w:sz="4" w:space="0"/>
              <w:right w:val="single" w:color="000000" w:sz="4" w:space="0"/>
            </w:tcBorders>
            <w:vAlign w:val="top"/>
          </w:tcPr>
          <w:p w14:paraId="0E0D93A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p>
          <w:p w14:paraId="4E7074F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8</w:t>
            </w:r>
          </w:p>
        </w:tc>
      </w:tr>
      <w:tr w14:paraId="2FE02F3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216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2E076E7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p>
          <w:p w14:paraId="1CBCEBB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2</w:t>
            </w:r>
          </w:p>
        </w:tc>
        <w:tc>
          <w:tcPr>
            <w:tcW w:w="2040" w:type="dxa"/>
            <w:tcBorders>
              <w:top w:val="single" w:color="000000" w:sz="4" w:space="0"/>
              <w:left w:val="single" w:color="000000" w:sz="4" w:space="0"/>
              <w:bottom w:val="single" w:color="000000" w:sz="4" w:space="0"/>
              <w:right w:val="single" w:color="000000" w:sz="4" w:space="0"/>
            </w:tcBorders>
            <w:vAlign w:val="top"/>
          </w:tcPr>
          <w:p w14:paraId="061F77E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第二章学前教育</w:t>
            </w:r>
            <w:r>
              <w:rPr>
                <w:rFonts w:hint="eastAsia" w:ascii="方正仿宋_GBK" w:eastAsia="方正仿宋_GBK"/>
                <w:color w:val="000000" w:themeColor="text1"/>
                <w:sz w:val="28"/>
                <w:szCs w:val="28"/>
                <w:lang w:val="en-US" w:eastAsia="zh-CN"/>
                <w14:textFill>
                  <w14:solidFill>
                    <w14:schemeClr w14:val="tx1"/>
                  </w14:solidFill>
                </w14:textFill>
              </w:rPr>
              <w:t>与儿童</w:t>
            </w:r>
          </w:p>
        </w:tc>
        <w:tc>
          <w:tcPr>
            <w:tcW w:w="4960" w:type="dxa"/>
            <w:tcBorders>
              <w:top w:val="single" w:color="000000" w:sz="4" w:space="0"/>
              <w:left w:val="single" w:color="000000" w:sz="4" w:space="0"/>
              <w:bottom w:val="single" w:color="000000" w:sz="4" w:space="0"/>
              <w:right w:val="single" w:color="000000" w:sz="4" w:space="0"/>
            </w:tcBorders>
            <w:vAlign w:val="top"/>
          </w:tcPr>
          <w:p w14:paraId="58CDDC36">
            <w:pPr>
              <w:keepNext w:val="0"/>
              <w:keepLines w:val="0"/>
              <w:pageBreakBefore w:val="0"/>
              <w:numPr>
                <w:ilvl w:val="0"/>
                <w:numId w:val="6"/>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学前教育与儿童发展关系概述</w:t>
            </w:r>
          </w:p>
          <w:p w14:paraId="7CCC21C3">
            <w:pPr>
              <w:keepNext w:val="0"/>
              <w:keepLines w:val="0"/>
              <w:pageBreakBefore w:val="0"/>
              <w:numPr>
                <w:ilvl w:val="0"/>
                <w:numId w:val="6"/>
              </w:numPr>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儿童观的演变与建构</w:t>
            </w:r>
          </w:p>
        </w:tc>
        <w:tc>
          <w:tcPr>
            <w:tcW w:w="5020" w:type="dxa"/>
            <w:tcBorders>
              <w:top w:val="single" w:color="000000" w:sz="4" w:space="0"/>
              <w:left w:val="single" w:color="000000" w:sz="4" w:space="0"/>
              <w:bottom w:val="single" w:color="000000" w:sz="4" w:space="0"/>
              <w:right w:val="single" w:color="000000" w:sz="4" w:space="0"/>
            </w:tcBorders>
            <w:vAlign w:val="top"/>
          </w:tcPr>
          <w:p w14:paraId="75593509">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1.分析学前教育和儿童发展关系的能力2.分析科学儿童观、教育观内涵的能力。</w:t>
            </w:r>
          </w:p>
        </w:tc>
        <w:tc>
          <w:tcPr>
            <w:tcW w:w="1020" w:type="dxa"/>
            <w:tcBorders>
              <w:top w:val="single" w:color="000000" w:sz="4" w:space="0"/>
              <w:left w:val="single" w:color="000000" w:sz="4" w:space="0"/>
              <w:bottom w:val="single" w:color="000000" w:sz="4" w:space="0"/>
              <w:right w:val="single" w:color="000000" w:sz="4" w:space="0"/>
            </w:tcBorders>
            <w:vAlign w:val="top"/>
          </w:tcPr>
          <w:p w14:paraId="63CBAB2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p>
          <w:p w14:paraId="78E08EB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6</w:t>
            </w:r>
          </w:p>
        </w:tc>
      </w:tr>
      <w:tr w14:paraId="5868A03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2BD64F9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3</w:t>
            </w:r>
          </w:p>
        </w:tc>
        <w:tc>
          <w:tcPr>
            <w:tcW w:w="2040" w:type="dxa"/>
            <w:tcBorders>
              <w:top w:val="single" w:color="000000" w:sz="4" w:space="0"/>
              <w:left w:val="single" w:color="000000" w:sz="4" w:space="0"/>
              <w:bottom w:val="single" w:color="000000" w:sz="4" w:space="0"/>
              <w:right w:val="single" w:color="000000" w:sz="4" w:space="0"/>
            </w:tcBorders>
            <w:vAlign w:val="top"/>
          </w:tcPr>
          <w:p w14:paraId="44B956C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第三章学前教育</w:t>
            </w:r>
            <w:r>
              <w:rPr>
                <w:rFonts w:hint="eastAsia" w:ascii="方正仿宋_GBK" w:eastAsia="方正仿宋_GBK"/>
                <w:color w:val="000000" w:themeColor="text1"/>
                <w:sz w:val="28"/>
                <w:szCs w:val="28"/>
                <w:lang w:val="en-US" w:eastAsia="zh-CN"/>
                <w14:textFill>
                  <w14:solidFill>
                    <w14:schemeClr w14:val="tx1"/>
                  </w14:solidFill>
                </w14:textFill>
              </w:rPr>
              <w:t>与社会</w:t>
            </w:r>
          </w:p>
        </w:tc>
        <w:tc>
          <w:tcPr>
            <w:tcW w:w="4960" w:type="dxa"/>
            <w:tcBorders>
              <w:top w:val="single" w:color="000000" w:sz="4" w:space="0"/>
              <w:left w:val="single" w:color="000000" w:sz="4" w:space="0"/>
              <w:bottom w:val="single" w:color="000000" w:sz="4" w:space="0"/>
              <w:right w:val="single" w:color="000000" w:sz="4" w:space="0"/>
            </w:tcBorders>
            <w:vAlign w:val="top"/>
          </w:tcPr>
          <w:p w14:paraId="5824A89E">
            <w:pPr>
              <w:keepNext w:val="0"/>
              <w:keepLines w:val="0"/>
              <w:pageBreakBefore w:val="0"/>
              <w:numPr>
                <w:ilvl w:val="0"/>
                <w:numId w:val="0"/>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1.</w:t>
            </w:r>
            <w:r>
              <w:rPr>
                <w:rFonts w:hint="eastAsia" w:ascii="方正仿宋_GBK" w:eastAsia="方正仿宋_GBK"/>
                <w:color w:val="000000" w:themeColor="text1"/>
                <w:sz w:val="28"/>
                <w:szCs w:val="28"/>
                <w14:textFill>
                  <w14:solidFill>
                    <w14:schemeClr w14:val="tx1"/>
                  </w14:solidFill>
                </w14:textFill>
              </w:rPr>
              <w:t>学前教育</w:t>
            </w:r>
            <w:r>
              <w:rPr>
                <w:rFonts w:hint="eastAsia" w:ascii="方正仿宋_GBK" w:eastAsia="方正仿宋_GBK"/>
                <w:color w:val="000000" w:themeColor="text1"/>
                <w:sz w:val="28"/>
                <w:szCs w:val="28"/>
                <w:lang w:val="en-US" w:eastAsia="zh-CN"/>
                <w14:textFill>
                  <w14:solidFill>
                    <w14:schemeClr w14:val="tx1"/>
                  </w14:solidFill>
                </w14:textFill>
              </w:rPr>
              <w:t>受社会发展的影响和制约</w:t>
            </w:r>
            <w:r>
              <w:rPr>
                <w:rFonts w:hint="eastAsia" w:ascii="方正仿宋_GBK" w:eastAsia="方正仿宋_GBK"/>
                <w:color w:val="000000" w:themeColor="text1"/>
                <w:sz w:val="28"/>
                <w:szCs w:val="28"/>
                <w14:textFill>
                  <w14:solidFill>
                    <w14:schemeClr w14:val="tx1"/>
                  </w14:solidFill>
                </w14:textFill>
              </w:rPr>
              <w:t>；</w:t>
            </w:r>
          </w:p>
          <w:p w14:paraId="4AF05706">
            <w:pPr>
              <w:keepNext w:val="0"/>
              <w:keepLines w:val="0"/>
              <w:pageBreakBefore w:val="0"/>
              <w:numPr>
                <w:ilvl w:val="0"/>
                <w:numId w:val="0"/>
              </w:numPr>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2.学前教育对社会的影响</w:t>
            </w:r>
          </w:p>
        </w:tc>
        <w:tc>
          <w:tcPr>
            <w:tcW w:w="5020" w:type="dxa"/>
            <w:tcBorders>
              <w:top w:val="single" w:color="000000" w:sz="4" w:space="0"/>
              <w:left w:val="single" w:color="000000" w:sz="4" w:space="0"/>
              <w:bottom w:val="single" w:color="000000" w:sz="4" w:space="0"/>
              <w:right w:val="single" w:color="000000" w:sz="4" w:space="0"/>
            </w:tcBorders>
            <w:vAlign w:val="top"/>
          </w:tcPr>
          <w:p w14:paraId="10F709C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分析学前教育与经济关系的能力。</w:t>
            </w:r>
          </w:p>
        </w:tc>
        <w:tc>
          <w:tcPr>
            <w:tcW w:w="1020" w:type="dxa"/>
            <w:tcBorders>
              <w:top w:val="single" w:color="000000" w:sz="4" w:space="0"/>
              <w:left w:val="single" w:color="000000" w:sz="4" w:space="0"/>
              <w:bottom w:val="single" w:color="000000" w:sz="4" w:space="0"/>
              <w:right w:val="single" w:color="000000" w:sz="4" w:space="0"/>
            </w:tcBorders>
            <w:vAlign w:val="top"/>
          </w:tcPr>
          <w:p w14:paraId="7EA45A1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6</w:t>
            </w:r>
          </w:p>
        </w:tc>
      </w:tr>
      <w:tr w14:paraId="316FF38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3CAECFA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4</w:t>
            </w:r>
          </w:p>
        </w:tc>
        <w:tc>
          <w:tcPr>
            <w:tcW w:w="2040" w:type="dxa"/>
            <w:tcBorders>
              <w:top w:val="single" w:color="000000" w:sz="4" w:space="0"/>
              <w:left w:val="single" w:color="000000" w:sz="4" w:space="0"/>
              <w:bottom w:val="single" w:color="000000" w:sz="4" w:space="0"/>
              <w:right w:val="single" w:color="000000" w:sz="4" w:space="0"/>
            </w:tcBorders>
            <w:vAlign w:val="top"/>
          </w:tcPr>
          <w:p w14:paraId="64B412AF">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幼儿园教师</w:t>
            </w:r>
          </w:p>
        </w:tc>
        <w:tc>
          <w:tcPr>
            <w:tcW w:w="4960" w:type="dxa"/>
            <w:tcBorders>
              <w:top w:val="single" w:color="000000" w:sz="4" w:space="0"/>
              <w:left w:val="single" w:color="000000" w:sz="4" w:space="0"/>
              <w:bottom w:val="single" w:color="000000" w:sz="4" w:space="0"/>
              <w:right w:val="single" w:color="000000" w:sz="4" w:space="0"/>
            </w:tcBorders>
            <w:vAlign w:val="top"/>
          </w:tcPr>
          <w:p w14:paraId="7C247022">
            <w:pPr>
              <w:keepNext w:val="0"/>
              <w:keepLines w:val="0"/>
              <w:pageBreakBefore w:val="0"/>
              <w:numPr>
                <w:ilvl w:val="0"/>
                <w:numId w:val="0"/>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1.幼儿园教师概述</w:t>
            </w:r>
            <w:r>
              <w:rPr>
                <w:rFonts w:hint="eastAsia" w:ascii="方正仿宋_GBK" w:eastAsia="方正仿宋_GBK"/>
                <w:color w:val="000000" w:themeColor="text1"/>
                <w:sz w:val="28"/>
                <w:szCs w:val="28"/>
                <w14:textFill>
                  <w14:solidFill>
                    <w14:schemeClr w14:val="tx1"/>
                  </w14:solidFill>
                </w14:textFill>
              </w:rPr>
              <w:t>；</w:t>
            </w:r>
          </w:p>
          <w:p w14:paraId="0BAB8386">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2.幼儿园教师的素质</w:t>
            </w:r>
          </w:p>
        </w:tc>
        <w:tc>
          <w:tcPr>
            <w:tcW w:w="5020" w:type="dxa"/>
            <w:tcBorders>
              <w:top w:val="single" w:color="000000" w:sz="4" w:space="0"/>
              <w:left w:val="single" w:color="000000" w:sz="4" w:space="0"/>
              <w:bottom w:val="single" w:color="000000" w:sz="4" w:space="0"/>
              <w:right w:val="single" w:color="000000" w:sz="4" w:space="0"/>
            </w:tcBorders>
            <w:vAlign w:val="top"/>
          </w:tcPr>
          <w:p w14:paraId="511BB464">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1.分析幼儿园教师的角色、师幼关系的能力2.分析幼儿园教师的职业道德的能力初步具备沟通与合作、反思与发展、激励与评价等专业能力3.初步具备幼儿园教师专业成长的能力。</w:t>
            </w:r>
          </w:p>
        </w:tc>
        <w:tc>
          <w:tcPr>
            <w:tcW w:w="1020" w:type="dxa"/>
            <w:tcBorders>
              <w:top w:val="single" w:color="000000" w:sz="4" w:space="0"/>
              <w:left w:val="single" w:color="000000" w:sz="4" w:space="0"/>
              <w:bottom w:val="single" w:color="000000" w:sz="4" w:space="0"/>
              <w:right w:val="single" w:color="000000" w:sz="4" w:space="0"/>
            </w:tcBorders>
            <w:vAlign w:val="top"/>
          </w:tcPr>
          <w:p w14:paraId="04EC7BB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8</w:t>
            </w:r>
          </w:p>
        </w:tc>
      </w:tr>
      <w:tr w14:paraId="4B6CE73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0D382A2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5</w:t>
            </w:r>
          </w:p>
        </w:tc>
        <w:tc>
          <w:tcPr>
            <w:tcW w:w="2040" w:type="dxa"/>
            <w:tcBorders>
              <w:top w:val="single" w:color="000000" w:sz="4" w:space="0"/>
              <w:left w:val="single" w:color="000000" w:sz="4" w:space="0"/>
              <w:bottom w:val="single" w:color="000000" w:sz="4" w:space="0"/>
              <w:right w:val="single" w:color="000000" w:sz="4" w:space="0"/>
            </w:tcBorders>
            <w:vAlign w:val="top"/>
          </w:tcPr>
          <w:p w14:paraId="38F0D7EC">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幼儿园教育的目的与内容</w:t>
            </w:r>
          </w:p>
        </w:tc>
        <w:tc>
          <w:tcPr>
            <w:tcW w:w="4960" w:type="dxa"/>
            <w:tcBorders>
              <w:top w:val="single" w:color="000000" w:sz="4" w:space="0"/>
              <w:left w:val="single" w:color="000000" w:sz="4" w:space="0"/>
              <w:bottom w:val="single" w:color="000000" w:sz="4" w:space="0"/>
              <w:right w:val="single" w:color="000000" w:sz="4" w:space="0"/>
            </w:tcBorders>
            <w:vAlign w:val="top"/>
          </w:tcPr>
          <w:p w14:paraId="0A7F2DFB">
            <w:pPr>
              <w:keepNext w:val="0"/>
              <w:keepLines w:val="0"/>
              <w:pageBreakBefore w:val="0"/>
              <w:numPr>
                <w:ilvl w:val="0"/>
                <w:numId w:val="0"/>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1.幼儿园教育目的概述</w:t>
            </w:r>
            <w:r>
              <w:rPr>
                <w:rFonts w:hint="eastAsia" w:ascii="方正仿宋_GBK" w:eastAsia="方正仿宋_GBK"/>
                <w:color w:val="000000" w:themeColor="text1"/>
                <w:sz w:val="28"/>
                <w:szCs w:val="28"/>
                <w14:textFill>
                  <w14:solidFill>
                    <w14:schemeClr w14:val="tx1"/>
                  </w14:solidFill>
                </w14:textFill>
              </w:rPr>
              <w:t>；</w:t>
            </w:r>
          </w:p>
          <w:p w14:paraId="0DC52005">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2.幼儿园教育内容</w:t>
            </w:r>
          </w:p>
        </w:tc>
        <w:tc>
          <w:tcPr>
            <w:tcW w:w="5020" w:type="dxa"/>
            <w:tcBorders>
              <w:top w:val="single" w:color="000000" w:sz="4" w:space="0"/>
              <w:left w:val="single" w:color="000000" w:sz="4" w:space="0"/>
              <w:bottom w:val="single" w:color="000000" w:sz="4" w:space="0"/>
              <w:right w:val="single" w:color="000000" w:sz="4" w:space="0"/>
            </w:tcBorders>
            <w:vAlign w:val="top"/>
          </w:tcPr>
          <w:p w14:paraId="18BE5AEA">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1.分析教育目的、幼儿园教育的总目标、幼儿园各领域目标的能力2.分析学前儿童健康、社会、语言、科学、艺术等领域教育基本内容的能力。3.分析学前教育原则、方法的</w:t>
            </w:r>
            <w:r>
              <w:rPr>
                <w:rFonts w:hint="eastAsia" w:ascii="方正仿宋_GBK" w:eastAsia="方正仿宋_GBK"/>
                <w:color w:val="000000" w:themeColor="text1"/>
                <w:sz w:val="28"/>
                <w:szCs w:val="28"/>
                <w:lang w:val="en-US" w:eastAsia="zh-CN"/>
                <w14:textFill>
                  <w14:solidFill>
                    <w14:schemeClr w14:val="tx1"/>
                  </w14:solidFill>
                </w14:textFill>
              </w:rPr>
              <w:t>运用能力。</w:t>
            </w:r>
          </w:p>
        </w:tc>
        <w:tc>
          <w:tcPr>
            <w:tcW w:w="1020" w:type="dxa"/>
            <w:tcBorders>
              <w:top w:val="single" w:color="000000" w:sz="4" w:space="0"/>
              <w:left w:val="single" w:color="000000" w:sz="4" w:space="0"/>
              <w:bottom w:val="single" w:color="000000" w:sz="4" w:space="0"/>
              <w:right w:val="single" w:color="000000" w:sz="4" w:space="0"/>
            </w:tcBorders>
            <w:vAlign w:val="top"/>
          </w:tcPr>
          <w:p w14:paraId="72EAD23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6</w:t>
            </w:r>
          </w:p>
        </w:tc>
      </w:tr>
      <w:tr w14:paraId="74FAC98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74CAD16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6</w:t>
            </w:r>
          </w:p>
        </w:tc>
        <w:tc>
          <w:tcPr>
            <w:tcW w:w="2040" w:type="dxa"/>
            <w:tcBorders>
              <w:top w:val="single" w:color="000000" w:sz="4" w:space="0"/>
              <w:left w:val="single" w:color="000000" w:sz="4" w:space="0"/>
              <w:bottom w:val="single" w:color="000000" w:sz="4" w:space="0"/>
              <w:right w:val="single" w:color="000000" w:sz="4" w:space="0"/>
            </w:tcBorders>
            <w:vAlign w:val="top"/>
          </w:tcPr>
          <w:p w14:paraId="72FBFC47">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幼儿园生活活动</w:t>
            </w:r>
          </w:p>
        </w:tc>
        <w:tc>
          <w:tcPr>
            <w:tcW w:w="4960" w:type="dxa"/>
            <w:tcBorders>
              <w:top w:val="single" w:color="000000" w:sz="4" w:space="0"/>
              <w:left w:val="single" w:color="000000" w:sz="4" w:space="0"/>
              <w:bottom w:val="single" w:color="000000" w:sz="4" w:space="0"/>
              <w:right w:val="single" w:color="000000" w:sz="4" w:space="0"/>
            </w:tcBorders>
            <w:vAlign w:val="top"/>
          </w:tcPr>
          <w:p w14:paraId="0211A052">
            <w:pPr>
              <w:keepNext w:val="0"/>
              <w:keepLines w:val="0"/>
              <w:pageBreakBefore w:val="0"/>
              <w:numPr>
                <w:ilvl w:val="0"/>
                <w:numId w:val="7"/>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幼儿园生活活动的概述；</w:t>
            </w:r>
          </w:p>
          <w:p w14:paraId="3CBFC555">
            <w:pPr>
              <w:keepNext w:val="0"/>
              <w:keepLines w:val="0"/>
              <w:pageBreakBefore w:val="0"/>
              <w:numPr>
                <w:ilvl w:val="0"/>
                <w:numId w:val="7"/>
              </w:numPr>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幼儿园生活活动的组织与指导</w:t>
            </w:r>
          </w:p>
        </w:tc>
        <w:tc>
          <w:tcPr>
            <w:tcW w:w="5020" w:type="dxa"/>
            <w:tcBorders>
              <w:top w:val="single" w:color="000000" w:sz="4" w:space="0"/>
              <w:left w:val="single" w:color="000000" w:sz="4" w:space="0"/>
              <w:bottom w:val="single" w:color="000000" w:sz="4" w:space="0"/>
              <w:right w:val="single" w:color="000000" w:sz="4" w:space="0"/>
            </w:tcBorders>
            <w:vAlign w:val="top"/>
          </w:tcPr>
          <w:p w14:paraId="344D210E">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lang w:eastAsia="zh-CN"/>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1.初步具备生活环节指导和常规培养的能力</w:t>
            </w:r>
            <w:r>
              <w:rPr>
                <w:rFonts w:hint="eastAsia" w:ascii="方正仿宋_GBK" w:eastAsia="方正仿宋_GBK"/>
                <w:color w:val="000000" w:themeColor="text1"/>
                <w:sz w:val="28"/>
                <w:szCs w:val="28"/>
                <w:lang w:eastAsia="zh-CN"/>
                <w14:textFill>
                  <w14:solidFill>
                    <w14:schemeClr w14:val="tx1"/>
                  </w14:solidFill>
                </w14:textFill>
              </w:rPr>
              <w:t>。</w:t>
            </w:r>
          </w:p>
        </w:tc>
        <w:tc>
          <w:tcPr>
            <w:tcW w:w="1020" w:type="dxa"/>
            <w:tcBorders>
              <w:top w:val="single" w:color="000000" w:sz="4" w:space="0"/>
              <w:left w:val="single" w:color="000000" w:sz="4" w:space="0"/>
              <w:bottom w:val="single" w:color="000000" w:sz="4" w:space="0"/>
              <w:right w:val="single" w:color="000000" w:sz="4" w:space="0"/>
            </w:tcBorders>
            <w:vAlign w:val="top"/>
          </w:tcPr>
          <w:p w14:paraId="749FB26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6</w:t>
            </w:r>
          </w:p>
        </w:tc>
      </w:tr>
      <w:tr w14:paraId="7B3D4EB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2BEC166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7</w:t>
            </w:r>
          </w:p>
        </w:tc>
        <w:tc>
          <w:tcPr>
            <w:tcW w:w="2040" w:type="dxa"/>
            <w:tcBorders>
              <w:top w:val="single" w:color="000000" w:sz="4" w:space="0"/>
              <w:left w:val="single" w:color="000000" w:sz="4" w:space="0"/>
              <w:bottom w:val="single" w:color="000000" w:sz="4" w:space="0"/>
              <w:right w:val="single" w:color="000000" w:sz="4" w:space="0"/>
            </w:tcBorders>
            <w:vAlign w:val="top"/>
          </w:tcPr>
          <w:p w14:paraId="6C198305">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幼儿园教学活动</w:t>
            </w:r>
          </w:p>
        </w:tc>
        <w:tc>
          <w:tcPr>
            <w:tcW w:w="4960" w:type="dxa"/>
            <w:tcBorders>
              <w:top w:val="single" w:color="000000" w:sz="4" w:space="0"/>
              <w:left w:val="single" w:color="000000" w:sz="4" w:space="0"/>
              <w:bottom w:val="single" w:color="000000" w:sz="4" w:space="0"/>
              <w:right w:val="single" w:color="000000" w:sz="4" w:space="0"/>
            </w:tcBorders>
            <w:vAlign w:val="top"/>
          </w:tcPr>
          <w:p w14:paraId="4F5D8B7C">
            <w:pPr>
              <w:keepNext w:val="0"/>
              <w:keepLines w:val="0"/>
              <w:pageBreakBefore w:val="0"/>
              <w:numPr>
                <w:ilvl w:val="0"/>
                <w:numId w:val="8"/>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幼儿园教学活动概述；</w:t>
            </w:r>
          </w:p>
          <w:p w14:paraId="393D8B1B">
            <w:pPr>
              <w:keepNext w:val="0"/>
              <w:keepLines w:val="0"/>
              <w:pageBreakBefore w:val="0"/>
              <w:numPr>
                <w:ilvl w:val="0"/>
                <w:numId w:val="8"/>
              </w:numPr>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幼儿园教学活动的指导</w:t>
            </w:r>
          </w:p>
        </w:tc>
        <w:tc>
          <w:tcPr>
            <w:tcW w:w="5020" w:type="dxa"/>
            <w:tcBorders>
              <w:top w:val="single" w:color="000000" w:sz="4" w:space="0"/>
              <w:left w:val="single" w:color="000000" w:sz="4" w:space="0"/>
              <w:bottom w:val="single" w:color="000000" w:sz="4" w:space="0"/>
              <w:right w:val="single" w:color="000000" w:sz="4" w:space="0"/>
            </w:tcBorders>
            <w:vAlign w:val="top"/>
          </w:tcPr>
          <w:p w14:paraId="1150763B">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1.</w:t>
            </w:r>
            <w:r>
              <w:rPr>
                <w:rFonts w:hint="eastAsia" w:ascii="方正仿宋_GBK" w:eastAsia="方正仿宋_GBK"/>
                <w:color w:val="000000" w:themeColor="text1"/>
                <w:sz w:val="28"/>
                <w:szCs w:val="28"/>
                <w14:textFill>
                  <w14:solidFill>
                    <w14:schemeClr w14:val="tx1"/>
                  </w14:solidFill>
                </w14:textFill>
              </w:rPr>
              <w:t>初步具备教学设计的能力</w:t>
            </w:r>
            <w:r>
              <w:rPr>
                <w:rFonts w:hint="eastAsia" w:ascii="方正仿宋_GBK" w:eastAsia="方正仿宋_GBK"/>
                <w:color w:val="000000" w:themeColor="text1"/>
                <w:sz w:val="28"/>
                <w:szCs w:val="28"/>
                <w:lang w:eastAsia="zh-CN"/>
                <w14:textFill>
                  <w14:solidFill>
                    <w14:schemeClr w14:val="tx1"/>
                  </w14:solidFill>
                </w14:textFill>
              </w:rPr>
              <w:t>。</w:t>
            </w:r>
          </w:p>
        </w:tc>
        <w:tc>
          <w:tcPr>
            <w:tcW w:w="1020" w:type="dxa"/>
            <w:tcBorders>
              <w:top w:val="single" w:color="000000" w:sz="4" w:space="0"/>
              <w:left w:val="single" w:color="000000" w:sz="4" w:space="0"/>
              <w:bottom w:val="single" w:color="000000" w:sz="4" w:space="0"/>
              <w:right w:val="single" w:color="000000" w:sz="4" w:space="0"/>
            </w:tcBorders>
            <w:vAlign w:val="top"/>
          </w:tcPr>
          <w:p w14:paraId="4FD886B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8</w:t>
            </w:r>
            <w:bookmarkStart w:id="0" w:name="_GoBack"/>
            <w:bookmarkEnd w:id="0"/>
          </w:p>
        </w:tc>
      </w:tr>
      <w:tr w14:paraId="0EB4EBC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61E74E0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8</w:t>
            </w:r>
          </w:p>
        </w:tc>
        <w:tc>
          <w:tcPr>
            <w:tcW w:w="2040" w:type="dxa"/>
            <w:tcBorders>
              <w:top w:val="single" w:color="000000" w:sz="4" w:space="0"/>
              <w:left w:val="single" w:color="000000" w:sz="4" w:space="0"/>
              <w:bottom w:val="single" w:color="000000" w:sz="4" w:space="0"/>
              <w:right w:val="single" w:color="000000" w:sz="4" w:space="0"/>
            </w:tcBorders>
            <w:vAlign w:val="top"/>
          </w:tcPr>
          <w:p w14:paraId="37F15699">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幼儿园游戏</w:t>
            </w:r>
          </w:p>
        </w:tc>
        <w:tc>
          <w:tcPr>
            <w:tcW w:w="4960" w:type="dxa"/>
            <w:tcBorders>
              <w:top w:val="single" w:color="000000" w:sz="4" w:space="0"/>
              <w:left w:val="single" w:color="000000" w:sz="4" w:space="0"/>
              <w:bottom w:val="single" w:color="000000" w:sz="4" w:space="0"/>
              <w:right w:val="single" w:color="000000" w:sz="4" w:space="0"/>
            </w:tcBorders>
            <w:vAlign w:val="top"/>
          </w:tcPr>
          <w:p w14:paraId="741D006B">
            <w:pPr>
              <w:keepNext w:val="0"/>
              <w:keepLines w:val="0"/>
              <w:pageBreakBefore w:val="0"/>
              <w:numPr>
                <w:ilvl w:val="0"/>
                <w:numId w:val="9"/>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游戏概述；</w:t>
            </w:r>
          </w:p>
          <w:p w14:paraId="5659696A">
            <w:pPr>
              <w:keepNext w:val="0"/>
              <w:keepLines w:val="0"/>
              <w:pageBreakBefore w:val="0"/>
              <w:numPr>
                <w:ilvl w:val="0"/>
                <w:numId w:val="9"/>
              </w:numPr>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幼儿园游戏的指导</w:t>
            </w:r>
          </w:p>
        </w:tc>
        <w:tc>
          <w:tcPr>
            <w:tcW w:w="5020" w:type="dxa"/>
            <w:tcBorders>
              <w:top w:val="single" w:color="000000" w:sz="4" w:space="0"/>
              <w:left w:val="single" w:color="000000" w:sz="4" w:space="0"/>
              <w:bottom w:val="single" w:color="000000" w:sz="4" w:space="0"/>
              <w:right w:val="single" w:color="000000" w:sz="4" w:space="0"/>
            </w:tcBorders>
            <w:vAlign w:val="top"/>
          </w:tcPr>
          <w:p w14:paraId="2CD7606E">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1.</w:t>
            </w:r>
            <w:r>
              <w:rPr>
                <w:rFonts w:hint="eastAsia" w:ascii="方正仿宋_GBK" w:eastAsia="方正仿宋_GBK"/>
                <w:color w:val="000000" w:themeColor="text1"/>
                <w:sz w:val="28"/>
                <w:szCs w:val="28"/>
                <w14:textFill>
                  <w14:solidFill>
                    <w14:schemeClr w14:val="tx1"/>
                  </w14:solidFill>
                </w14:textFill>
              </w:rPr>
              <w:t>初步具备</w:t>
            </w:r>
            <w:r>
              <w:rPr>
                <w:rFonts w:hint="eastAsia" w:ascii="方正仿宋_GBK" w:eastAsia="方正仿宋_GBK"/>
                <w:color w:val="000000" w:themeColor="text1"/>
                <w:sz w:val="28"/>
                <w:szCs w:val="28"/>
                <w:lang w:val="en-US" w:eastAsia="zh-CN"/>
                <w14:textFill>
                  <w14:solidFill>
                    <w14:schemeClr w14:val="tx1"/>
                  </w14:solidFill>
                </w14:textFill>
              </w:rPr>
              <w:t>游戏</w:t>
            </w:r>
            <w:r>
              <w:rPr>
                <w:rFonts w:hint="eastAsia" w:ascii="方正仿宋_GBK" w:eastAsia="方正仿宋_GBK"/>
                <w:color w:val="000000" w:themeColor="text1"/>
                <w:sz w:val="28"/>
                <w:szCs w:val="28"/>
                <w14:textFill>
                  <w14:solidFill>
                    <w14:schemeClr w14:val="tx1"/>
                  </w14:solidFill>
                </w14:textFill>
              </w:rPr>
              <w:t>设计</w:t>
            </w:r>
            <w:r>
              <w:rPr>
                <w:rFonts w:hint="eastAsia" w:ascii="方正仿宋_GBK" w:eastAsia="方正仿宋_GBK"/>
                <w:color w:val="000000" w:themeColor="text1"/>
                <w:sz w:val="28"/>
                <w:szCs w:val="28"/>
                <w:lang w:val="en-US" w:eastAsia="zh-CN"/>
                <w14:textFill>
                  <w14:solidFill>
                    <w14:schemeClr w14:val="tx1"/>
                  </w14:solidFill>
                </w14:textFill>
              </w:rPr>
              <w:t>指导</w:t>
            </w:r>
            <w:r>
              <w:rPr>
                <w:rFonts w:hint="eastAsia" w:ascii="方正仿宋_GBK" w:eastAsia="方正仿宋_GBK"/>
                <w:color w:val="000000" w:themeColor="text1"/>
                <w:sz w:val="28"/>
                <w:szCs w:val="28"/>
                <w14:textFill>
                  <w14:solidFill>
                    <w14:schemeClr w14:val="tx1"/>
                  </w14:solidFill>
                </w14:textFill>
              </w:rPr>
              <w:t>的能力</w:t>
            </w:r>
            <w:r>
              <w:rPr>
                <w:rFonts w:hint="eastAsia" w:ascii="方正仿宋_GBK" w:eastAsia="方正仿宋_GBK"/>
                <w:color w:val="000000" w:themeColor="text1"/>
                <w:sz w:val="28"/>
                <w:szCs w:val="28"/>
                <w:lang w:eastAsia="zh-CN"/>
                <w14:textFill>
                  <w14:solidFill>
                    <w14:schemeClr w14:val="tx1"/>
                  </w14:solidFill>
                </w14:textFill>
              </w:rPr>
              <w:t>。</w:t>
            </w:r>
          </w:p>
        </w:tc>
        <w:tc>
          <w:tcPr>
            <w:tcW w:w="1020" w:type="dxa"/>
            <w:tcBorders>
              <w:top w:val="single" w:color="000000" w:sz="4" w:space="0"/>
              <w:left w:val="single" w:color="000000" w:sz="4" w:space="0"/>
              <w:bottom w:val="single" w:color="000000" w:sz="4" w:space="0"/>
              <w:right w:val="single" w:color="000000" w:sz="4" w:space="0"/>
            </w:tcBorders>
            <w:vAlign w:val="top"/>
          </w:tcPr>
          <w:p w14:paraId="2813E5C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6</w:t>
            </w:r>
          </w:p>
        </w:tc>
      </w:tr>
      <w:tr w14:paraId="1D6ACF5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0F0DDD7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9</w:t>
            </w:r>
          </w:p>
        </w:tc>
        <w:tc>
          <w:tcPr>
            <w:tcW w:w="2040" w:type="dxa"/>
            <w:tcBorders>
              <w:top w:val="single" w:color="000000" w:sz="4" w:space="0"/>
              <w:left w:val="single" w:color="000000" w:sz="4" w:space="0"/>
              <w:bottom w:val="single" w:color="000000" w:sz="4" w:space="0"/>
              <w:right w:val="single" w:color="000000" w:sz="4" w:space="0"/>
            </w:tcBorders>
            <w:vAlign w:val="top"/>
          </w:tcPr>
          <w:p w14:paraId="17D8DACF">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幼儿园环境</w:t>
            </w:r>
          </w:p>
        </w:tc>
        <w:tc>
          <w:tcPr>
            <w:tcW w:w="4960" w:type="dxa"/>
            <w:tcBorders>
              <w:top w:val="single" w:color="000000" w:sz="4" w:space="0"/>
              <w:left w:val="single" w:color="000000" w:sz="4" w:space="0"/>
              <w:bottom w:val="single" w:color="000000" w:sz="4" w:space="0"/>
              <w:right w:val="single" w:color="000000" w:sz="4" w:space="0"/>
            </w:tcBorders>
            <w:vAlign w:val="top"/>
          </w:tcPr>
          <w:p w14:paraId="77157BC2">
            <w:pPr>
              <w:keepNext w:val="0"/>
              <w:keepLines w:val="0"/>
              <w:pageBreakBefore w:val="0"/>
              <w:numPr>
                <w:ilvl w:val="0"/>
                <w:numId w:val="10"/>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幼儿园环境；</w:t>
            </w:r>
          </w:p>
          <w:p w14:paraId="0AC24A7D">
            <w:pPr>
              <w:keepNext w:val="0"/>
              <w:keepLines w:val="0"/>
              <w:pageBreakBefore w:val="0"/>
              <w:numPr>
                <w:ilvl w:val="0"/>
                <w:numId w:val="10"/>
              </w:numPr>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幼儿园环境创设</w:t>
            </w:r>
          </w:p>
        </w:tc>
        <w:tc>
          <w:tcPr>
            <w:tcW w:w="5020" w:type="dxa"/>
            <w:tcBorders>
              <w:top w:val="single" w:color="000000" w:sz="4" w:space="0"/>
              <w:left w:val="single" w:color="000000" w:sz="4" w:space="0"/>
              <w:bottom w:val="single" w:color="000000" w:sz="4" w:space="0"/>
              <w:right w:val="single" w:color="000000" w:sz="4" w:space="0"/>
            </w:tcBorders>
            <w:vAlign w:val="top"/>
          </w:tcPr>
          <w:p w14:paraId="3DCC72B6">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1.初步</w:t>
            </w:r>
            <w:r>
              <w:rPr>
                <w:rFonts w:hint="eastAsia" w:ascii="方正仿宋_GBK" w:eastAsia="方正仿宋_GBK"/>
                <w:color w:val="000000" w:themeColor="text1"/>
                <w:sz w:val="28"/>
                <w:szCs w:val="28"/>
                <w:lang w:val="en-US" w:eastAsia="zh-CN"/>
                <w14:textFill>
                  <w14:solidFill>
                    <w14:schemeClr w14:val="tx1"/>
                  </w14:solidFill>
                </w14:textFill>
              </w:rPr>
              <w:t>具备布置</w:t>
            </w:r>
            <w:r>
              <w:rPr>
                <w:rFonts w:hint="eastAsia" w:ascii="方正仿宋_GBK" w:eastAsia="方正仿宋_GBK"/>
                <w:color w:val="000000" w:themeColor="text1"/>
                <w:sz w:val="28"/>
                <w:szCs w:val="28"/>
                <w14:textFill>
                  <w14:solidFill>
                    <w14:schemeClr w14:val="tx1"/>
                  </w14:solidFill>
                </w14:textFill>
              </w:rPr>
              <w:t>幼儿园室内外环境的能力2.创设幼儿园精神环境的能力</w:t>
            </w:r>
          </w:p>
        </w:tc>
        <w:tc>
          <w:tcPr>
            <w:tcW w:w="1020" w:type="dxa"/>
            <w:tcBorders>
              <w:top w:val="single" w:color="000000" w:sz="4" w:space="0"/>
              <w:left w:val="single" w:color="000000" w:sz="4" w:space="0"/>
              <w:bottom w:val="single" w:color="000000" w:sz="4" w:space="0"/>
              <w:right w:val="single" w:color="000000" w:sz="4" w:space="0"/>
            </w:tcBorders>
            <w:vAlign w:val="top"/>
          </w:tcPr>
          <w:p w14:paraId="0B51D29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6</w:t>
            </w:r>
          </w:p>
        </w:tc>
      </w:tr>
      <w:tr w14:paraId="15C97B5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3D2620E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10</w:t>
            </w:r>
          </w:p>
        </w:tc>
        <w:tc>
          <w:tcPr>
            <w:tcW w:w="2040" w:type="dxa"/>
            <w:tcBorders>
              <w:top w:val="single" w:color="000000" w:sz="4" w:space="0"/>
              <w:left w:val="single" w:color="000000" w:sz="4" w:space="0"/>
              <w:bottom w:val="single" w:color="000000" w:sz="4" w:space="0"/>
              <w:right w:val="single" w:color="000000" w:sz="4" w:space="0"/>
            </w:tcBorders>
            <w:vAlign w:val="top"/>
          </w:tcPr>
          <w:p w14:paraId="13161EF3">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幼儿园与家庭及社区的合作</w:t>
            </w:r>
          </w:p>
        </w:tc>
        <w:tc>
          <w:tcPr>
            <w:tcW w:w="4960" w:type="dxa"/>
            <w:tcBorders>
              <w:top w:val="single" w:color="000000" w:sz="4" w:space="0"/>
              <w:left w:val="single" w:color="000000" w:sz="4" w:space="0"/>
              <w:bottom w:val="single" w:color="000000" w:sz="4" w:space="0"/>
              <w:right w:val="single" w:color="000000" w:sz="4" w:space="0"/>
            </w:tcBorders>
            <w:vAlign w:val="top"/>
          </w:tcPr>
          <w:p w14:paraId="636E94D4">
            <w:pPr>
              <w:keepNext w:val="0"/>
              <w:keepLines w:val="0"/>
              <w:pageBreakBefore w:val="0"/>
              <w:numPr>
                <w:ilvl w:val="0"/>
                <w:numId w:val="11"/>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幼儿园与家庭的合作；</w:t>
            </w:r>
          </w:p>
          <w:p w14:paraId="33C04B4A">
            <w:pPr>
              <w:keepNext w:val="0"/>
              <w:keepLines w:val="0"/>
              <w:pageBreakBefore w:val="0"/>
              <w:numPr>
                <w:ilvl w:val="0"/>
                <w:numId w:val="11"/>
              </w:numPr>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幼儿园与社区的合作</w:t>
            </w:r>
          </w:p>
        </w:tc>
        <w:tc>
          <w:tcPr>
            <w:tcW w:w="5020" w:type="dxa"/>
            <w:tcBorders>
              <w:top w:val="single" w:color="000000" w:sz="4" w:space="0"/>
              <w:left w:val="single" w:color="000000" w:sz="4" w:space="0"/>
              <w:bottom w:val="single" w:color="000000" w:sz="4" w:space="0"/>
              <w:right w:val="single" w:color="000000" w:sz="4" w:space="0"/>
            </w:tcBorders>
            <w:vAlign w:val="top"/>
          </w:tcPr>
          <w:p w14:paraId="3C3B8611">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14:textFill>
                  <w14:solidFill>
                    <w14:schemeClr w14:val="tx1"/>
                  </w14:solidFill>
                </w14:textFill>
              </w:rPr>
              <w:t>1.做家长工作的能力</w:t>
            </w:r>
            <w:r>
              <w:rPr>
                <w:rFonts w:hint="eastAsia" w:ascii="方正仿宋_GBK" w:eastAsia="方正仿宋_GBK"/>
                <w:color w:val="000000" w:themeColor="text1"/>
                <w:sz w:val="28"/>
                <w:szCs w:val="28"/>
                <w:lang w:val="en-US" w:eastAsia="zh-CN"/>
                <w14:textFill>
                  <w14:solidFill>
                    <w14:schemeClr w14:val="tx1"/>
                  </w14:solidFill>
                </w14:textFill>
              </w:rPr>
              <w:t>2</w:t>
            </w:r>
            <w:r>
              <w:rPr>
                <w:rFonts w:hint="eastAsia" w:ascii="方正仿宋_GBK" w:eastAsia="方正仿宋_GBK"/>
                <w:color w:val="000000" w:themeColor="text1"/>
                <w:sz w:val="28"/>
                <w:szCs w:val="28"/>
                <w14:textFill>
                  <w14:solidFill>
                    <w14:schemeClr w14:val="tx1"/>
                  </w14:solidFill>
                </w14:textFill>
              </w:rPr>
              <w:t>.和社区沟通合作的能力。</w:t>
            </w:r>
          </w:p>
        </w:tc>
        <w:tc>
          <w:tcPr>
            <w:tcW w:w="1020" w:type="dxa"/>
            <w:tcBorders>
              <w:top w:val="single" w:color="000000" w:sz="4" w:space="0"/>
              <w:left w:val="single" w:color="000000" w:sz="4" w:space="0"/>
              <w:bottom w:val="single" w:color="000000" w:sz="4" w:space="0"/>
              <w:right w:val="single" w:color="000000" w:sz="4" w:space="0"/>
            </w:tcBorders>
            <w:vAlign w:val="top"/>
          </w:tcPr>
          <w:p w14:paraId="6FB13A0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6</w:t>
            </w:r>
          </w:p>
        </w:tc>
      </w:tr>
      <w:tr w14:paraId="7A79DD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 w:type="dxa"/>
            <w:bottom w:w="0" w:type="dxa"/>
            <w:right w:w="10" w:type="dxa"/>
          </w:tblCellMar>
        </w:tblPrEx>
        <w:trPr>
          <w:trHeight w:val="1200" w:hRule="atLeast"/>
        </w:trPr>
        <w:tc>
          <w:tcPr>
            <w:tcW w:w="1060" w:type="dxa"/>
            <w:tcBorders>
              <w:top w:val="single" w:color="000000" w:sz="4" w:space="0"/>
              <w:left w:val="single" w:color="000000" w:sz="4" w:space="0"/>
              <w:bottom w:val="single" w:color="000000" w:sz="4" w:space="0"/>
              <w:right w:val="single" w:color="000000" w:sz="4" w:space="0"/>
            </w:tcBorders>
            <w:vAlign w:val="top"/>
          </w:tcPr>
          <w:p w14:paraId="6DB27B5E">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11</w:t>
            </w:r>
          </w:p>
        </w:tc>
        <w:tc>
          <w:tcPr>
            <w:tcW w:w="2040" w:type="dxa"/>
            <w:tcBorders>
              <w:top w:val="single" w:color="000000" w:sz="4" w:space="0"/>
              <w:left w:val="single" w:color="000000" w:sz="4" w:space="0"/>
              <w:bottom w:val="single" w:color="000000" w:sz="4" w:space="0"/>
              <w:right w:val="single" w:color="000000" w:sz="4" w:space="0"/>
            </w:tcBorders>
            <w:vAlign w:val="top"/>
          </w:tcPr>
          <w:p w14:paraId="1AA509E0">
            <w:pPr>
              <w:keepNext w:val="0"/>
              <w:keepLines w:val="0"/>
              <w:pageBreakBefore w:val="0"/>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幼小衔接</w:t>
            </w:r>
          </w:p>
        </w:tc>
        <w:tc>
          <w:tcPr>
            <w:tcW w:w="4960" w:type="dxa"/>
            <w:tcBorders>
              <w:top w:val="single" w:color="000000" w:sz="4" w:space="0"/>
              <w:left w:val="single" w:color="000000" w:sz="4" w:space="0"/>
              <w:bottom w:val="single" w:color="000000" w:sz="4" w:space="0"/>
              <w:right w:val="single" w:color="000000" w:sz="4" w:space="0"/>
            </w:tcBorders>
            <w:vAlign w:val="top"/>
          </w:tcPr>
          <w:p w14:paraId="131D4381">
            <w:pPr>
              <w:keepNext w:val="0"/>
              <w:keepLines w:val="0"/>
              <w:pageBreakBefore w:val="0"/>
              <w:numPr>
                <w:ilvl w:val="0"/>
                <w:numId w:val="12"/>
              </w:numPr>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幼小衔接概述；</w:t>
            </w:r>
          </w:p>
          <w:p w14:paraId="60169ABA">
            <w:pPr>
              <w:keepNext w:val="0"/>
              <w:keepLines w:val="0"/>
              <w:pageBreakBefore w:val="0"/>
              <w:numPr>
                <w:ilvl w:val="0"/>
                <w:numId w:val="12"/>
              </w:numPr>
              <w:kinsoku/>
              <w:wordWrap/>
              <w:overflowPunct/>
              <w:autoSpaceDE/>
              <w:autoSpaceDN/>
              <w:bidi w:val="0"/>
              <w:spacing w:before="156" w:beforeLines="50" w:line="440" w:lineRule="exact"/>
              <w:ind w:right="0" w:rightChars="0"/>
              <w:textAlignment w:val="auto"/>
              <w:rPr>
                <w:rFonts w:hint="default"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幼小衔接的策略</w:t>
            </w:r>
          </w:p>
        </w:tc>
        <w:tc>
          <w:tcPr>
            <w:tcW w:w="5020" w:type="dxa"/>
            <w:tcBorders>
              <w:top w:val="single" w:color="000000" w:sz="4" w:space="0"/>
              <w:left w:val="single" w:color="000000" w:sz="4" w:space="0"/>
              <w:bottom w:val="single" w:color="000000" w:sz="4" w:space="0"/>
              <w:right w:val="single" w:color="000000" w:sz="4" w:space="0"/>
            </w:tcBorders>
            <w:vAlign w:val="top"/>
          </w:tcPr>
          <w:p w14:paraId="279006DB">
            <w:pPr>
              <w:keepNext w:val="0"/>
              <w:keepLines w:val="0"/>
              <w:pageBreakBefore w:val="0"/>
              <w:kinsoku/>
              <w:wordWrap/>
              <w:overflowPunct/>
              <w:autoSpaceDE/>
              <w:autoSpaceDN/>
              <w:bidi w:val="0"/>
              <w:spacing w:before="156" w:beforeLines="50" w:line="440" w:lineRule="exact"/>
              <w:ind w:right="0" w:rightChars="0"/>
              <w:textAlignment w:val="auto"/>
              <w:rPr>
                <w:rFonts w:hint="eastAsia" w:ascii="方正仿宋_GBK" w:eastAsia="方正仿宋_GBK"/>
                <w:color w:val="000000" w:themeColor="text1"/>
                <w:sz w:val="28"/>
                <w:szCs w:val="28"/>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1</w:t>
            </w:r>
            <w:r>
              <w:rPr>
                <w:rFonts w:hint="eastAsia" w:ascii="方正仿宋_GBK" w:eastAsia="方正仿宋_GBK"/>
                <w:color w:val="000000" w:themeColor="text1"/>
                <w:sz w:val="28"/>
                <w:szCs w:val="28"/>
                <w14:textFill>
                  <w14:solidFill>
                    <w14:schemeClr w14:val="tx1"/>
                  </w14:solidFill>
                </w14:textFill>
              </w:rPr>
              <w:t>.组织幼小衔接的能力</w:t>
            </w:r>
          </w:p>
        </w:tc>
        <w:tc>
          <w:tcPr>
            <w:tcW w:w="1020" w:type="dxa"/>
            <w:tcBorders>
              <w:top w:val="single" w:color="000000" w:sz="4" w:space="0"/>
              <w:left w:val="single" w:color="000000" w:sz="4" w:space="0"/>
              <w:bottom w:val="single" w:color="000000" w:sz="4" w:space="0"/>
              <w:right w:val="single" w:color="000000" w:sz="4" w:space="0"/>
            </w:tcBorders>
            <w:vAlign w:val="top"/>
          </w:tcPr>
          <w:p w14:paraId="2B99F6E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方正仿宋_GBK" w:eastAsia="方正仿宋_GBK"/>
                <w:color w:val="000000" w:themeColor="text1"/>
                <w:sz w:val="28"/>
                <w:szCs w:val="28"/>
                <w:lang w:val="en-US" w:eastAsia="zh-CN"/>
                <w14:textFill>
                  <w14:solidFill>
                    <w14:schemeClr w14:val="tx1"/>
                  </w14:solidFill>
                </w14:textFill>
              </w:rPr>
            </w:pPr>
            <w:r>
              <w:rPr>
                <w:rFonts w:hint="eastAsia" w:ascii="方正仿宋_GBK" w:eastAsia="方正仿宋_GBK"/>
                <w:color w:val="000000" w:themeColor="text1"/>
                <w:sz w:val="28"/>
                <w:szCs w:val="28"/>
                <w:lang w:val="en-US" w:eastAsia="zh-CN"/>
                <w14:textFill>
                  <w14:solidFill>
                    <w14:schemeClr w14:val="tx1"/>
                  </w14:solidFill>
                </w14:textFill>
              </w:rPr>
              <w:t>6</w:t>
            </w:r>
          </w:p>
        </w:tc>
      </w:tr>
    </w:tbl>
    <w:p w14:paraId="074171B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方正黑体简体" w:hAnsi="方正黑体简体" w:eastAsia="方正黑体简体" w:cs="方正黑体简体"/>
          <w:b w:val="0"/>
          <w:bCs w:val="0"/>
          <w:sz w:val="32"/>
          <w:szCs w:val="32"/>
          <w:lang w:val="en-US" w:eastAsia="zh-CN"/>
        </w:rPr>
      </w:pPr>
    </w:p>
    <w:p w14:paraId="035A446A">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教学实施的建议</w:t>
      </w:r>
    </w:p>
    <w:p w14:paraId="19E2A62F">
      <w:pPr>
        <w:keepNext w:val="0"/>
        <w:keepLines w:val="0"/>
        <w:pageBreakBefore w:val="0"/>
        <w:widowControl w:val="0"/>
        <w:numPr>
          <w:ilvl w:val="0"/>
          <w:numId w:val="13"/>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教材选用和编写建议</w:t>
      </w:r>
    </w:p>
    <w:p w14:paraId="15DDC886">
      <w:pPr>
        <w:keepNext w:val="0"/>
        <w:keepLines w:val="0"/>
        <w:pageBreakBefore w:val="0"/>
        <w:widowControl w:val="0"/>
        <w:numPr>
          <w:ilvl w:val="0"/>
          <w:numId w:val="1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教材选用。</w:t>
      </w:r>
    </w:p>
    <w:p w14:paraId="5D187012">
      <w:pPr>
        <w:pStyle w:val="4"/>
        <w:spacing w:before="0" w:beforeAutospacing="0" w:after="0" w:afterAutospacing="0" w:line="360" w:lineRule="auto"/>
        <w:ind w:firstLine="800" w:firstLineChars="250"/>
        <w:jc w:val="both"/>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教材选用朱宗顺、陈文华主编：《学前教育学》（第2版），北京师范大学出版社，2019年版。同时，参考和选择相关的案例及教材的优势，并且结合幼儿教师资格证考试的相关习题进行讲解。</w:t>
      </w:r>
    </w:p>
    <w:p w14:paraId="77815559">
      <w:pPr>
        <w:keepNext w:val="0"/>
        <w:keepLines w:val="0"/>
        <w:pageBreakBefore w:val="0"/>
        <w:widowControl w:val="0"/>
        <w:numPr>
          <w:ilvl w:val="0"/>
          <w:numId w:val="1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教材编写原则与要求。</w:t>
      </w:r>
    </w:p>
    <w:p w14:paraId="6C58DA2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（1）本《标准》是编写教材的基本依据。教材编写者需充分领会和掌握《标准》的基本理念、课程目标、教学内容和要求，充分体现任务引领、实践导向的课程设计思想。 </w:t>
      </w:r>
    </w:p>
    <w:p w14:paraId="631E458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教材要根据学前教育专业学生在工作方面的知识需求，设置全面合理够用的课程内容，课程要增强学生的感性认识，提高学习兴趣。 </w:t>
      </w:r>
    </w:p>
    <w:p w14:paraId="346BA3C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教材应以学生对知识需求为本，理论知识以够用为原则，文字宜简明扼要，原理通俗易懂，增强实践应用环节，力求模拟工作现场，增强学生的感性认识，注意反映幼儿心理教育领域的新知识、新技术；各章节均要有强化训练环节，利于学生巩固知识点。 </w:t>
      </w:r>
    </w:p>
    <w:p w14:paraId="2919B958">
      <w:pPr>
        <w:keepNext w:val="0"/>
        <w:keepLines w:val="0"/>
        <w:pageBreakBefore w:val="0"/>
        <w:widowControl w:val="0"/>
        <w:numPr>
          <w:ilvl w:val="0"/>
          <w:numId w:val="14"/>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教材、教学参考资料使用建议。</w:t>
      </w:r>
    </w:p>
    <w:p w14:paraId="4EC73F2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《幼儿园教师资格考试——学前教育学考点解析》关永春主编，清华大学出版社，2013年1月第一版；</w:t>
      </w:r>
    </w:p>
    <w:p w14:paraId="52525C8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《教育理论综合历年真题及专家命题预测试卷·幼儿园部分》，《教师公开招聘考试专用系列教材》编委会编著，教育科学出版社，2010年10月第一版；</w:t>
      </w:r>
    </w:p>
    <w:p w14:paraId="3D892559">
      <w:pPr>
        <w:keepNext w:val="0"/>
        <w:keepLines w:val="0"/>
        <w:pageBreakBefore w:val="0"/>
        <w:widowControl w:val="0"/>
        <w:numPr>
          <w:ilvl w:val="0"/>
          <w:numId w:val="13"/>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教学建议</w:t>
      </w:r>
    </w:p>
    <w:p w14:paraId="3591C0C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1、师资条件</w:t>
      </w:r>
    </w:p>
    <w:p w14:paraId="110B8C5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（1）具有系统的学前教育教学理论知识；</w:t>
      </w:r>
    </w:p>
    <w:p w14:paraId="674025A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（2）具有教育教学管理的组织能力和策划能力；</w:t>
      </w:r>
    </w:p>
    <w:p w14:paraId="30F4CCBC">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（3）具备设计教育教学活动能力、设计学校德育活动的能力；</w:t>
      </w:r>
    </w:p>
    <w:p w14:paraId="713F11C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（4）具有一定的学前教育教学管理经验；</w:t>
      </w:r>
    </w:p>
    <w:p w14:paraId="38CBB96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（5）有比较强的驾驭课堂的能力；</w:t>
      </w:r>
    </w:p>
    <w:p w14:paraId="2CE1958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（6）具备幼儿园教育教学实习经历，在幼儿园进行过挂职锻炼；</w:t>
      </w:r>
    </w:p>
    <w:p w14:paraId="059D416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（7）具备对学前教育教学现象分析与调研的能力；</w:t>
      </w:r>
    </w:p>
    <w:p w14:paraId="6812942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2、教学设施</w:t>
      </w:r>
    </w:p>
    <w:p w14:paraId="1B667F3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为了实现本学习领域课程的理论实践一体化的教学，各学习情境对场地与设施提出了不同要求，总体要求为：多媒体教学设备、教学做一体化实训室、学前教育教育活动视频、校外实训基地（州、市幼儿园）。</w:t>
      </w:r>
    </w:p>
    <w:p w14:paraId="7C93FDAE">
      <w:pPr>
        <w:keepNext w:val="0"/>
        <w:keepLines w:val="0"/>
        <w:pageBreakBefore w:val="0"/>
        <w:widowControl w:val="0"/>
        <w:numPr>
          <w:ilvl w:val="0"/>
          <w:numId w:val="13"/>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课程资源开发与利用</w:t>
      </w:r>
    </w:p>
    <w:p w14:paraId="665B6D2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（1）充分利用实训中心，让学生有动手操作的条件，可以成立一些以学习为目的的社团让学生在课外进行“自主训练”。 </w:t>
      </w:r>
    </w:p>
    <w:p w14:paraId="6FB947B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（2）注意开发、收集与教学内容相配套的多媒体课件、幻灯片、视频等数字化教学资源，让学生观看幼儿计算教学的录像，拓宽眼界，有利于学生对于整个学前教育专业更加系统和全面的了解。</w:t>
      </w:r>
    </w:p>
    <w:p w14:paraId="0C95FBEE">
      <w:pPr>
        <w:keepNext w:val="0"/>
        <w:keepLines w:val="0"/>
        <w:pageBreakBefore w:val="0"/>
        <w:widowControl w:val="0"/>
        <w:numPr>
          <w:ilvl w:val="0"/>
          <w:numId w:val="13"/>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其他说明</w:t>
      </w:r>
    </w:p>
    <w:p w14:paraId="2864162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课程自2012年起就纳入专业课程核心体系，我们结合新颁布的人才培养方案、国家幼儿教师资格认定标准，在调研的基础上，结合幼儿园工作实际和幼儿教师岗位职责要求制定了课程标准，最终的检验要在教育教学实践中得以实现，今后我们将与时俱进，深入幼儿园实践与调研，不断进行专题探讨与研究，使本课程更加符合人才培养方案要求。</w:t>
      </w:r>
    </w:p>
    <w:p w14:paraId="580E374A">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教学评价和考核要求</w:t>
      </w:r>
    </w:p>
    <w:p w14:paraId="3B039E4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（一）考核方式</w:t>
      </w:r>
    </w:p>
    <w:p w14:paraId="4FE16D7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课堂实操展示、作业和期末考试。</w:t>
      </w:r>
    </w:p>
    <w:p w14:paraId="3E49C63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（二）评价标准</w:t>
      </w:r>
    </w:p>
    <w:p w14:paraId="3B7861E0">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（1）课堂实操展示。课堂上根据教师提供的案例，通过小组讨论、个别或</w:t>
      </w:r>
    </w:p>
    <w:p w14:paraId="6AA13A5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合作完成展示任务，一次满分 5 分。</w:t>
      </w:r>
    </w:p>
    <w:p w14:paraId="78A4774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（2）作业。课下完成教材中的习题和其他作业。一次满分 5 分。</w:t>
      </w:r>
    </w:p>
    <w:p w14:paraId="42A17E0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（3）期末考试。满分 100 分，60 分及格。</w:t>
      </w:r>
    </w:p>
    <w:p w14:paraId="03D34EA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课堂实操与作业都记为平时成绩。期末总评时，平时成绩占 40%，期末卷面成绩占 60%。</w:t>
      </w:r>
    </w:p>
    <w:p w14:paraId="7B712D0E">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color w:val="auto"/>
          <w:sz w:val="32"/>
          <w:szCs w:val="32"/>
          <w:lang w:val="en-US" w:eastAsia="zh-CN"/>
        </w:rPr>
      </w:pPr>
      <w:r>
        <w:rPr>
          <w:rFonts w:hint="eastAsia" w:ascii="方正黑体简体" w:hAnsi="方正黑体简体" w:eastAsia="方正黑体简体" w:cs="方正黑体简体"/>
          <w:b w:val="0"/>
          <w:bCs w:val="0"/>
          <w:color w:val="auto"/>
          <w:sz w:val="32"/>
          <w:szCs w:val="32"/>
          <w:lang w:val="en-US" w:eastAsia="zh-CN"/>
        </w:rPr>
        <w:t>课程思政元素融入</w:t>
      </w:r>
    </w:p>
    <w:p w14:paraId="19DAA2B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爱国主义教育:在讲解学前教育的重要性时，可以引入我国学前教育的发展历程和成就，激发学生的爱国热情和民族自豪感。同时，引导学生关注当前我国学前教育事业的发展现状和问题，思考如何为我国学前教育事业的发展贡献力量。</w:t>
      </w:r>
      <w:r>
        <w:rPr>
          <w:rFonts w:hint="eastAsia" w:ascii="仿宋" w:hAnsi="仿宋" w:eastAsia="仿宋" w:cs="仿宋"/>
          <w:sz w:val="32"/>
          <w:szCs w:val="32"/>
          <w:lang w:val="en-US" w:eastAsia="zh-CN"/>
        </w:rPr>
        <w:br w:type="textWrapping"/>
      </w:r>
      <w:r>
        <w:rPr>
          <w:rFonts w:hint="eastAsia" w:ascii="仿宋" w:hAnsi="仿宋" w:eastAsia="仿宋" w:cs="仿宋"/>
          <w:sz w:val="32"/>
          <w:szCs w:val="32"/>
          <w:lang w:val="en-US" w:eastAsia="zh-CN"/>
        </w:rPr>
        <w:t xml:space="preserve">    2.责任担当教育:在讲解学前教育工作的重要性和特点时，可以引导学生认识到作为未来的学前教育工作者，应该具备高度的责任感和担当精神，为幼儿的发展和成长负责。同时，可以结合实际案例，引导学生思考如何面对和处理工作中遇到的各种困难和挑战，培养他们的应对能力和心理素质。</w:t>
      </w:r>
    </w:p>
    <w:p w14:paraId="423CB2E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敬业奉献教育:在讲解学前教育的职业要求和职业素养时，可以引导学生认识到作为未来的学前教育工作者，应该具备高度的职业操守和奉献精神，为幼儿的成长和发展付出自己的努力和汗水。同时，可以结合实际案例，引导学生思考如何将自己的专业知识和技能应用到实际工作中，为幼儿提供高质量的教育服务。</w:t>
      </w:r>
      <w:r>
        <w:rPr>
          <w:rFonts w:hint="eastAsia" w:ascii="仿宋" w:hAnsi="仿宋" w:eastAsia="仿宋" w:cs="仿宋"/>
          <w:sz w:val="32"/>
          <w:szCs w:val="32"/>
          <w:lang w:val="en-US" w:eastAsia="zh-CN"/>
        </w:rPr>
        <w:br w:type="textWrapping"/>
      </w:r>
      <w:r>
        <w:rPr>
          <w:rFonts w:hint="eastAsia" w:ascii="仿宋" w:hAnsi="仿宋" w:eastAsia="仿宋" w:cs="仿宋"/>
          <w:sz w:val="32"/>
          <w:szCs w:val="32"/>
          <w:lang w:val="en-US" w:eastAsia="zh-CN"/>
        </w:rPr>
        <w:t xml:space="preserve">    4.良好的教育品质培养:在讲解学前教育的理念和方法时，可以强调培养幼儿良好的品德和行为习惯的重要性，引导学生认识到作为未来的学前教育工作者，应该注重培养幼儿良好的个性品质和社会交往能力，为幼儿的全面发展打下坚实的基础。同时，可以通过实际案例和经验分享，引导学生思考如何在实际工作中引导幼儿形成正确的价值观和行为习惯。</w:t>
      </w:r>
    </w:p>
    <w:p w14:paraId="059403CC">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编制依据</w:t>
      </w:r>
    </w:p>
    <w:p w14:paraId="0A3EAEE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该课程标准是以依据《 学前教育学》专业调研报告和人才培养方案而编制的。</w:t>
      </w:r>
    </w:p>
    <w:sectPr>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2010601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黑体简体">
    <w:altName w:val="微软雅黑"/>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仿宋_GBK">
    <w:panose1 w:val="03000509000000000000"/>
    <w:charset w:val="86"/>
    <w:family w:val="script"/>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0538F"/>
    <w:multiLevelType w:val="singleLevel"/>
    <w:tmpl w:val="8470538F"/>
    <w:lvl w:ilvl="0" w:tentative="0">
      <w:start w:val="1"/>
      <w:numFmt w:val="decimal"/>
      <w:lvlText w:val="%1."/>
      <w:lvlJc w:val="left"/>
      <w:pPr>
        <w:tabs>
          <w:tab w:val="left" w:pos="312"/>
        </w:tabs>
      </w:pPr>
    </w:lvl>
  </w:abstractNum>
  <w:abstractNum w:abstractNumId="1">
    <w:nsid w:val="A71E060A"/>
    <w:multiLevelType w:val="singleLevel"/>
    <w:tmpl w:val="A71E060A"/>
    <w:lvl w:ilvl="0" w:tentative="0">
      <w:start w:val="1"/>
      <w:numFmt w:val="decimal"/>
      <w:lvlText w:val="%1."/>
      <w:lvlJc w:val="left"/>
      <w:pPr>
        <w:tabs>
          <w:tab w:val="left" w:pos="312"/>
        </w:tabs>
      </w:pPr>
    </w:lvl>
  </w:abstractNum>
  <w:abstractNum w:abstractNumId="2">
    <w:nsid w:val="D128B03E"/>
    <w:multiLevelType w:val="singleLevel"/>
    <w:tmpl w:val="D128B03E"/>
    <w:lvl w:ilvl="0" w:tentative="0">
      <w:start w:val="1"/>
      <w:numFmt w:val="decimal"/>
      <w:lvlText w:val="%1."/>
      <w:lvlJc w:val="left"/>
      <w:pPr>
        <w:tabs>
          <w:tab w:val="left" w:pos="312"/>
        </w:tabs>
      </w:pPr>
    </w:lvl>
  </w:abstractNum>
  <w:abstractNum w:abstractNumId="3">
    <w:nsid w:val="D1317ED1"/>
    <w:multiLevelType w:val="singleLevel"/>
    <w:tmpl w:val="D1317ED1"/>
    <w:lvl w:ilvl="0" w:tentative="0">
      <w:start w:val="1"/>
      <w:numFmt w:val="chineseCounting"/>
      <w:suff w:val="nothing"/>
      <w:lvlText w:val="（%1）"/>
      <w:lvlJc w:val="left"/>
      <w:rPr>
        <w:rFonts w:hint="eastAsia"/>
      </w:rPr>
    </w:lvl>
  </w:abstractNum>
  <w:abstractNum w:abstractNumId="4">
    <w:nsid w:val="D5D798E7"/>
    <w:multiLevelType w:val="singleLevel"/>
    <w:tmpl w:val="D5D798E7"/>
    <w:lvl w:ilvl="0" w:tentative="0">
      <w:start w:val="1"/>
      <w:numFmt w:val="chineseCounting"/>
      <w:suff w:val="nothing"/>
      <w:lvlText w:val="（%1）"/>
      <w:lvlJc w:val="left"/>
      <w:rPr>
        <w:rFonts w:hint="eastAsia"/>
      </w:rPr>
    </w:lvl>
  </w:abstractNum>
  <w:abstractNum w:abstractNumId="5">
    <w:nsid w:val="E4D66174"/>
    <w:multiLevelType w:val="singleLevel"/>
    <w:tmpl w:val="E4D66174"/>
    <w:lvl w:ilvl="0" w:tentative="0">
      <w:start w:val="1"/>
      <w:numFmt w:val="decimal"/>
      <w:suff w:val="nothing"/>
      <w:lvlText w:val="%1、"/>
      <w:lvlJc w:val="left"/>
    </w:lvl>
  </w:abstractNum>
  <w:abstractNum w:abstractNumId="6">
    <w:nsid w:val="03ECAC19"/>
    <w:multiLevelType w:val="singleLevel"/>
    <w:tmpl w:val="03ECAC19"/>
    <w:lvl w:ilvl="0" w:tentative="0">
      <w:start w:val="1"/>
      <w:numFmt w:val="chineseCounting"/>
      <w:suff w:val="nothing"/>
      <w:lvlText w:val="%1、"/>
      <w:lvlJc w:val="left"/>
      <w:rPr>
        <w:rFonts w:hint="eastAsia"/>
      </w:rPr>
    </w:lvl>
  </w:abstractNum>
  <w:abstractNum w:abstractNumId="7">
    <w:nsid w:val="0402049E"/>
    <w:multiLevelType w:val="singleLevel"/>
    <w:tmpl w:val="0402049E"/>
    <w:lvl w:ilvl="0" w:tentative="0">
      <w:start w:val="1"/>
      <w:numFmt w:val="decimal"/>
      <w:lvlText w:val="%1."/>
      <w:lvlJc w:val="left"/>
      <w:pPr>
        <w:tabs>
          <w:tab w:val="left" w:pos="312"/>
        </w:tabs>
      </w:pPr>
    </w:lvl>
  </w:abstractNum>
  <w:abstractNum w:abstractNumId="8">
    <w:nsid w:val="07F4B453"/>
    <w:multiLevelType w:val="singleLevel"/>
    <w:tmpl w:val="07F4B453"/>
    <w:lvl w:ilvl="0" w:tentative="0">
      <w:start w:val="1"/>
      <w:numFmt w:val="decimal"/>
      <w:lvlText w:val="%1."/>
      <w:lvlJc w:val="left"/>
      <w:pPr>
        <w:tabs>
          <w:tab w:val="left" w:pos="312"/>
        </w:tabs>
      </w:pPr>
    </w:lvl>
  </w:abstractNum>
  <w:abstractNum w:abstractNumId="9">
    <w:nsid w:val="178A9589"/>
    <w:multiLevelType w:val="singleLevel"/>
    <w:tmpl w:val="178A9589"/>
    <w:lvl w:ilvl="0" w:tentative="0">
      <w:start w:val="1"/>
      <w:numFmt w:val="decimal"/>
      <w:lvlText w:val="%1."/>
      <w:lvlJc w:val="left"/>
      <w:pPr>
        <w:tabs>
          <w:tab w:val="left" w:pos="312"/>
        </w:tabs>
      </w:pPr>
    </w:lvl>
  </w:abstractNum>
  <w:abstractNum w:abstractNumId="10">
    <w:nsid w:val="37A7B3DD"/>
    <w:multiLevelType w:val="singleLevel"/>
    <w:tmpl w:val="37A7B3DD"/>
    <w:lvl w:ilvl="0" w:tentative="0">
      <w:start w:val="1"/>
      <w:numFmt w:val="chineseCounting"/>
      <w:suff w:val="nothing"/>
      <w:lvlText w:val="（%1）"/>
      <w:lvlJc w:val="left"/>
      <w:rPr>
        <w:rFonts w:hint="eastAsia"/>
      </w:rPr>
    </w:lvl>
  </w:abstractNum>
  <w:abstractNum w:abstractNumId="11">
    <w:nsid w:val="54BD5949"/>
    <w:multiLevelType w:val="singleLevel"/>
    <w:tmpl w:val="54BD5949"/>
    <w:lvl w:ilvl="0" w:tentative="0">
      <w:start w:val="1"/>
      <w:numFmt w:val="decimal"/>
      <w:lvlText w:val="%1."/>
      <w:lvlJc w:val="left"/>
      <w:pPr>
        <w:tabs>
          <w:tab w:val="left" w:pos="312"/>
        </w:tabs>
      </w:pPr>
    </w:lvl>
  </w:abstractNum>
  <w:abstractNum w:abstractNumId="12">
    <w:nsid w:val="65B68748"/>
    <w:multiLevelType w:val="singleLevel"/>
    <w:tmpl w:val="65B68748"/>
    <w:lvl w:ilvl="0" w:tentative="0">
      <w:start w:val="1"/>
      <w:numFmt w:val="chineseCounting"/>
      <w:suff w:val="nothing"/>
      <w:lvlText w:val="（%1）"/>
      <w:lvlJc w:val="left"/>
      <w:rPr>
        <w:rFonts w:hint="eastAsia"/>
      </w:rPr>
    </w:lvl>
  </w:abstractNum>
  <w:abstractNum w:abstractNumId="13">
    <w:nsid w:val="75E9C6B8"/>
    <w:multiLevelType w:val="singleLevel"/>
    <w:tmpl w:val="75E9C6B8"/>
    <w:lvl w:ilvl="0" w:tentative="0">
      <w:start w:val="1"/>
      <w:numFmt w:val="decimal"/>
      <w:suff w:val="nothing"/>
      <w:lvlText w:val="%1、"/>
      <w:lvlJc w:val="left"/>
    </w:lvl>
  </w:abstractNum>
  <w:num w:numId="1">
    <w:abstractNumId w:val="6"/>
  </w:num>
  <w:num w:numId="2">
    <w:abstractNumId w:val="10"/>
  </w:num>
  <w:num w:numId="3">
    <w:abstractNumId w:val="3"/>
  </w:num>
  <w:num w:numId="4">
    <w:abstractNumId w:val="13"/>
  </w:num>
  <w:num w:numId="5">
    <w:abstractNumId w:val="4"/>
  </w:num>
  <w:num w:numId="6">
    <w:abstractNumId w:val="0"/>
  </w:num>
  <w:num w:numId="7">
    <w:abstractNumId w:val="9"/>
  </w:num>
  <w:num w:numId="8">
    <w:abstractNumId w:val="1"/>
  </w:num>
  <w:num w:numId="9">
    <w:abstractNumId w:val="8"/>
  </w:num>
  <w:num w:numId="10">
    <w:abstractNumId w:val="7"/>
  </w:num>
  <w:num w:numId="11">
    <w:abstractNumId w:val="11"/>
  </w:num>
  <w:num w:numId="12">
    <w:abstractNumId w:val="2"/>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364E5E"/>
    <w:rsid w:val="03E05C76"/>
    <w:rsid w:val="047C23DA"/>
    <w:rsid w:val="0C48260B"/>
    <w:rsid w:val="0CE93D0E"/>
    <w:rsid w:val="0DF358AB"/>
    <w:rsid w:val="13D053C0"/>
    <w:rsid w:val="13F655C7"/>
    <w:rsid w:val="16AD3796"/>
    <w:rsid w:val="16C44F84"/>
    <w:rsid w:val="2F364E5E"/>
    <w:rsid w:val="302C79CA"/>
    <w:rsid w:val="31CA749A"/>
    <w:rsid w:val="31DD71CE"/>
    <w:rsid w:val="35243365"/>
    <w:rsid w:val="36A3693F"/>
    <w:rsid w:val="3EDC080D"/>
    <w:rsid w:val="462F3918"/>
    <w:rsid w:val="53E83D39"/>
    <w:rsid w:val="5ADF778E"/>
    <w:rsid w:val="6363661A"/>
    <w:rsid w:val="65077AE2"/>
    <w:rsid w:val="67380427"/>
    <w:rsid w:val="6AE60451"/>
    <w:rsid w:val="6B9876E6"/>
    <w:rsid w:val="6ED54A22"/>
    <w:rsid w:val="6F7C5B56"/>
    <w:rsid w:val="71F14AF3"/>
    <w:rsid w:val="7CD36158"/>
    <w:rsid w:val="7F832C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p0"/>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2574</Words>
  <Characters>2601</Characters>
  <Lines>0</Lines>
  <Paragraphs>0</Paragraphs>
  <TotalTime>17</TotalTime>
  <ScaleCrop>false</ScaleCrop>
  <LinksUpToDate>false</LinksUpToDate>
  <CharactersWithSpaces>2636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2021-07-23T05:34:00Z</dcterms:created>
  <dc:creator>小段</dc:creator>
  <cp:lastModifiedBy>心若清莲</cp:lastModifiedBy>
  <dcterms:modified xsi:type="dcterms:W3CDTF">2025-08-01T10:29:46Z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9D6AD424715947ABB26223F3B8534624_13</vt:lpwstr>
  </property>
  <property fmtid="{D5CDD505-2E9C-101B-9397-08002B2CF9AE}" pid="4" name="KSOTemplateDocerSaveRecord">
    <vt:lpwstr>eyJoZGlkIjoiNGYwNThhZmRiYmMwNDE5NzgzOTA2ZTVkMzFkYzRlZDciLCJ1c2VySWQiOiIyNDg5MjMxMzIifQ==</vt:lpwstr>
  </property>
</Properties>
</file>