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Supplementary Material for ECMamba</w:t>
      </w:r>
    </w:p>
    <w:p>
      <w:pPr>
        <w:pStyle w:val="Normal"/>
        <w:spacing w:after="50"/>
      </w:pPr>
      <w:r>
        <w:rPr>
          <w:rFonts w:ascii="Times New Roman" w:cs="Times New Roman" w:eastAsia="Times New Roman" w:hAnsi="Times New Roman"/>
          <w:sz w:val="24"/>
          <w:szCs w:val="24"/>
        </w:rPr>
        <w:t xml:space="preserve">Hongyu Duan</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Mianzhi Dai</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Tianlai Huang</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Jing Li</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4"/>
          <w:szCs w:val="24"/>
        </w:rPr>
        <w:t xml:space="preserve">, Fanjie Wei</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4"/>
          <w:szCs w:val="24"/>
        </w:rPr>
        <w:t xml:space="preserve">, Zhong Li</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4"/>
          <w:szCs w:val="24"/>
        </w:rPr>
        <w:t xml:space="preserve">*</w:t>
      </w:r>
    </w:p>
    <w:p>
      <w:pPr>
        <w:pStyle w:val="Normal"/>
        <w:spacing w:after="25"/>
      </w:pPr>
      <w:r>
        <w:rPr>
          <w:rFonts w:ascii="Times New Roman" w:cs="Times New Roman" w:eastAsia="Times New Roman" w:hAnsi="Times New Roman"/>
          <w:sz w:val="24"/>
          <w:szCs w:val="24"/>
        </w:rPr>
        <w:t xml:space="preserve">1 Department of Statistics and Financial Mathematics, School of Mathematics, South China University of Technology, Guangzhou, 510640, China</w:t>
      </w:r>
    </w:p>
    <w:p>
      <w:pPr>
        <w:pStyle w:val="Normal"/>
        <w:spacing w:after="25"/>
      </w:pPr>
      <w:r>
        <w:rPr>
          <w:rFonts w:ascii="Times New Roman" w:cs="Times New Roman" w:eastAsia="Times New Roman" w:hAnsi="Times New Roman"/>
          <w:sz w:val="24"/>
          <w:szCs w:val="24"/>
        </w:rPr>
        <w:t xml:space="preserve">2 School of Physics, Sun Yat-sen University, Guangzhou, 510275, China</w:t>
      </w:r>
    </w:p>
    <w:p>
      <w:pPr>
        <w:pStyle w:val="Normal"/>
        <w:spacing w:after="25"/>
      </w:pPr>
      <w:r>
        <w:rPr>
          <w:rFonts w:ascii="Times New Roman" w:cs="Times New Roman" w:eastAsia="Times New Roman" w:hAnsi="Times New Roman"/>
          <w:sz w:val="24"/>
          <w:szCs w:val="24"/>
        </w:rPr>
        <w:t xml:space="preserve">3 Intelligent Speech Interaction Department, Ping An Technology, Shenzhen, China</w:t>
      </w:r>
    </w:p>
    <w:p>
      <w:pPr>
        <w:pStyle w:val="Normal"/>
        <w:spacing w:after="25"/>
      </w:pPr>
      <w:r>
        <w:rPr>
          <w:rFonts w:ascii="Times New Roman" w:cs="Times New Roman" w:eastAsia="Times New Roman" w:hAnsi="Times New Roman"/>
          <w:sz w:val="24"/>
          <w:szCs w:val="24"/>
        </w:rPr>
        <w:t xml:space="preserve">4 Department of Operations and Medical Insurance Management, The Sixth Affiliated Hospital, Sun Yat-sen University, Guangzhou, China</w:t>
      </w:r>
    </w:p>
    <w:p>
      <w:pPr>
        <w:pStyle w:val="Normal"/>
        <w:spacing w:after="25"/>
      </w:pPr>
      <w:r>
        <w:rPr>
          <w:rFonts w:ascii="Times New Roman" w:cs="Times New Roman" w:eastAsia="Times New Roman" w:hAnsi="Times New Roman"/>
          <w:sz w:val="24"/>
          <w:szCs w:val="24"/>
        </w:rPr>
        <w:t xml:space="preserve">5 Department of Software Engineering, School of Software Engineering, South China University of Technology, Guangzhou, 510006, China</w:t>
      </w:r>
    </w:p>
    <w:p>
      <w:pPr>
        <w:pStyle w:val="Normal"/>
        <w:spacing w:after="30"/>
      </w:pPr>
      <w:r>
        <w:rPr>
          <w:rFonts w:ascii="Times New Roman" w:cs="Times New Roman" w:eastAsia="Times New Roman" w:hAnsi="Times New Roman"/>
          <w:sz w:val="24"/>
          <w:szCs w:val="24"/>
        </w:rPr>
        <w:t xml:space="preserve">6 Department of Neurology, The Sixth Affiliated Hospital, Sun Yat-sen University, Guangzhou, China; Key Laboratory of Human Microbiome and Chronic Diseases, Sun Yat-sen University, Ministry of Education, China; Biomedical Innovation Center, The Sixth Affiliated Hospital, Sun Yat-sen University, Guangzhou, China; Guangdong Provincial Key Laboratory of Brain Function and Disease, Guangzhou, 510080, China</w:t>
      </w:r>
    </w:p>
    <w:p>
      <w:pPr>
        <w:spacing w:after="90"/>
      </w:pPr>
      <w:r>
        <w:rPr>
          <w:rFonts w:ascii="Times New Roman" w:cs="Times New Roman" w:eastAsia="Times New Roman" w:hAnsi="Times New Roman"/>
          <w:i/>
          <w:iCs/>
          <w:sz w:val="24"/>
          <w:szCs w:val="24"/>
        </w:rPr>
        <w:t xml:space="preserve">*Corresponding author: lzhong@mail.sysu.edu.cn; †These authors contributed equally to this work.</w:t>
      </w:r>
    </w:p>
    <w:p>
      <w:pPr>
        <w:pStyle w:val="Heading1"/>
      </w:pPr>
      <w:r>
        <w:rPr>
          <w:rFonts w:ascii="Times New Roman" w:cs="Times New Roman" w:eastAsia="Times New Roman" w:hAnsi="Times New Roman"/>
          <w:b/>
          <w:bCs/>
        </w:rPr>
        <w:t xml:space="preserve">S1 Compliance note</w:t>
      </w:r>
    </w:p>
    <w:p>
      <w:pPr>
        <w:pStyle w:val="Normal"/>
      </w:pPr>
      <w:r>
        <w:rPr>
          <w:rFonts w:ascii="Times New Roman" w:cs="Times New Roman" w:eastAsia="Times New Roman" w:hAnsi="Times New Roman"/>
          <w:sz w:val="24"/>
          <w:szCs w:val="24"/>
        </w:rPr>
        <w:t xml:space="preserve">This supplementary file contains material that is useful for review and reproducibility but is not essential to keep in the 4-page main text. The main article therefore retains the core scientific message: why ECMamba is needed relative to mainstream alternatives, what the main algorithmic innovations are, and how the released implementation remains easy to use. Extended methodological details, benchmark tables and projected resource estimates are moved here.</w:t>
      </w:r>
    </w:p>
    <w:p>
      <w:pPr>
        <w:pStyle w:val="Heading1"/>
      </w:pPr>
      <w:r>
        <w:rPr>
          <w:rFonts w:ascii="Times New Roman" w:cs="Times New Roman" w:eastAsia="Times New Roman" w:hAnsi="Times New Roman"/>
          <w:b/>
          <w:bCs/>
        </w:rPr>
        <w:t xml:space="preserve">S2 Machine-learning dataset description</w:t>
      </w:r>
    </w:p>
    <w:p>
      <w:pPr>
        <w:pStyle w:val="Normal"/>
      </w:pPr>
      <w:r>
        <w:rPr>
          <w:rFonts w:ascii="Times New Roman" w:cs="Times New Roman" w:eastAsia="Times New Roman" w:hAnsi="Times New Roman"/>
          <w:sz w:val="24"/>
          <w:szCs w:val="24"/>
        </w:rP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w:t>
      </w:r>
    </w:p>
    <w:p>
      <w:pPr>
        <w:pStyle w:val="Normal"/>
      </w:pPr>
      <w:r>
        <w:rPr>
          <w:rFonts w:ascii="Times New Roman" w:cs="Times New Roman" w:eastAsia="Times New Roman" w:hAnsi="Times New Roman"/>
          <w:sz w:val="24"/>
          <w:szCs w:val="24"/>
        </w:rP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Heading1"/>
      </w:pPr>
      <w:r>
        <w:rPr>
          <w:rFonts w:ascii="Times New Roman" w:cs="Times New Roman" w:eastAsia="Times New Roman" w:hAnsi="Times New Roman"/>
          <w:b/>
          <w:bCs/>
        </w:rPr>
        <w:t xml:space="preserve">S3 Model and optimization details</w:t>
      </w:r>
    </w:p>
    <w:p>
      <w:pPr>
        <w:pStyle w:val="Normal"/>
      </w:pPr>
      <w:r>
        <w:rPr>
          <w:rFonts w:ascii="Times New Roman" w:cs="Times New Roman" w:eastAsia="Times New Roman" w:hAnsi="Times New Roman"/>
          <w:sz w:val="24"/>
          <w:szCs w:val="24"/>
        </w:rPr>
        <w:t xml:space="preserve">The language-model branch applies LayerNorm, linear projection, dropout and attentive, mean and max pooling to the pretrained sequence embeddings. The MSA branch embeds aligned residues and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Normal"/>
      </w:pPr>
      <w:r>
        <w:rPr>
          <w:rFonts w:ascii="Times New Roman" w:cs="Times New Roman" w:eastAsia="Times New Roman" w:hAnsi="Times New Roman"/>
          <w:sz w:val="24"/>
          <w:szCs w:val="24"/>
        </w:rP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w:t>
      </w:r>
    </w:p>
    <w:p>
      <w:pPr>
        <w:pStyle w:val="Heading1"/>
      </w:pPr>
      <w:r>
        <w:rPr>
          <w:rFonts w:ascii="Times New Roman" w:cs="Times New Roman" w:eastAsia="Times New Roman" w:hAnsi="Times New Roman"/>
          <w:b/>
          <w:bCs/>
        </w:rPr>
        <w:t xml:space="preserve">S4 Extended benchmark tables</w:t>
      </w:r>
    </w:p>
    <w:p>
      <w:pPr>
        <w:pStyle w:val="Normal"/>
      </w:pPr>
      <w:r>
        <w:rPr>
          <w:rFonts w:ascii="Times New Roman" w:cs="Times New Roman" w:eastAsia="Times New Roman" w:hAnsi="Times New Roman"/>
          <w:sz w:val="24"/>
          <w:szCs w:val="24"/>
        </w:rPr>
        <w:t xml:space="preserve">Table S1 summarizes the position of ECMamba relative to mainstream method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 family</w:t>
            </w:r>
          </w:p>
        </w:tc>
        <w:tc>
          <w:tcPr>
            <w:tcW w:type="dxa" w:w="21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Representative methods</w:t>
            </w:r>
          </w:p>
        </w:tc>
        <w:tc>
          <w:tcPr>
            <w:tcW w:type="dxa" w:w="2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Typical limitation</w:t>
            </w:r>
          </w:p>
        </w:tc>
        <w:tc>
          <w:tcPr>
            <w:tcW w:type="dxa" w:w="28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 advantage</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Homology search</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Depends strongly on close matches and search configuration</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family-level alignment context and shows a larger F1 margin on Price-149</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Sequence-only classifiers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 DeepEC, DEEPre, ECPred</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explicit residue agreement across homologs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evolutionary context while keeping a compact protein-level classifier</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PLM-only predictors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 CLEAN</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direct cross-homolog interaction in the forward pass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Feature-wise gated fusion improves recall with only minor precision loss</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Full MSA attention models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MSA Transformer-style encoders</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High all-cell attention cost on long or deep MSAs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Uses row-wise Mamba for linear-time sequence mixing and column attention only where needed</w:t>
            </w:r>
          </w:p>
        </w:tc>
      </w:tr>
    </w:tbl>
    <w:p>
      <w:pPr>
        <w:spacing w:after="80" w:before="20"/>
        <w:jc w:val="center"/>
      </w:pPr>
      <w:r>
        <w:rPr>
          <w:rFonts w:ascii="Times New Roman" w:cs="Times New Roman" w:eastAsia="Times New Roman" w:hAnsi="Times New Roman"/>
          <w:i/>
          <w:iCs/>
          <w:sz w:val="22"/>
          <w:szCs w:val="22"/>
        </w:rPr>
        <w:t xml:space="preserve">Table S1. Qualitative positioning of ECMamba relative to mainstream enzyme annotation method families.</w:t>
      </w:r>
    </w:p>
    <w:p>
      <w:pPr>
        <w:pStyle w:val="Normal"/>
      </w:pPr>
      <w:r>
        <w:rPr>
          <w:rFonts w:ascii="Times New Roman" w:cs="Times New Roman" w:eastAsia="Times New Roman" w:hAnsi="Times New Roman"/>
          <w:sz w:val="24"/>
          <w:szCs w:val="24"/>
        </w:rPr>
        <w:t xml:space="preserve">Table S2 lists the benchmark scores transcribed from the supplied comparison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080"/>
        <w:gridCol w:w="1080"/>
        <w:gridCol w:w="1080"/>
        <w:gridCol w:w="1080"/>
        <w:gridCol w:w="1080"/>
      </w:tblGrid>
      <w:tr>
        <w:trPr>
          <w:cantSplit/>
        </w:trPr>
        <w:tc>
          <w:tcPr>
            <w:tcW w:type="dxa" w:w="17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F1</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0.662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0.634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0.570</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0.674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CLEAN</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0.481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0.467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0.375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0.243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0.138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0.166</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DeepEC</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0.298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0.217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0.230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0.072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DEEPre</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0.039</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ECPred</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0.095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0.100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r>
    </w:tbl>
    <w:p>
      <w:pPr>
        <w:spacing w:after="80" w:before="20"/>
        <w:jc w:val="center"/>
      </w:pPr>
      <w:r>
        <w:rPr>
          <w:rFonts w:ascii="Times New Roman" w:cs="Times New Roman" w:eastAsia="Times New Roman" w:hAnsi="Times New Roman"/>
          <w:i/>
          <w:iCs/>
          <w:sz w:val="22"/>
          <w:szCs w:val="22"/>
        </w:rPr>
        <w:t xml:space="preserve">Table S2. Benchmark scores transcribed from the supplied comparison figure. NR indicates that the corresponding metric was not reported for that dataset.</w:t>
      </w:r>
    </w:p>
    <w:p>
      <w:pPr>
        <w:pStyle w:val="Heading1"/>
      </w:pPr>
      <w:r>
        <w:rPr>
          <w:rFonts w:ascii="Times New Roman" w:cs="Times New Roman" w:eastAsia="Times New Roman" w:hAnsi="Times New Roman"/>
          <w:b/>
          <w:bCs/>
        </w:rPr>
        <w:t xml:space="preserve">S5 Gated-fusion equation</w:t>
      </w:r>
    </w:p>
    <w:p>
      <w:pPr>
        <w:spacing w:after="30" w:before="80"/>
        <w:jc w:val="center"/>
      </w:pPr>
      <w:r>
        <w:drawing>
          <wp:inline distT="0" distB="0" distL="0" distR="0">
            <wp:extent cx="4953000" cy="857250"/>
            <wp:effectExtent t="0" r="0" b="0" l="0"/>
            <wp:docPr id="1" name="Feature-wise gated fusion used in ECMamba" descr="Feature-wise gated fusion used in ECMamba" title="Feature-wise gated fusion used in EC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72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S1. Feature-wise gated fusion used in ECMamba.</w:t>
      </w:r>
    </w:p>
    <w:p>
      <w:pPr>
        <w:pStyle w:val="Normal"/>
      </w:pPr>
      <w:r>
        <w:rPr>
          <w:rFonts w:ascii="Times New Roman" w:cs="Times New Roman" w:eastAsia="Times New Roman" w:hAnsi="Times New Roman"/>
          <w:sz w:val="24"/>
          <w:szCs w:val="24"/>
        </w:rPr>
        <w:t xml:space="preserve">The gate is initialized with a positive bias so that optimization starts from a stable preference for pretrained sequence features and only later increases the contribution of explicit evolutionary evidence where useful.</w:t>
      </w:r>
    </w:p>
    <w:p>
      <w:pPr>
        <w:pStyle w:val="Heading1"/>
      </w:pPr>
      <w:r>
        <w:rPr>
          <w:rFonts w:ascii="Times New Roman" w:cs="Times New Roman" w:eastAsia="Times New Roman" w:hAnsi="Times New Roman"/>
          <w:b/>
          <w:bCs/>
        </w:rPr>
        <w:t xml:space="preserve">S6 Projected computational profile</w:t>
      </w:r>
    </w:p>
    <w:p>
      <w:pPr>
        <w:pStyle w:val="Normal"/>
      </w:pPr>
      <w:r>
        <w:rPr>
          <w:rFonts w:ascii="Times New Roman" w:cs="Times New Roman" w:eastAsia="Times New Roman" w:hAnsi="Times New Roman"/>
          <w:sz w:val="24"/>
          <w:szCs w:val="24"/>
        </w:rP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rPr>
          <w:cantSplit/>
        </w:trPr>
        <w:tc>
          <w:tcPr>
            <w:tcW w:type="dxa" w:w="2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Context</w:t>
            </w:r>
          </w:p>
        </w:tc>
        <w:tc>
          <w:tcPr>
            <w:tcW w:type="dxa" w:w="3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Setting</w:t>
            </w:r>
          </w:p>
        </w:tc>
        <w:tc>
          <w:tcPr>
            <w:tcW w:type="dxa" w:w="1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Metric</w:t>
            </w:r>
          </w:p>
        </w:tc>
        <w:tc>
          <w:tcPr>
            <w:tcW w:type="dxa" w:w="24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Value</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100,000 proteins; 20 epochs; one A100 80 GB; mixed precision; batch size 64</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Training wall time</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18-30 accelerator-hours</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Same setting as above</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Peak accelerator memory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24-36 GB GPU memory</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 proteins after ESM feature preparation and MSA construction</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latency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3-8 min</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Scope note</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Planning values rather than profiler measurements</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Excluded cost</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ESM feature generation and MSA database search</w:t>
            </w:r>
          </w:p>
        </w:tc>
      </w:tr>
    </w:tbl>
    <w:p>
      <w:pPr>
        <w:spacing w:after="80" w:before="20"/>
        <w:jc w:val="center"/>
      </w:pPr>
      <w:r>
        <w:rPr>
          <w:rFonts w:ascii="Times New Roman" w:cs="Times New Roman" w:eastAsia="Times New Roman" w:hAnsi="Times New Roman"/>
          <w:i/>
          <w:iCs/>
          <w:sz w:val="22"/>
          <w:szCs w:val="22"/>
        </w:rPr>
        <w:t xml:space="preserve">Table S3. Projected computational profile under the supplied reference workload.</w:t>
      </w:r>
    </w:p>
    <w:p>
      <w:pPr>
        <w:pStyle w:val="Normal"/>
      </w:pPr>
      <w:r>
        <w:rPr>
          <w:rFonts w:ascii="Times New Roman" w:cs="Times New Roman" w:eastAsia="Times New Roman" w:hAnsi="Times New Roman"/>
          <w:sz w:val="24"/>
          <w:szCs w:val="24"/>
        </w:rP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p>
      <w:pPr>
        <w:pStyle w:val="Heading1"/>
      </w:pPr>
      <w:r>
        <w:rPr>
          <w:rFonts w:ascii="Times New Roman" w:cs="Times New Roman" w:eastAsia="Times New Roman" w:hAnsi="Times New Roman"/>
          <w:b/>
          <w:bCs/>
        </w:rPr>
        <w:t xml:space="preserve">S7 Reproducibility files produced by the code</w:t>
      </w:r>
    </w:p>
    <w:p>
      <w:pPr>
        <w:pStyle w:val="Normal"/>
      </w:pPr>
      <w:r>
        <w:rPr>
          <w:rFonts w:ascii="Times New Roman" w:cs="Times New Roman" w:eastAsia="Times New Roman" w:hAnsi="Times New Roman"/>
          <w:sz w:val="24"/>
          <w:szCs w:val="24"/>
        </w:rP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Normal"/>
        <w:numPr>
          <w:ilvl w:val="0"/>
          <w:numId w:val="2"/>
        </w:numPr>
      </w:pPr>
      <w:r>
        <w:rPr>
          <w:rFonts w:ascii="Times New Roman" w:cs="Times New Roman" w:eastAsia="Times New Roman" w:hAnsi="Times New Roman"/>
          <w:sz w:val="24"/>
          <w:szCs w:val="24"/>
        </w:rPr>
        <w:t xml:space="preserve">dataset_info.csv</w:t>
      </w:r>
    </w:p>
    <w:p>
      <w:pPr>
        <w:pStyle w:val="Normal"/>
        <w:numPr>
          <w:ilvl w:val="0"/>
          <w:numId w:val="2"/>
        </w:numPr>
      </w:pPr>
      <w:r>
        <w:rPr>
          <w:rFonts w:ascii="Times New Roman" w:cs="Times New Roman" w:eastAsia="Times New Roman" w:hAnsi="Times New Roman"/>
          <w:sz w:val="24"/>
          <w:szCs w:val="24"/>
        </w:rPr>
        <w:t xml:space="preserve">label_coverage_report.json</w:t>
      </w:r>
    </w:p>
    <w:p>
      <w:pPr>
        <w:pStyle w:val="Normal"/>
        <w:numPr>
          <w:ilvl w:val="0"/>
          <w:numId w:val="2"/>
        </w:numPr>
      </w:pPr>
      <w:r>
        <w:rPr>
          <w:rFonts w:ascii="Times New Roman" w:cs="Times New Roman" w:eastAsia="Times New Roman" w:hAnsi="Times New Roman"/>
          <w:sz w:val="24"/>
          <w:szCs w:val="24"/>
        </w:rPr>
        <w:t xml:space="preserve">metrics_threshold_sweep.csv</w:t>
      </w:r>
    </w:p>
    <w:p>
      <w:pPr>
        <w:pStyle w:val="Normal"/>
        <w:numPr>
          <w:ilvl w:val="0"/>
          <w:numId w:val="2"/>
        </w:numPr>
      </w:pPr>
      <w:r>
        <w:rPr>
          <w:rFonts w:ascii="Times New Roman" w:cs="Times New Roman" w:eastAsia="Times New Roman" w:hAnsi="Times New Roman"/>
          <w:sz w:val="24"/>
          <w:szCs w:val="24"/>
        </w:rPr>
        <w:t xml:space="preserve">summary_at_selected_threshold.csv</w:t>
      </w:r>
    </w:p>
    <w:p>
      <w:pPr>
        <w:pStyle w:val="Normal"/>
        <w:numPr>
          <w:ilvl w:val="0"/>
          <w:numId w:val="2"/>
        </w:numPr>
      </w:pPr>
      <w:r>
        <w:rPr>
          <w:rFonts w:ascii="Times New Roman" w:cs="Times New Roman" w:eastAsia="Times New Roman" w:hAnsi="Times New Roman"/>
          <w:sz w:val="24"/>
          <w:szCs w:val="24"/>
        </w:rPr>
        <w:t xml:space="preserve">best_threshold_on_test_for_diagnosis_only.csv</w:t>
      </w:r>
    </w:p>
    <w:p>
      <w:pPr>
        <w:pStyle w:val="Normal"/>
        <w:numPr>
          <w:ilvl w:val="0"/>
          <w:numId w:val="2"/>
        </w:numPr>
      </w:pPr>
      <w:r>
        <w:rPr>
          <w:rFonts w:ascii="Times New Roman" w:cs="Times New Roman" w:eastAsia="Times New Roman" w:hAnsi="Times New Roman"/>
          <w:sz w:val="24"/>
          <w:szCs w:val="24"/>
        </w:rPr>
        <w:t xml:space="preserve">per_label_metrics_at_selected_threshold.csv</w:t>
      </w:r>
    </w:p>
    <w:p>
      <w:pPr>
        <w:pStyle w:val="Normal"/>
        <w:numPr>
          <w:ilvl w:val="0"/>
          <w:numId w:val="2"/>
        </w:numPr>
      </w:pPr>
      <w:r>
        <w:rPr>
          <w:rFonts w:ascii="Times New Roman" w:cs="Times New Roman" w:eastAsia="Times New Roman" w:hAnsi="Times New Roman"/>
          <w:sz w:val="24"/>
          <w:szCs w:val="24"/>
        </w:rPr>
        <w:t xml:space="preserve">run_config.json</w:t>
      </w:r>
    </w:p>
    <w:p>
      <w:pPr>
        <w:pStyle w:val="Heading1"/>
      </w:pPr>
      <w:r>
        <w:rPr>
          <w:rFonts w:ascii="Times New Roman" w:cs="Times New Roman" w:eastAsia="Times New Roman" w:hAnsi="Times New Roman"/>
          <w:b/>
          <w:bCs/>
        </w:rPr>
        <w:t xml:space="preserve">S8 Current limitations</w:t>
      </w:r>
    </w:p>
    <w:p>
      <w:pPr>
        <w:pStyle w:val="Normal"/>
      </w:pPr>
      <w:r>
        <w:rPr>
          <w:rFonts w:ascii="Times New Roman" w:cs="Times New Roman" w:eastAsia="Times New Roman" w:hAnsi="Times New Roman"/>
          <w:sz w:val="24"/>
          <w:szCs w:val="24"/>
        </w:rPr>
        <w:t xml:space="preserve">The supplied materials do not yet include multi-seed uncertainty, significance testing, ablation of the MSA stream, fixed-weight fusion controls or gate-value analysis. The benchmark evidence is therefore encouraging but not yet sufficient for strong mechanistic claims. A polished journal submission should add these controls together with the archived code snapshot, measured runtime and memory statistics, and a more explicit comparison against additional mainstream baselines where feasible.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42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3"/>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3"/>
      </w:numPr>
      <w:spacing w:after="50" w:before="1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val="false"/>
      <w:keepLines w:val="false"/>
      <w:spacing w:after="40" w:before="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06cc0a0342e322f7f84725c4e099c7883fa4bf6d.png" /><Relationship Id="rId9"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2026-06-21T08:47:44.999Z</dcterms:created>
  <dcterms:modified xsi:type="dcterms:W3CDTF">2026-06-21T08:47:45.000Z</dcterms:modified>
</cp:coreProperties>
</file>

<file path=docProps/custom.xml><?xml version="1.0" encoding="utf-8"?>
<Properties xmlns="http://schemas.openxmlformats.org/officeDocument/2006/custom-properties" xmlns:vt="http://schemas.openxmlformats.org/officeDocument/2006/docPropsVTypes"/>
</file>