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ECMamba: gated fusion of protein language model and MSA-aware selective state-space representations for enzyme function annotation</w:t>
      </w:r>
    </w:p>
    <w:p>
      <w:pPr>
        <w:pStyle w:val="Normal"/>
      </w:pPr>
      <w:r>
        <w:rPr>
          <w:rFonts w:ascii="Times New Roman" w:cs="Times New Roman" w:eastAsia="Times New Roman" w:hAnsi="Times New Roman"/>
          <w:sz w:val="24"/>
          <w:szCs w:val="24"/>
        </w:rPr>
        <w:t xml:space="preserve">[Author names to be inserted]</w:t>
      </w:r>
    </w:p>
    <w:p>
      <w:pPr>
        <w:spacing w:after="60"/>
      </w:pPr>
      <w:r>
        <w:rPr>
          <w:rFonts w:ascii="Times New Roman" w:cs="Times New Roman" w:eastAsia="Times New Roman" w:hAnsi="Times New Roman"/>
          <w:i/>
          <w:iCs/>
          <w:sz w:val="24"/>
          <w:szCs w:val="24"/>
        </w:rPr>
        <w:t xml:space="preserve">[Affiliations to be inserted]</w:t>
      </w:r>
    </w:p>
    <w:p>
      <w:pPr>
        <w:spacing w:after="120"/>
      </w:pPr>
      <w:r>
        <w:rPr>
          <w:rFonts w:ascii="Times New Roman" w:cs="Times New Roman" w:eastAsia="Times New Roman" w:hAnsi="Times New Roman"/>
          <w:i/>
          <w:iCs/>
          <w:sz w:val="24"/>
          <w:szCs w:val="24"/>
        </w:rPr>
        <w:t xml:space="preserve">*To whom correspondence should be addressed: [institutional email]</w:t>
      </w:r>
    </w:p>
    <w:p>
      <w:pPr>
        <w:pStyle w:val="Heading1"/>
      </w:pPr>
      <w:r>
        <w:rPr>
          <w:rFonts w:ascii="Times New Roman" w:cs="Times New Roman" w:eastAsia="Times New Roman" w:hAnsi="Times New Roman"/>
          <w:b/>
          <w:bCs/>
        </w:rPr>
        <w:t xml:space="preserve">Abstract</w:t>
      </w:r>
    </w:p>
    <w:p>
      <w:pPr>
        <w:pStyle w:val="Normal"/>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Reliable Enzyme Commission annotation remains difficult for proteins with weakly characterized homologs and long-tail EC classes. Homology search depends strongly on close matches, sequence-only neural predictors miss explicit family-level conservation, and dense MSA attention models can be expensive on long or deep alignments. ECMamba addresses this gap by combining pretrained protein language model features with explicit evolutionary context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Normal"/>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ECMamba is implemented in Python. Source code, documentation, configuration examples and manuscript materials are available at https://github.com/duanHY-26/ECMamba.</w:t>
      </w:r>
    </w:p>
    <w:p>
      <w:pPr>
        <w:pStyle w:val="Normal"/>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[institutional email]</w:t>
      </w:r>
    </w:p>
    <w:p>
      <w:pPr>
        <w:pStyle w:val="Normal"/>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methods, extended benchmark tables, the full benchmark comparison figure and the projected computational profile are provided in the accompanying supplementary material.</w:t>
      </w:r>
    </w:p>
    <w:p>
      <w:pPr>
        <w:pStyle w:val="Heading1"/>
      </w:pPr>
      <w:r>
        <w:rPr>
          <w:rFonts w:ascii="Times New Roman" w:cs="Times New Roman" w:eastAsia="Times New Roman" w:hAnsi="Times New Roman"/>
          <w:b/>
          <w:bCs/>
        </w:rPr>
        <w:t xml:space="preserve">Introduction</w:t>
      </w:r>
    </w:p>
    <w:p>
      <w:pPr>
        <w:pStyle w:val="Normal"/>
      </w:pPr>
      <w:r>
        <w:rPr>
          <w:rFonts w:ascii="Times New Roman" w:cs="Times New Roman" w:eastAsia="Times New Roman" w:hAnsi="Times New Roman"/>
          <w:sz w:val="24"/>
          <w:szCs w:val="24"/>
        </w:rPr>
        <w:t xml:space="preserve">Enzyme annotation becomes unreliable as sequence identity decreases, yet many practical predictors still depend primarily on one information source at a time. Homology-search methods remain effective when close annotated enzymes exist, but they degrade when informative neighbors are sparse. Sequence-only deep models and protein language models improve generalization, yet they still lack direct access to residue agreement across homologs. Conversely, full MSA attention captures evolutionary structure but can be unnecessarily heavy for an application-focused workflow.</w:t>
      </w:r>
    </w:p>
    <w:p>
      <w:pPr>
        <w:pStyle w:val="Normal"/>
      </w:pPr>
      <w:r>
        <w:rPr>
          <w:rFonts w:ascii="Times New Roman" w:cs="Times New Roman" w:eastAsia="Times New Roman" w:hAnsi="Times New Roman"/>
          <w:sz w:val="24"/>
          <w:szCs w:val="24"/>
        </w:rP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 The central idea is therefore not merely to add another encoder, but to fuse broad sequence semantics with explicit evolutionary evidence in a computationally selective way.</w:t>
      </w:r>
    </w:p>
    <w:p>
      <w:pPr>
        <w:pStyle w:val="Heading1"/>
      </w:pPr>
      <w:r>
        <w:rPr>
          <w:rFonts w:ascii="Times New Roman" w:cs="Times New Roman" w:eastAsia="Times New Roman" w:hAnsi="Times New Roman"/>
          <w:b/>
          <w:bCs/>
        </w:rPr>
        <w:t xml:space="preserve">Implementation</w:t>
      </w:r>
    </w:p>
    <w:p>
      <w:pPr>
        <w:pStyle w:val="Normal"/>
      </w:pPr>
      <w:r>
        <w:rPr>
          <w:rFonts w:ascii="Times New Roman" w:cs="Times New Roman" w:eastAsia="Times New Roman" w:hAnsi="Times New Roman"/>
          <w:sz w:val="24"/>
          <w:szCs w:val="24"/>
        </w:rP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Normal"/>
      </w:pPr>
      <w:r>
        <w:rPr>
          <w:rFonts w:ascii="Times New Roman" w:cs="Times New Roman" w:eastAsia="Times New Roman" w:hAnsi="Times New Roman"/>
          <w:sz w:val="24"/>
          <w:szCs w:val="24"/>
        </w:rP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This design contributes three practical innovations: linear-time sequence mixing inside each homolog, targeted cross-homolog interaction at aligned columns, and adaptive branch weighting instead of fixed fusion. The released code also records label coverage, threshold sweeps and run configurations for reproducibility, which makes the workflow easier to inspect and reuse.</w:t>
      </w:r>
    </w:p>
    <w:p>
      <w:pPr>
        <w:spacing w:after="40" w:before="80"/>
        <w:jc w:val="center"/>
      </w:pPr>
      <w:r>
        <w:drawing>
          <wp:inline distT="0" distB="0" distL="0" distR="0">
            <wp:extent cx="5334000" cy="2857500"/>
            <wp:effectExtent t="0" r="0" b="0" l="0"/>
            <wp:docPr id="1" name="ECMamba framework, training flow and inference flow" descr="ECMamba framework, training flow and inference flow" title="ECMamba framework, training flow and infer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1. ECMamba framework and workflow. (A) Dual-branch architecture for language-model and MSA inputs. (B) Row-wise Mamba block used in the MSA encoder. (C) Training workflow with the focal-BCE objective. (D) Inference workflow for EC prediction.</w:t>
      </w:r>
    </w:p>
    <w:p>
      <w:pPr>
        <w:pStyle w:val="Heading1"/>
      </w:pPr>
      <w:r>
        <w:rPr>
          <w:rFonts w:ascii="Times New Roman" w:cs="Times New Roman" w:eastAsia="Times New Roman" w:hAnsi="Times New Roman"/>
          <w:b/>
          <w:bCs/>
        </w:rPr>
        <w:t xml:space="preserve">Results</w:t>
      </w:r>
    </w:p>
    <w:p>
      <w:pPr>
        <w:pStyle w:val="Normal"/>
      </w:pPr>
      <w:r>
        <w:rPr>
          <w:rFonts w:ascii="Times New Roman" w:cs="Times New Roman" w:eastAsia="Times New Roman" w:hAnsi="Times New Roman"/>
          <w:sz w:val="24"/>
          <w:szCs w:val="24"/>
        </w:rP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 In practical terms, the method is most useful when users need a stronger application model than PLM-only baselines, but do not want the complexity of a full dense-attention MSA stack.</w:t>
      </w:r>
    </w:p>
    <w:p>
      <w:pPr>
        <w:spacing w:after="40" w:before="80"/>
        <w:jc w:val="center"/>
      </w:pPr>
      <w:r>
        <w:drawing>
          <wp:inline distT="0" distB="0" distL="0" distR="0">
            <wp:extent cx="5048250" cy="1952625"/>
            <wp:effectExtent t="0" r="0" b="0" l="0"/>
            <wp:docPr id="1" name="Benchmark comparison on NEW-392 and Price-149" descr="Benchmark comparison on NEW-392 and Price-149" title="Benchmark comparison on NEW-392 and Pric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952625"/>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2. Benchmark comparison on (A) NEW-392 and (B) Price-149. ECMamba corresponds to the red series and shows the best F1 on both displayed datasets.</w:t>
      </w:r>
    </w:p>
    <w:p>
      <w:pPr>
        <w:pStyle w:val="Heading1"/>
      </w:pPr>
      <w:r>
        <w:rPr>
          <w:rFonts w:ascii="Times New Roman" w:cs="Times New Roman" w:eastAsia="Times New Roman" w:hAnsi="Times New Roman"/>
          <w:b/>
          <w:bCs/>
        </w:rPr>
        <w:t xml:space="preserve">Discussion</w:t>
      </w:r>
    </w:p>
    <w:p>
      <w:pPr>
        <w:pStyle w:val="Normal"/>
      </w:pPr>
      <w:r>
        <w:rPr>
          <w:rFonts w:ascii="Times New Roman" w:cs="Times New Roman" w:eastAsia="Times New Roman" w:hAnsi="Times New Roman"/>
          <w:sz w:val="24"/>
          <w:szCs w:val="24"/>
        </w:rPr>
        <w:t xml:space="preserve">ECMamba is best viewed as a targeted extension of a strong sequence baseline rather than as a wholesale replacement for all existing EC annotation workflows. Its main advantage over mainstream alternatives is that it keeps the strong transferability of pretrained protein representations, adds explicit evolutionary evidence from MSAs, and avoids the cost of applying dense attention everywhere. The most important algorithmic novelty is the asymmetric fusion strategy: a lightweight pooled PLM branch, an MSA branch with row-wise selective state-space modeling and column-wise homolog attention, and a gate that learns when each source should dominate.</w:t>
      </w:r>
    </w:p>
    <w:p>
      <w:pPr>
        <w:pStyle w:val="Normal"/>
      </w:pPr>
      <w:r>
        <w:rPr>
          <w:rFonts w:ascii="Times New Roman" w:cs="Times New Roman" w:eastAsia="Times New Roman" w:hAnsi="Times New Roman"/>
          <w:sz w:val="24"/>
          <w:szCs w:val="24"/>
        </w:rPr>
        <w:t xml:space="preserve">The current evidence package still has clear limits. Resource numbers are projected rather than measured, and the supplied benchmark material does not yet include multi-seed uncertainty, ablation controls or gate-value analyses. Even so, the released implementation is easy to use in practice because it works from precomputed embeddings and common MSA formats, provides explicit output files for coverage and threshold analysis, and exposes a compact repository structure rather than a complicated service stack. The remaining methodological details, together with the full machine-learning dataset description, are therefore provided or summarized in the supplementary material, which is the appropriate location for Application Notes of this type.</w:t>
      </w:r>
    </w:p>
    <w:p>
      <w:pPr>
        <w:pStyle w:val="Heading1"/>
      </w:pPr>
      <w:r>
        <w:rPr>
          <w:rFonts w:ascii="Times New Roman" w:cs="Times New Roman" w:eastAsia="Times New Roman" w:hAnsi="Times New Roman"/>
          <w:b/>
          <w:bCs/>
        </w:rPr>
        <w:t xml:space="preserve">Funding</w:t>
      </w:r>
    </w:p>
    <w:p>
      <w:pPr>
        <w:pStyle w:val="Normal"/>
      </w:pPr>
      <w:r>
        <w:rPr>
          <w:rFonts w:ascii="Times New Roman" w:cs="Times New Roman" w:eastAsia="Times New Roman" w:hAnsi="Times New Roman"/>
          <w:sz w:val="24"/>
          <w:szCs w:val="24"/>
        </w:rPr>
        <w:t xml:space="preserve">[Funding information to be inserted.]</w:t>
      </w:r>
    </w:p>
    <w:p>
      <w:pPr>
        <w:pStyle w:val="Heading1"/>
      </w:pPr>
      <w:r>
        <w:rPr>
          <w:rFonts w:ascii="Times New Roman" w:cs="Times New Roman" w:eastAsia="Times New Roman" w:hAnsi="Times New Roman"/>
          <w:b/>
          <w:bCs/>
        </w:rPr>
        <w:t xml:space="preserve">Conflict of interest</w:t>
      </w:r>
    </w:p>
    <w:p>
      <w:pPr>
        <w:pStyle w:val="Normal"/>
      </w:pPr>
      <w:r>
        <w:rPr>
          <w:rFonts w:ascii="Times New Roman" w:cs="Times New Roman" w:eastAsia="Times New Roman" w:hAnsi="Times New Roman"/>
          <w:sz w:val="24"/>
          <w:szCs w:val="24"/>
        </w:rPr>
        <w:t xml:space="preserve">The authors declare no competing interests.</w:t>
      </w:r>
    </w:p>
    <w:p>
      <w:pPr>
        <w:pStyle w:val="Heading1"/>
        <w:pageBreakBefore/>
      </w:pPr>
      <w:r>
        <w:rPr>
          <w:rFonts w:ascii="Times New Roman" w:cs="Times New Roman" w:eastAsia="Times New Roman" w:hAnsi="Times New Roman"/>
          <w:b/>
          <w:bCs/>
        </w:rPr>
        <w:t xml:space="preserve">References</w:t>
      </w:r>
    </w:p>
    <w:p>
      <w:pPr>
        <w:pStyle w:val="Normal"/>
        <w:spacing w:after="40" w:line="360" w:lineRule="auto"/>
      </w:pPr>
      <w:r>
        <w:rPr>
          <w:rFonts w:ascii="Times New Roman" w:cs="Times New Roman" w:eastAsia="Times New Roman" w:hAnsi="Times New Roman"/>
          <w:sz w:val="24"/>
          <w:szCs w:val="24"/>
        </w:rPr>
        <w:t xml:space="preserve">1. Lin,Z. et al. (2023) Evolutionary-scale prediction of atomic-level protein structure with a language model. Science, 379, 1123-1130.</w:t>
      </w:r>
    </w:p>
    <w:p>
      <w:pPr>
        <w:pStyle w:val="Normal"/>
        <w:spacing w:after="40" w:line="360" w:lineRule="auto"/>
      </w:pPr>
      <w:r>
        <w:rPr>
          <w:rFonts w:ascii="Times New Roman" w:cs="Times New Roman" w:eastAsia="Times New Roman" w:hAnsi="Times New Roman"/>
          <w:sz w:val="24"/>
          <w:szCs w:val="24"/>
        </w:rPr>
        <w:t xml:space="preserve">2. Rao,R. et al. (2021) MSA Transformer. Proceedings of the 38th International Conference on Machine Learning, 8844-8856.</w:t>
      </w:r>
    </w:p>
    <w:p>
      <w:pPr>
        <w:pStyle w:val="Normal"/>
        <w:spacing w:after="40" w:line="360" w:lineRule="auto"/>
      </w:pPr>
      <w:r>
        <w:rPr>
          <w:rFonts w:ascii="Times New Roman" w:cs="Times New Roman" w:eastAsia="Times New Roman" w:hAnsi="Times New Roman"/>
          <w:sz w:val="24"/>
          <w:szCs w:val="24"/>
        </w:rPr>
        <w:t xml:space="preserve">3. Gu,A. and Dao,T. (2024) Mamba: Linear-Time Sequence Modeling with Selective State Spaces. Proceedings of the First Conference on Language Modeling.</w:t>
      </w:r>
    </w:p>
    <w:p>
      <w:pPr>
        <w:pStyle w:val="Normal"/>
        <w:spacing w:after="40" w:line="360" w:lineRule="auto"/>
      </w:pPr>
      <w:r>
        <w:rPr>
          <w:rFonts w:ascii="Times New Roman" w:cs="Times New Roman" w:eastAsia="Times New Roman" w:hAnsi="Times New Roman"/>
          <w:sz w:val="24"/>
          <w:szCs w:val="24"/>
        </w:rPr>
        <w:t xml:space="preserve">4. Yu,T. et al. (2023) Enzyme function prediction using contrastive learning. Science, 379, 1358-1363.</w:t>
      </w:r>
    </w:p>
    <w:p>
      <w:pPr>
        <w:pStyle w:val="Normal"/>
        <w:spacing w:after="40" w:line="360" w:lineRule="auto"/>
      </w:pPr>
      <w:r>
        <w:rPr>
          <w:rFonts w:ascii="Times New Roman" w:cs="Times New Roman" w:eastAsia="Times New Roman" w:hAnsi="Times New Roman"/>
          <w:sz w:val="24"/>
          <w:szCs w:val="24"/>
        </w:rPr>
        <w:t xml:space="preserve">5. Sanderson,T. et al. (2023) ProteInfer: deep networks for protein functional inference. eLife, 12, e80942.</w:t>
      </w:r>
    </w:p>
    <w:p>
      <w:pPr>
        <w:pStyle w:val="Normal"/>
        <w:spacing w:after="40" w:line="360" w:lineRule="auto"/>
      </w:pPr>
      <w:r>
        <w:rPr>
          <w:rFonts w:ascii="Times New Roman" w:cs="Times New Roman" w:eastAsia="Times New Roman" w:hAnsi="Times New Roman"/>
          <w:sz w:val="24"/>
          <w:szCs w:val="24"/>
        </w:rPr>
        <w:t xml:space="preserve">6. Ryu,J.Y. et al. (2019) Deep learning enables high-quality and high-throughput prediction of enzyme commission numbers. Proc. Natl. Acad. Sci. USA, 116, 13996-14001.</w:t>
      </w:r>
    </w:p>
    <w:p>
      <w:pPr>
        <w:pStyle w:val="Normal"/>
        <w:spacing w:after="40" w:line="360" w:lineRule="auto"/>
      </w:pPr>
      <w:r>
        <w:rPr>
          <w:rFonts w:ascii="Times New Roman" w:cs="Times New Roman" w:eastAsia="Times New Roman" w:hAnsi="Times New Roman"/>
          <w:sz w:val="24"/>
          <w:szCs w:val="24"/>
        </w:rPr>
        <w:t xml:space="preserve">7. Li,Y. et al. (2018) DEEPre: sequence-based enzyme EC number prediction by deep learning. Bioinformatics, 34, 760-769.</w:t>
      </w:r>
    </w:p>
    <w:p>
      <w:pPr>
        <w:pStyle w:val="Normal"/>
        <w:spacing w:after="40" w:line="360" w:lineRule="auto"/>
      </w:pPr>
      <w:r>
        <w:rPr>
          <w:rFonts w:ascii="Times New Roman" w:cs="Times New Roman" w:eastAsia="Times New Roman" w:hAnsi="Times New Roman"/>
          <w:sz w:val="24"/>
          <w:szCs w:val="24"/>
        </w:rPr>
        <w:t xml:space="preserve">8. Dalkiran,A. et al. (2018) ECPred: a tool for the prediction of the enzymatic functions of protein sequences based on the EC nomenclature. BMC Bioinformatics, 19, 334.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48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2"/>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2"/>
      </w:numPr>
      <w:spacing w:after="50" w:before="100" w:line="36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oter" Target="footer1.xml" /><Relationship Id="rId8" Type="http://schemas.openxmlformats.org/officeDocument/2006/relationships/image" Target="media/1a0572e595c0f882f113e179cb81ede027fc6b32.png" /><Relationship Id="rId9" Type="http://schemas.openxmlformats.org/officeDocument/2006/relationships/image" Target="media/e9e64c5ffe683526a8c20284c891133bdec9855e.png" /><Relationship Id="rId10"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2026-06-21T08:23:57.158Z</dcterms:created>
  <dcterms:modified xsi:type="dcterms:W3CDTF">2026-06-21T08:23:57.158Z</dcterms:modified>
</cp:coreProperties>
</file>

<file path=docProps/custom.xml><?xml version="1.0" encoding="utf-8"?>
<Properties xmlns="http://schemas.openxmlformats.org/officeDocument/2006/custom-properties" xmlns:vt="http://schemas.openxmlformats.org/officeDocument/2006/docPropsVTypes"/>
</file>