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28"/>
          <w:szCs w:val="28"/>
        </w:rPr>
        <w:t xml:space="preserve">Supplementary Material for ECMamba</w:t>
      </w:r>
    </w:p>
    <w:p>
      <w:pPr>
        <w:pStyle w:val="Heading1"/>
      </w:pPr>
      <w:r>
        <w:rPr>
          <w:rFonts w:ascii="Times New Roman" w:cs="Times New Roman" w:eastAsia="Times New Roman" w:hAnsi="Times New Roman"/>
          <w:b/>
          <w:bCs/>
        </w:rPr>
        <w:t xml:space="preserve">S1 Compliance note</w:t>
      </w:r>
    </w:p>
    <w:p>
      <w:pPr>
        <w:pStyle w:val="Normal"/>
      </w:pPr>
      <w:r>
        <w:rPr>
          <w:rFonts w:ascii="Times New Roman" w:cs="Times New Roman" w:eastAsia="Times New Roman" w:hAnsi="Times New Roman"/>
          <w:sz w:val="24"/>
          <w:szCs w:val="24"/>
        </w:rPr>
        <w:t xml:space="preserve">This supplementary file contains material that is useful for review and reproducibility but is not essential to keep in the 4-page main text. The main article therefore retains the central software description together with the framework and benchmark figures, while extended methodological details, benchmark tables and projected resource estimates are moved here.</w:t>
      </w:r>
    </w:p>
    <w:p>
      <w:pPr>
        <w:pStyle w:val="Heading1"/>
      </w:pPr>
      <w:r>
        <w:rPr>
          <w:rFonts w:ascii="Times New Roman" w:cs="Times New Roman" w:eastAsia="Times New Roman" w:hAnsi="Times New Roman"/>
          <w:b/>
          <w:bCs/>
        </w:rPr>
        <w:t xml:space="preserve">S2 Machine-learning dataset description</w:t>
      </w:r>
    </w:p>
    <w:p>
      <w:pPr>
        <w:pStyle w:val="Normal"/>
      </w:pPr>
      <w:r>
        <w:rPr>
          <w:rFonts w:ascii="Times New Roman" w:cs="Times New Roman" w:eastAsia="Times New Roman" w:hAnsi="Times New Roman"/>
          <w:sz w:val="24"/>
          <w:szCs w:val="24"/>
        </w:rPr>
        <w:t xml:space="preserve">The released workflow trains on the split100 partition and evaluates on the NEW and Price benchmark sets. The HARD split is deliberately excluded in the current implementation. The EC vocabulary is defined strictly from labels observed in the training partition, and evaluation samples with no covered labels are excluded only after coverage accounting.</w:t>
      </w:r>
    </w:p>
    <w:p>
      <w:pPr>
        <w:pStyle w:val="Normal"/>
      </w:pPr>
      <w:r>
        <w:rPr>
          <w:rFonts w:ascii="Times New Roman" w:cs="Times New Roman" w:eastAsia="Times New Roman" w:hAnsi="Times New Roman"/>
          <w:sz w:val="24"/>
          <w:szCs w:val="24"/>
        </w:rPr>
        <w:t xml:space="preserve">The code accepts protein identifiers, EC labels and optional raw sequences from common table fields or explicitly mapped columns. EC assignments can be separated by semicolons, commas, tabs, pipes or spaces and are normalized before deduplication. On the feature side, the implementation reads precomputed ESM representations from PyTorch, NumPy, pickle or HDF5 containers. On the evolutionary side, the MSA loader accepts A3M, A2M, FASTA and related formats, removes lower-case insertions, retains gaps as a dedicated token, removes exact duplicate rows and preserves the query as the first row.</w:t>
      </w:r>
    </w:p>
    <w:p>
      <w:pPr>
        <w:pStyle w:val="Heading1"/>
      </w:pPr>
      <w:r>
        <w:rPr>
          <w:rFonts w:ascii="Times New Roman" w:cs="Times New Roman" w:eastAsia="Times New Roman" w:hAnsi="Times New Roman"/>
          <w:b/>
          <w:bCs/>
        </w:rPr>
        <w:t xml:space="preserve">S3 Model and optimization details</w:t>
      </w:r>
    </w:p>
    <w:p>
      <w:pPr>
        <w:pStyle w:val="Normal"/>
      </w:pPr>
      <w:r>
        <w:rPr>
          <w:rFonts w:ascii="Times New Roman" w:cs="Times New Roman" w:eastAsia="Times New Roman" w:hAnsi="Times New Roman"/>
          <w:sz w:val="24"/>
          <w:szCs w:val="24"/>
        </w:rPr>
        <w:t xml:space="preserve">The language-model branch applies LayerNorm, linear projection, dropout and attentive, mean and max pooling to the pretrained sequence embeddings. The MSA branch embeds aligned residues and alternates row-wise Mamba with column-wise multi-head attention. Pooling is applied to the evolutionarily updated query row, after which a feature-wise gate combines language-model and MSA representations using the two vectors themselves, their absolute difference and their element-wise product.</w:t>
      </w:r>
    </w:p>
    <w:p>
      <w:pPr>
        <w:pStyle w:val="Normal"/>
      </w:pPr>
      <w:r>
        <w:rPr>
          <w:rFonts w:ascii="Times New Roman" w:cs="Times New Roman" w:eastAsia="Times New Roman" w:hAnsi="Times New Roman"/>
          <w:sz w:val="24"/>
          <w:szCs w:val="24"/>
        </w:rPr>
        <w:t xml:space="preserve">Default training settings in the released script are 20 epochs, batch size 256, learning rate 5e-4, weight decay 1e-4, two warm-up epochs, automatic mixed precision on CUDA and gradient clipping at 1.0. The default objective is focal binary cross-entropy with focal exponent 2. Thresholds are swept from 0.005 to 0.5, while the selected operating point in the script is 0.07. The code explicitly warns that test-optimal thresholds are diagnostic only.</w:t>
      </w:r>
    </w:p>
    <w:p>
      <w:pPr>
        <w:pStyle w:val="Heading1"/>
      </w:pPr>
      <w:r>
        <w:rPr>
          <w:rFonts w:ascii="Times New Roman" w:cs="Times New Roman" w:eastAsia="Times New Roman" w:hAnsi="Times New Roman"/>
          <w:b/>
          <w:bCs/>
        </w:rPr>
        <w:t xml:space="preserve">S4 Extended benchmark tables</w:t>
      </w:r>
    </w:p>
    <w:p>
      <w:pPr>
        <w:pStyle w:val="Normal"/>
      </w:pPr>
      <w:r>
        <w:rPr>
          <w:rFonts w:ascii="Times New Roman" w:cs="Times New Roman" w:eastAsia="Times New Roman" w:hAnsi="Times New Roman"/>
          <w:sz w:val="24"/>
          <w:szCs w:val="24"/>
        </w:rPr>
        <w:t xml:space="preserve">Table S1 summarizes the position of ECMamba relative to mainstream method families.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500"/>
        <w:gridCol w:w="2860"/>
      </w:tblGrid>
      <w:tr>
        <w:trPr>
          <w:cantSplit/>
        </w:trPr>
        <w:tc>
          <w:tcPr>
            <w:tcW w:type="dxa" w:w="19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Method family</w:t>
            </w:r>
          </w:p>
        </w:tc>
        <w:tc>
          <w:tcPr>
            <w:tcW w:type="dxa" w:w="21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Representative methods</w:t>
            </w:r>
          </w:p>
        </w:tc>
        <w:tc>
          <w:tcPr>
            <w:tcW w:type="dxa" w:w="25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Typical limitation</w:t>
            </w:r>
          </w:p>
        </w:tc>
        <w:tc>
          <w:tcPr>
            <w:tcW w:type="dxa" w:w="286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ECMamba advantage</w:t>
            </w:r>
          </w:p>
        </w:tc>
      </w:tr>
      <w:tr>
        <w:trPr>
          <w:cantSplit/>
        </w:trPr>
        <w:tc>
          <w:tcPr>
            <w:tcW w:type="dxa" w:w="19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Homology search</w:t>
            </w:r>
          </w:p>
        </w:tc>
        <w:tc>
          <w:tcPr>
            <w:tcW w:type="dxa" w:w="21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BLASTp</w:t>
            </w:r>
          </w:p>
        </w:tc>
        <w:tc>
          <w:tcPr>
            <w:tcW w:type="dxa" w:w="2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Depends strongly on close matches and search configuration</w:t>
            </w:r>
          </w:p>
        </w:tc>
        <w:tc>
          <w:tcPr>
            <w:tcW w:type="dxa" w:w="28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Adds family-level alignment context and shows a larger F1 margin on Price-149</w:t>
            </w:r>
          </w:p>
        </w:tc>
      </w:tr>
      <w:tr>
        <w:trPr>
          <w:cantSplit/>
        </w:trPr>
        <w:tc>
          <w:tcPr>
            <w:tcW w:type="dxa" w:w="19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Sequence-only classifiers</w:t>
            </w:r>
          </w:p>
        </w:tc>
        <w:tc>
          <w:tcPr>
            <w:tcW w:type="dxa" w:w="21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ProteInfer, DeepEC, DEEPre, ECPred</w:t>
            </w:r>
          </w:p>
        </w:tc>
        <w:tc>
          <w:tcPr>
            <w:tcW w:type="dxa" w:w="2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No explicit residue agreement across homologs</w:t>
            </w:r>
          </w:p>
        </w:tc>
        <w:tc>
          <w:tcPr>
            <w:tcW w:type="dxa" w:w="28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Adds evolutionary context while keeping a compact protein-level classifier</w:t>
            </w:r>
          </w:p>
        </w:tc>
      </w:tr>
      <w:tr>
        <w:trPr>
          <w:cantSplit/>
        </w:trPr>
        <w:tc>
          <w:tcPr>
            <w:tcW w:type="dxa" w:w="19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PLM-only predictors</w:t>
            </w:r>
          </w:p>
        </w:tc>
        <w:tc>
          <w:tcPr>
            <w:tcW w:type="dxa" w:w="21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baseline_mlp, CLEAN</w:t>
            </w:r>
          </w:p>
        </w:tc>
        <w:tc>
          <w:tcPr>
            <w:tcW w:type="dxa" w:w="2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No direct cross-homolog interaction in the forward pass</w:t>
            </w:r>
          </w:p>
        </w:tc>
        <w:tc>
          <w:tcPr>
            <w:tcW w:type="dxa" w:w="28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Feature-wise gated fusion improves recall with only minor precision loss</w:t>
            </w:r>
          </w:p>
        </w:tc>
      </w:tr>
      <w:tr>
        <w:trPr>
          <w:cantSplit/>
        </w:trPr>
        <w:tc>
          <w:tcPr>
            <w:tcW w:type="dxa" w:w="19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Full MSA attention models</w:t>
            </w:r>
          </w:p>
        </w:tc>
        <w:tc>
          <w:tcPr>
            <w:tcW w:type="dxa" w:w="21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MSA Transformer-style encoders</w:t>
            </w:r>
          </w:p>
        </w:tc>
        <w:tc>
          <w:tcPr>
            <w:tcW w:type="dxa" w:w="2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High all-cell attention cost on long or deep MSAs</w:t>
            </w:r>
          </w:p>
        </w:tc>
        <w:tc>
          <w:tcPr>
            <w:tcW w:type="dxa" w:w="28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Uses row-wise Mamba for linear-time sequence mixing and column attention only where needed</w:t>
            </w:r>
          </w:p>
        </w:tc>
      </w:tr>
    </w:tbl>
    <w:p>
      <w:pPr>
        <w:spacing w:after="80" w:before="20"/>
        <w:jc w:val="center"/>
      </w:pPr>
      <w:r>
        <w:rPr>
          <w:rFonts w:ascii="Times New Roman" w:cs="Times New Roman" w:eastAsia="Times New Roman" w:hAnsi="Times New Roman"/>
          <w:i/>
          <w:iCs/>
          <w:sz w:val="22"/>
          <w:szCs w:val="22"/>
        </w:rPr>
        <w:t xml:space="preserve">Table S1. Qualitative positioning of ECMamba relative to mainstream enzyme annotation method families.</w:t>
      </w:r>
    </w:p>
    <w:p>
      <w:pPr>
        <w:pStyle w:val="Normal"/>
      </w:pPr>
      <w:r>
        <w:rPr>
          <w:rFonts w:ascii="Times New Roman" w:cs="Times New Roman" w:eastAsia="Times New Roman" w:hAnsi="Times New Roman"/>
          <w:sz w:val="24"/>
          <w:szCs w:val="24"/>
        </w:rPr>
        <w:t xml:space="preserve">Table S2 lists the benchmark scores transcribed from the supplied comparison figure.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080"/>
        <w:gridCol w:w="1080"/>
        <w:gridCol w:w="1080"/>
        <w:gridCol w:w="1080"/>
        <w:gridCol w:w="1080"/>
        <w:gridCol w:w="1080"/>
      </w:tblGrid>
      <w:tr>
        <w:trPr>
          <w:cantSplit/>
        </w:trPr>
        <w:tc>
          <w:tcPr>
            <w:tcW w:type="dxa" w:w="17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Method</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NEW P</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NEW R</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NEW F1</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Price P</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Price R</w:t>
            </w:r>
          </w:p>
        </w:tc>
        <w:tc>
          <w:tcPr>
            <w:tcW w:type="dxa" w:w="108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Price F1</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ECMamba</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0.662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0.634</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0.601</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0.603</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0.592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bCs/>
                <w:sz w:val="22"/>
                <w:szCs w:val="22"/>
              </w:rPr>
              <w:t xml:space="preserve">0.570</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baseline_mlp</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0.674</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0.602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0.592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0.608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0.520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0.527</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CLEAN</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0.597</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0.481</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0.499</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0.584</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0.467</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0.495</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BLASTp</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0.508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0.375</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0.385</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ProteInfer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0.409</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0.284</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0.309</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0.243</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0.138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0.166</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DeepEC</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0.298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0.217</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0.230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0.118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0.072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0.085</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DEEPre</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NR</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0.042</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0.040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0.039</w:t>
            </w:r>
          </w:p>
        </w:tc>
      </w:tr>
      <w:tr>
        <w:trPr>
          <w:cantSplit/>
        </w:trPr>
        <w:tc>
          <w:tcPr>
            <w:tcW w:type="dxa" w:w="17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ECPred</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0.118</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0.095</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0.100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0.020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0.020</w:t>
            </w:r>
          </w:p>
        </w:tc>
        <w:tc>
          <w:tcPr>
            <w:tcW w:type="dxa" w:w="108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center"/>
            </w:pPr>
            <w:r>
              <w:rPr>
                <w:rFonts w:ascii="Times New Roman" w:cs="Times New Roman" w:eastAsia="Times New Roman" w:hAnsi="Times New Roman"/>
                <w:b w:val="false"/>
                <w:bCs w:val="false"/>
                <w:sz w:val="22"/>
                <w:szCs w:val="22"/>
              </w:rPr>
              <w:t xml:space="preserve">0.020</w:t>
            </w:r>
          </w:p>
        </w:tc>
      </w:tr>
    </w:tbl>
    <w:p>
      <w:pPr>
        <w:spacing w:after="80" w:before="20"/>
        <w:jc w:val="center"/>
      </w:pPr>
      <w:r>
        <w:rPr>
          <w:rFonts w:ascii="Times New Roman" w:cs="Times New Roman" w:eastAsia="Times New Roman" w:hAnsi="Times New Roman"/>
          <w:i/>
          <w:iCs/>
          <w:sz w:val="22"/>
          <w:szCs w:val="22"/>
        </w:rPr>
        <w:t xml:space="preserve">Table S2. Benchmark scores transcribed from the supplied comparison figure. NR indicates that the corresponding metric was not reported for that dataset.</w:t>
      </w:r>
    </w:p>
    <w:p>
      <w:pPr>
        <w:pStyle w:val="Heading1"/>
      </w:pPr>
      <w:r>
        <w:rPr>
          <w:rFonts w:ascii="Times New Roman" w:cs="Times New Roman" w:eastAsia="Times New Roman" w:hAnsi="Times New Roman"/>
          <w:b/>
          <w:bCs/>
        </w:rPr>
        <w:t xml:space="preserve">S5 Gated-fusion equation</w:t>
      </w:r>
    </w:p>
    <w:p>
      <w:pPr>
        <w:spacing w:after="30" w:before="80"/>
        <w:jc w:val="center"/>
      </w:pPr>
      <w:r>
        <w:drawing>
          <wp:inline distT="0" distB="0" distL="0" distR="0">
            <wp:extent cx="4953000" cy="857250"/>
            <wp:effectExtent t="0" r="0" b="0" l="0"/>
            <wp:docPr id="1" name="Feature-wise gated fusion used in ECMamba" descr="Feature-wise gated fusion used in ECMamba" title="Feature-wise gated fusion used in ECMa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857250"/>
                    </a:xfrm>
                    <a:prstGeom prst="rect">
                      <a:avLst/>
                    </a:prstGeom>
                  </pic:spPr>
                </pic:pic>
              </a:graphicData>
            </a:graphic>
          </wp:inline>
        </w:drawing>
      </w:r>
    </w:p>
    <w:p>
      <w:pPr>
        <w:spacing w:after="80" w:before="20"/>
        <w:jc w:val="center"/>
      </w:pPr>
      <w:r>
        <w:rPr>
          <w:rFonts w:ascii="Times New Roman" w:cs="Times New Roman" w:eastAsia="Times New Roman" w:hAnsi="Times New Roman"/>
          <w:i/>
          <w:iCs/>
          <w:sz w:val="22"/>
          <w:szCs w:val="22"/>
        </w:rPr>
        <w:t xml:space="preserve">Figure S1. Feature-wise gated fusion used in ECMamba.</w:t>
      </w:r>
    </w:p>
    <w:p>
      <w:pPr>
        <w:pStyle w:val="Normal"/>
      </w:pPr>
      <w:r>
        <w:rPr>
          <w:rFonts w:ascii="Times New Roman" w:cs="Times New Roman" w:eastAsia="Times New Roman" w:hAnsi="Times New Roman"/>
          <w:sz w:val="24"/>
          <w:szCs w:val="24"/>
        </w:rPr>
        <w:t xml:space="preserve">The gate is initialized with a positive bias so that optimization starts from a stable preference for pretrained sequence features and only later increases the contribution of explicit evolutionary evidence where useful.</w:t>
      </w:r>
    </w:p>
    <w:p>
      <w:pPr>
        <w:pStyle w:val="Heading1"/>
      </w:pPr>
      <w:r>
        <w:rPr>
          <w:rFonts w:ascii="Times New Roman" w:cs="Times New Roman" w:eastAsia="Times New Roman" w:hAnsi="Times New Roman"/>
          <w:b/>
          <w:bCs/>
        </w:rPr>
        <w:t xml:space="preserve">S6 Projected computational profile</w:t>
      </w:r>
    </w:p>
    <w:p>
      <w:pPr>
        <w:pStyle w:val="Normal"/>
      </w:pPr>
      <w:r>
        <w:rPr>
          <w:rFonts w:ascii="Times New Roman" w:cs="Times New Roman" w:eastAsia="Times New Roman" w:hAnsi="Times New Roman"/>
          <w:sz w:val="24"/>
          <w:szCs w:val="24"/>
        </w:rPr>
        <w:t xml:space="preserve">The current experiment package contains analytical planning ranges rather than measured profiler outputs. Under the reference workload of 100,000 proteins, 20 epochs, precomputed ESM features, one NVIDIA A100 80 GB accelerator, mixed precision, batch size 64, ESM length capped at 1000, and MSA tensors capped at 64 × 512, the projected cost is summarized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500"/>
        <w:gridCol w:w="2460"/>
      </w:tblGrid>
      <w:tr>
        <w:trPr>
          <w:cantSplit/>
        </w:trPr>
        <w:tc>
          <w:tcPr>
            <w:tcW w:type="dxa" w:w="22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Context</w:t>
            </w:r>
          </w:p>
        </w:tc>
        <w:tc>
          <w:tcPr>
            <w:tcW w:type="dxa" w:w="32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Setting</w:t>
            </w:r>
          </w:p>
        </w:tc>
        <w:tc>
          <w:tcPr>
            <w:tcW w:type="dxa" w:w="150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Metric</w:t>
            </w:r>
          </w:p>
        </w:tc>
        <w:tc>
          <w:tcPr>
            <w:tcW w:type="dxa" w:w="2460"/>
            <w:tcBorders>
              <w:top w:val="single" w:color="D0D7DE" w:sz="1"/>
              <w:left w:val="single" w:color="D0D7DE" w:sz="1"/>
              <w:bottom w:val="single" w:color="D0D7DE" w:sz="1"/>
              <w:right w:val="single" w:color="D0D7DE" w:sz="1"/>
            </w:tcBorders>
            <w:shd w:fill="F1F5F9" w:val="clear"/>
            <w:tcMar>
              <w:top w:type="dxa" w:w="50"/>
              <w:left w:type="dxa" w:w="80"/>
              <w:bottom w:type="dxa" w:w="50"/>
              <w:right w:type="dxa" w:w="80"/>
            </w:tcMar>
          </w:tcPr>
          <w:p>
            <w:pPr>
              <w:spacing w:after="10" w:line="360" w:lineRule="auto"/>
              <w:jc w:val="left"/>
            </w:pPr>
            <w:r>
              <w:rPr>
                <w:rFonts w:ascii="Times New Roman" w:cs="Times New Roman" w:eastAsia="Times New Roman" w:hAnsi="Times New Roman"/>
                <w:b/>
                <w:bCs/>
                <w:sz w:val="22"/>
                <w:szCs w:val="22"/>
              </w:rPr>
              <w:t xml:space="preserve">Value</w:t>
            </w:r>
          </w:p>
        </w:tc>
      </w:tr>
      <w:tr>
        <w:trPr>
          <w:cantSplit/>
        </w:trPr>
        <w:tc>
          <w:tcPr>
            <w:tcW w:type="dxa" w:w="2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Reference workload</w:t>
            </w:r>
          </w:p>
        </w:tc>
        <w:tc>
          <w:tcPr>
            <w:tcW w:type="dxa" w:w="3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100,000 proteins; 20 epochs; one A100 80 GB; mixed precision; batch size 64</w:t>
            </w:r>
          </w:p>
        </w:tc>
        <w:tc>
          <w:tcPr>
            <w:tcW w:type="dxa" w:w="1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Training wall time</w:t>
            </w:r>
          </w:p>
        </w:tc>
        <w:tc>
          <w:tcPr>
            <w:tcW w:type="dxa" w:w="24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18-30 accelerator-hours</w:t>
            </w:r>
          </w:p>
        </w:tc>
      </w:tr>
      <w:tr>
        <w:trPr>
          <w:cantSplit/>
        </w:trPr>
        <w:tc>
          <w:tcPr>
            <w:tcW w:type="dxa" w:w="2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Reference workload</w:t>
            </w:r>
          </w:p>
        </w:tc>
        <w:tc>
          <w:tcPr>
            <w:tcW w:type="dxa" w:w="3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Same setting as above</w:t>
            </w:r>
          </w:p>
        </w:tc>
        <w:tc>
          <w:tcPr>
            <w:tcW w:type="dxa" w:w="1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Peak accelerator memory</w:t>
            </w:r>
          </w:p>
        </w:tc>
        <w:tc>
          <w:tcPr>
            <w:tcW w:type="dxa" w:w="24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24-36 GB GPU memory</w:t>
            </w:r>
          </w:p>
        </w:tc>
      </w:tr>
      <w:tr>
        <w:trPr>
          <w:cantSplit/>
        </w:trPr>
        <w:tc>
          <w:tcPr>
            <w:tcW w:type="dxa" w:w="2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Inference workload</w:t>
            </w:r>
          </w:p>
        </w:tc>
        <w:tc>
          <w:tcPr>
            <w:tcW w:type="dxa" w:w="3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10,000 proteins after ESM feature preparation and MSA construction</w:t>
            </w:r>
          </w:p>
        </w:tc>
        <w:tc>
          <w:tcPr>
            <w:tcW w:type="dxa" w:w="1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Inference latency</w:t>
            </w:r>
          </w:p>
        </w:tc>
        <w:tc>
          <w:tcPr>
            <w:tcW w:type="dxa" w:w="24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3-8 min</w:t>
            </w:r>
          </w:p>
        </w:tc>
      </w:tr>
      <w:tr>
        <w:trPr>
          <w:cantSplit/>
        </w:trPr>
        <w:tc>
          <w:tcPr>
            <w:tcW w:type="dxa" w:w="2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Scope note</w:t>
            </w:r>
          </w:p>
        </w:tc>
        <w:tc>
          <w:tcPr>
            <w:tcW w:type="dxa" w:w="32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Planning values rather than profiler measurements</w:t>
            </w:r>
          </w:p>
        </w:tc>
        <w:tc>
          <w:tcPr>
            <w:tcW w:type="dxa" w:w="150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Excluded cost</w:t>
            </w:r>
          </w:p>
        </w:tc>
        <w:tc>
          <w:tcPr>
            <w:tcW w:type="dxa" w:w="2460"/>
            <w:tcBorders>
              <w:top w:val="single" w:color="D0D7DE" w:sz="1"/>
              <w:left w:val="single" w:color="D0D7DE" w:sz="1"/>
              <w:bottom w:val="single" w:color="D0D7DE" w:sz="1"/>
              <w:right w:val="single" w:color="D0D7DE" w:sz="1"/>
            </w:tcBorders>
            <w:tcMar>
              <w:top w:type="dxa" w:w="50"/>
              <w:left w:type="dxa" w:w="80"/>
              <w:bottom w:type="dxa" w:w="50"/>
              <w:right w:type="dxa" w:w="80"/>
            </w:tcMar>
          </w:tcPr>
          <w:p>
            <w:pPr>
              <w:spacing w:after="10" w:line="360" w:lineRule="auto"/>
              <w:jc w:val="left"/>
            </w:pPr>
            <w:r>
              <w:rPr>
                <w:rFonts w:ascii="Times New Roman" w:cs="Times New Roman" w:eastAsia="Times New Roman" w:hAnsi="Times New Roman"/>
                <w:b w:val="false"/>
                <w:bCs w:val="false"/>
                <w:sz w:val="22"/>
                <w:szCs w:val="22"/>
              </w:rPr>
              <w:t xml:space="preserve">ESM feature generation and MSA database search</w:t>
            </w:r>
          </w:p>
        </w:tc>
      </w:tr>
    </w:tbl>
    <w:p>
      <w:pPr>
        <w:spacing w:after="80" w:before="20"/>
        <w:jc w:val="center"/>
      </w:pPr>
      <w:r>
        <w:rPr>
          <w:rFonts w:ascii="Times New Roman" w:cs="Times New Roman" w:eastAsia="Times New Roman" w:hAnsi="Times New Roman"/>
          <w:i/>
          <w:iCs/>
          <w:sz w:val="22"/>
          <w:szCs w:val="22"/>
        </w:rPr>
        <w:t xml:space="preserve">Table S3. Projected computational profile under the supplied reference workload.</w:t>
      </w:r>
    </w:p>
    <w:p>
      <w:pPr>
        <w:pStyle w:val="Normal"/>
      </w:pPr>
      <w:r>
        <w:rPr>
          <w:rFonts w:ascii="Times New Roman" w:cs="Times New Roman" w:eastAsia="Times New Roman" w:hAnsi="Times New Roman"/>
          <w:sz w:val="24"/>
          <w:szCs w:val="24"/>
        </w:rPr>
        <w:t xml:space="preserve">These values should not be presented as measured throughput. A submission that aims to claim efficiency should additionally report exact hardware, CUDA and PyTorch versions, trainable parameter count, sequence length distributions, padding efficiency, preprocessing cost and repeated-run variation.</w:t>
      </w:r>
    </w:p>
    <w:p>
      <w:pPr>
        <w:pStyle w:val="Heading1"/>
      </w:pPr>
      <w:r>
        <w:rPr>
          <w:rFonts w:ascii="Times New Roman" w:cs="Times New Roman" w:eastAsia="Times New Roman" w:hAnsi="Times New Roman"/>
          <w:b/>
          <w:bCs/>
        </w:rPr>
        <w:t xml:space="preserve">S7 Reproducibility files produced by the code</w:t>
      </w:r>
    </w:p>
    <w:p>
      <w:pPr>
        <w:pStyle w:val="Normal"/>
      </w:pPr>
      <w:r>
        <w:rPr>
          <w:rFonts w:ascii="Times New Roman" w:cs="Times New Roman" w:eastAsia="Times New Roman" w:hAnsi="Times New Roman"/>
          <w:sz w:val="24"/>
          <w:szCs w:val="24"/>
        </w:rPr>
        <w:t xml:space="preserve">The training and evaluation script writes dataset statistics, label coverage, metric sweeps, selected-threshold summaries, per-label metrics, run configuration metadata and comparison plots to the output directory. These outputs are important because they preserve the basis for post hoc error analysis and make threshold choice auditable.</w:t>
      </w:r>
    </w:p>
    <w:p>
      <w:pPr>
        <w:pStyle w:val="Normal"/>
        <w:numPr>
          <w:ilvl w:val="0"/>
          <w:numId w:val="2"/>
        </w:numPr>
      </w:pPr>
      <w:r>
        <w:rPr>
          <w:rFonts w:ascii="Times New Roman" w:cs="Times New Roman" w:eastAsia="Times New Roman" w:hAnsi="Times New Roman"/>
          <w:sz w:val="24"/>
          <w:szCs w:val="24"/>
        </w:rPr>
        <w:t xml:space="preserve">dataset_info.csv</w:t>
      </w:r>
    </w:p>
    <w:p>
      <w:pPr>
        <w:pStyle w:val="Normal"/>
        <w:numPr>
          <w:ilvl w:val="0"/>
          <w:numId w:val="2"/>
        </w:numPr>
      </w:pPr>
      <w:r>
        <w:rPr>
          <w:rFonts w:ascii="Times New Roman" w:cs="Times New Roman" w:eastAsia="Times New Roman" w:hAnsi="Times New Roman"/>
          <w:sz w:val="24"/>
          <w:szCs w:val="24"/>
        </w:rPr>
        <w:t xml:space="preserve">label_coverage_report.json</w:t>
      </w:r>
    </w:p>
    <w:p>
      <w:pPr>
        <w:pStyle w:val="Normal"/>
        <w:numPr>
          <w:ilvl w:val="0"/>
          <w:numId w:val="2"/>
        </w:numPr>
      </w:pPr>
      <w:r>
        <w:rPr>
          <w:rFonts w:ascii="Times New Roman" w:cs="Times New Roman" w:eastAsia="Times New Roman" w:hAnsi="Times New Roman"/>
          <w:sz w:val="24"/>
          <w:szCs w:val="24"/>
        </w:rPr>
        <w:t xml:space="preserve">metrics_threshold_sweep.csv</w:t>
      </w:r>
    </w:p>
    <w:p>
      <w:pPr>
        <w:pStyle w:val="Normal"/>
        <w:numPr>
          <w:ilvl w:val="0"/>
          <w:numId w:val="2"/>
        </w:numPr>
      </w:pPr>
      <w:r>
        <w:rPr>
          <w:rFonts w:ascii="Times New Roman" w:cs="Times New Roman" w:eastAsia="Times New Roman" w:hAnsi="Times New Roman"/>
          <w:sz w:val="24"/>
          <w:szCs w:val="24"/>
        </w:rPr>
        <w:t xml:space="preserve">summary_at_selected_threshold.csv</w:t>
      </w:r>
    </w:p>
    <w:p>
      <w:pPr>
        <w:pStyle w:val="Normal"/>
        <w:numPr>
          <w:ilvl w:val="0"/>
          <w:numId w:val="2"/>
        </w:numPr>
      </w:pPr>
      <w:r>
        <w:rPr>
          <w:rFonts w:ascii="Times New Roman" w:cs="Times New Roman" w:eastAsia="Times New Roman" w:hAnsi="Times New Roman"/>
          <w:sz w:val="24"/>
          <w:szCs w:val="24"/>
        </w:rPr>
        <w:t xml:space="preserve">best_threshold_on_test_for_diagnosis_only.csv</w:t>
      </w:r>
    </w:p>
    <w:p>
      <w:pPr>
        <w:pStyle w:val="Normal"/>
        <w:numPr>
          <w:ilvl w:val="0"/>
          <w:numId w:val="2"/>
        </w:numPr>
      </w:pPr>
      <w:r>
        <w:rPr>
          <w:rFonts w:ascii="Times New Roman" w:cs="Times New Roman" w:eastAsia="Times New Roman" w:hAnsi="Times New Roman"/>
          <w:sz w:val="24"/>
          <w:szCs w:val="24"/>
        </w:rPr>
        <w:t xml:space="preserve">per_label_metrics_at_selected_threshold.csv</w:t>
      </w:r>
    </w:p>
    <w:p>
      <w:pPr>
        <w:pStyle w:val="Normal"/>
        <w:numPr>
          <w:ilvl w:val="0"/>
          <w:numId w:val="2"/>
        </w:numPr>
      </w:pPr>
      <w:r>
        <w:rPr>
          <w:rFonts w:ascii="Times New Roman" w:cs="Times New Roman" w:eastAsia="Times New Roman" w:hAnsi="Times New Roman"/>
          <w:sz w:val="24"/>
          <w:szCs w:val="24"/>
        </w:rPr>
        <w:t xml:space="preserve">run_config.json</w:t>
      </w:r>
    </w:p>
    <w:p>
      <w:pPr>
        <w:pStyle w:val="Heading1"/>
      </w:pPr>
      <w:r>
        <w:rPr>
          <w:rFonts w:ascii="Times New Roman" w:cs="Times New Roman" w:eastAsia="Times New Roman" w:hAnsi="Times New Roman"/>
          <w:b/>
          <w:bCs/>
        </w:rPr>
        <w:t xml:space="preserve">S8 Current limitations</w:t>
      </w:r>
    </w:p>
    <w:p>
      <w:pPr>
        <w:pStyle w:val="Normal"/>
      </w:pPr>
      <w:r>
        <w:rPr>
          <w:rFonts w:ascii="Times New Roman" w:cs="Times New Roman" w:eastAsia="Times New Roman" w:hAnsi="Times New Roman"/>
          <w:sz w:val="24"/>
          <w:szCs w:val="24"/>
        </w:rPr>
        <w:t xml:space="preserve">The supplied materials do not yet include multi-seed uncertainty, significance testing, ablation of the MSA stream, fixed-weight fusion controls or gate-value analysis. The benchmark figure is therefore encouraging but not yet sufficient for strong mechanistic claims. A polished journal submission should add these controls together with the archived code snapshot and, ideally, measured runtime and memory statistics.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360"/>
      </w:pPr>
    </w:lvl>
    <w:lvl w:ilvl="1" w15:tentative="1">
      <w:start w:val="1"/>
      <w:numFmt w:val="decimal"/>
      <w:lvlText w:val="%1.%2"/>
      <w:lvlJc w:val="left"/>
      <w:pPr>
        <w:ind w:left="432" w:hanging="432"/>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70" w:line="420" w:lineRule="auto"/>
    </w:pPr>
    <w:rPr>
      <w:rFonts w:ascii="Times New Roman" w:cs="Times New Roman" w:eastAsia="Times New Roman" w:hAnsi="Times New Roman"/>
      <w:sz w:val="24"/>
      <w:szCs w:val="24"/>
    </w:rPr>
  </w:style>
  <w:style w:type="paragraph" w:styleId="Heading1">
    <w:name w:val="Heading 1"/>
    <w:basedOn w:val="Normal"/>
    <w:next w:val="Normal"/>
    <w:qFormat/>
    <w:pPr>
      <w:pStyle w:val="ListParagraph"/>
      <w:keepNext w:val="false"/>
      <w:keepLines w:val="false"/>
      <w:numPr>
        <w:ilvl w:val="0"/>
        <w:numId w:val="3"/>
      </w:numPr>
      <w:spacing w:after="60" w:before="120" w:line="360" w:lineRule="auto"/>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pStyle w:val="ListParagraph"/>
      <w:keepNext w:val="false"/>
      <w:keepLines w:val="false"/>
      <w:numPr>
        <w:ilvl w:val="1"/>
        <w:numId w:val="3"/>
      </w:numPr>
      <w:spacing w:after="50" w:before="100" w:line="360" w:lineRule="auto"/>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keepNext w:val="false"/>
      <w:keepLines w:val="false"/>
      <w:spacing w:after="40" w:before="80" w:line="360" w:lineRule="auto"/>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6cc0a0342e322f7f84725c4e099c7883fa4bf6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2026-06-21T08:10:23.833Z</dcterms:created>
  <dcterms:modified xsi:type="dcterms:W3CDTF">2026-06-21T08:10:23.833Z</dcterms:modified>
</cp:coreProperties>
</file>

<file path=docProps/custom.xml><?xml version="1.0" encoding="utf-8"?>
<Properties xmlns="http://schemas.openxmlformats.org/officeDocument/2006/custom-properties" xmlns:vt="http://schemas.openxmlformats.org/officeDocument/2006/docPropsVTypes"/>
</file>