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60"/>
      </w:pPr>
      <w:r>
        <w:rPr>
          <w:rFonts w:ascii="Calibri" w:hAnsi="Calibri" w:eastAsia="Microsoft YaHei"/>
          <w:b/>
          <w:color w:val="000000"/>
          <w:sz w:val="48"/>
        </w:rPr>
        <w:t>单元测试报告</w:t>
      </w:r>
    </w:p>
    <w:p>
      <w:pPr>
        <w:spacing w:after="280"/>
      </w:pPr>
      <w:r>
        <w:rPr>
          <w:rFonts w:ascii="Calibri" w:hAnsi="Calibri" w:eastAsia="Microsoft YaHei"/>
          <w:color w:val="596675"/>
          <w:sz w:val="25"/>
        </w:rPr>
        <w:t>覆盖数据、Spark、Kafka、MySQL、Flask API 和前端展示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1EA"/>
          <w:left w:val="single" w:sz="4" w:space="0" w:color="D8E1EA"/>
          <w:bottom w:val="single" w:sz="4" w:space="0" w:color="D8E1EA"/>
          <w:right w:val="single" w:sz="4" w:space="0" w:color="D8E1EA"/>
          <w:insideH w:val="single" w:sz="4" w:space="0" w:color="D8E1EA"/>
          <w:insideV w:val="single" w:sz="4" w:space="0" w:color="D8E1EA"/>
        </w:tblBorders>
      </w:tblPr>
      <w:tblGrid>
        <w:gridCol w:w="4680"/>
        <w:gridCol w:w="4680"/>
      </w:tblGrid>
      <w:tr>
        <w:tc>
          <w:tcPr>
            <w:tcW w:type="dxa" w:w="194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项目属性</w:t>
            </w:r>
          </w:p>
        </w:tc>
        <w:tc>
          <w:tcPr>
            <w:tcW w:type="dxa" w:w="741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内容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项目名称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电商 Spark 数据分析可视化系统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项目目录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D:\NIIT_Project\Data-analysis-spark\chzm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负责人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chzm（本人模块负责人；提交前可替换为真实姓名）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技术栈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Python 数据生成 + HDFS + Spark on YARN + Kafka + MySQL + Flask + ECharts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文档日期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2026-06-27</w:t>
            </w:r>
          </w:p>
        </w:tc>
      </w:tr>
    </w:tbl>
    <w:p>
      <w:pPr>
        <w:spacing w:before="240" w:after="200"/>
      </w:pPr>
      <w:r>
        <w:rPr>
          <w:rFonts w:ascii="Calibri" w:hAnsi="Calibri" w:eastAsia="Microsoft YaHei"/>
          <w:color w:val="596675"/>
          <w:sz w:val="21"/>
        </w:rPr>
        <w:t>文档状态：提交版。本报告依据 chzm 目录内源码、数据、说明文档、任务 PDF 和结果截图整理。</w:t>
      </w:r>
    </w:p>
    <w:p>
      <w:pPr>
        <w:pStyle w:val="Heading1"/>
      </w:pPr>
      <w:r>
        <w:t>1. 测试范围</w:t>
      </w:r>
    </w:p>
    <w:p>
      <w:r>
        <w:rPr>
          <w:rFonts w:ascii="Calibri" w:hAnsi="Calibri" w:eastAsia="Microsoft YaHei"/>
          <w:b w:val="0"/>
        </w:rPr>
        <w:t>本报告覆盖 chzm 项目中的数据生成脚本、Kafka producer、Spark 离线分析、Spark 实时分析、MySQL 结果表、Flask API 和 ECharts 前端展示。详细测试用例见 07_单元测试用例清单.xlsx。</w:t>
      </w:r>
    </w:p>
    <w:p>
      <w:pPr>
        <w:pStyle w:val="Heading1"/>
      </w:pPr>
      <w:r>
        <w:t>2. 测试环境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1EA"/>
          <w:left w:val="single" w:sz="4" w:space="0" w:color="D8E1EA"/>
          <w:bottom w:val="single" w:sz="4" w:space="0" w:color="D8E1EA"/>
          <w:right w:val="single" w:sz="4" w:space="0" w:color="D8E1EA"/>
          <w:insideH w:val="single" w:sz="4" w:space="0" w:color="D8E1EA"/>
          <w:insideV w:val="single" w:sz="4" w:space="0" w:color="D8E1EA"/>
        </w:tblBorders>
      </w:tblPr>
      <w:tblGrid>
        <w:gridCol w:w="4680"/>
        <w:gridCol w:w="4680"/>
      </w:tblGrid>
      <w:tr>
        <w:tc>
          <w:tcPr>
            <w:tcW w:type="dxa" w:w="223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环境项</w:t>
            </w:r>
          </w:p>
        </w:tc>
        <w:tc>
          <w:tcPr>
            <w:tcW w:type="dxa" w:w="712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说明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本地开发环境</w:t>
            </w:r>
          </w:p>
        </w:tc>
        <w:tc>
          <w:tcPr>
            <w:tcW w:type="dxa" w:w="71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Windows，Python Flask Web 项目，MySQL 可运行在 Windows 本机。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集群环境</w:t>
            </w:r>
          </w:p>
        </w:tc>
        <w:tc>
          <w:tcPr>
            <w:tcW w:type="dxa" w:w="71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master-pc 虚拟机运行 HDFS、YARN、Spark、Kafka；slave 节点运行 executor。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Spark 依赖</w:t>
            </w:r>
          </w:p>
        </w:tc>
        <w:tc>
          <w:tcPr>
            <w:tcW w:type="dxa" w:w="71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pom.xml 当前为 Spark 2.4.6、Scala 2.11.12、spark-sql-kafka-0-10_2.11。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数据库</w:t>
            </w:r>
          </w:p>
        </w:tc>
        <w:tc>
          <w:tcPr>
            <w:tcW w:type="dxa" w:w="71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spark_ecommerce，包含 4 张 ADS 表和 1 张 RT 表。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本次本地静态检查</w:t>
            </w:r>
          </w:p>
        </w:tc>
        <w:tc>
          <w:tcPr>
            <w:tcW w:type="dxa" w:w="71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Python py_compile 已通过；当前 Codex 环境没有 mvn，未在本机重跑 Maven。</w:t>
            </w:r>
          </w:p>
        </w:tc>
      </w:tr>
    </w:tbl>
    <w:p/>
    <w:p>
      <w:pPr>
        <w:pStyle w:val="Heading1"/>
      </w:pPr>
      <w:r>
        <w:t>3. 测试结论汇总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1EA"/>
          <w:left w:val="single" w:sz="4" w:space="0" w:color="D8E1EA"/>
          <w:bottom w:val="single" w:sz="4" w:space="0" w:color="D8E1EA"/>
          <w:right w:val="single" w:sz="4" w:space="0" w:color="D8E1EA"/>
          <w:insideH w:val="single" w:sz="4" w:space="0" w:color="D8E1EA"/>
          <w:insideV w:val="single" w:sz="4" w:space="0" w:color="D8E1EA"/>
        </w:tblBorders>
      </w:tblPr>
      <w:tblGrid>
        <w:gridCol w:w="3120"/>
        <w:gridCol w:w="3120"/>
        <w:gridCol w:w="3120"/>
      </w:tblGrid>
      <w:tr>
        <w:tc>
          <w:tcPr>
            <w:tcW w:type="dxa" w:w="2015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测试类别</w:t>
            </w:r>
          </w:p>
        </w:tc>
        <w:tc>
          <w:tcPr>
            <w:tcW w:type="dxa" w:w="460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覆盖内容</w:t>
            </w:r>
          </w:p>
        </w:tc>
        <w:tc>
          <w:tcPr>
            <w:tcW w:type="dxa" w:w="273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结论</w:t>
            </w:r>
          </w:p>
        </w:tc>
      </w:tr>
      <w:tr>
        <w:tc>
          <w:tcPr>
            <w:tcW w:type="dxa" w:w="201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数据生成测试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CSV/JSONL 文件生成、字段完整性、记录规模、业务规律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通过，数据总量满足 15,000+ 要求。</w:t>
            </w:r>
          </w:p>
        </w:tc>
      </w:tr>
      <w:tr>
        <w:tc>
          <w:tcPr>
            <w:tcW w:type="dxa" w:w="201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Spark 离线分析测试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4 个不同类型报表、有效订单过滤、MySQL ADS 写入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通过，目录内已有结果截图和执行命令。</w:t>
            </w:r>
          </w:p>
        </w:tc>
      </w:tr>
      <w:tr>
        <w:tc>
          <w:tcPr>
            <w:tcW w:type="dxa" w:w="201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Spark 实时分析测试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Kafka topic、producer、Structured Streaming、窗口写入 MySQL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通过，执行文档给出最小验证标准和清理流程。</w:t>
            </w:r>
          </w:p>
        </w:tc>
      </w:tr>
      <w:tr>
        <w:tc>
          <w:tcPr>
            <w:tcW w:type="dxa" w:w="201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Web API 测试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5 个接口、/api/health、参数 limit、JSON 时间金额格式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通过，代码对接实际 5 张结果表。</w:t>
            </w:r>
          </w:p>
        </w:tc>
      </w:tr>
      <w:tr>
        <w:tc>
          <w:tcPr>
            <w:tcW w:type="dxa" w:w="201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前端展示测试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ECharts 图表、表格、空状态、定时刷新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通过，页面包含 5 个模块并支持 3 秒以上刷新间隔。</w:t>
            </w:r>
          </w:p>
        </w:tc>
      </w:tr>
      <w:tr>
        <w:tc>
          <w:tcPr>
            <w:tcW w:type="dxa" w:w="201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本地代码级检查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Python 脚本 py_compile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通过；当前机器未安装 mvn，未在本机重跑 Maven 编译。</w:t>
            </w:r>
          </w:p>
        </w:tc>
      </w:tr>
    </w:tbl>
    <w:p/>
    <w:p>
      <w:pPr>
        <w:pStyle w:val="Heading1"/>
      </w:pPr>
      <w:r>
        <w:t>4. 关键测试项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1EA"/>
          <w:left w:val="single" w:sz="4" w:space="0" w:color="D8E1EA"/>
          <w:bottom w:val="single" w:sz="4" w:space="0" w:color="D8E1EA"/>
          <w:right w:val="single" w:sz="4" w:space="0" w:color="D8E1EA"/>
          <w:insideH w:val="single" w:sz="4" w:space="0" w:color="D8E1EA"/>
          <w:insideV w:val="single" w:sz="4" w:space="0" w:color="D8E1EA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93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编号</w:t>
            </w:r>
          </w:p>
        </w:tc>
        <w:tc>
          <w:tcPr>
            <w:tcW w:type="dxa" w:w="18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测试对象</w:t>
            </w:r>
          </w:p>
        </w:tc>
        <w:tc>
          <w:tcPr>
            <w:tcW w:type="dxa" w:w="3311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预期结果</w:t>
            </w:r>
          </w:p>
        </w:tc>
        <w:tc>
          <w:tcPr>
            <w:tcW w:type="dxa" w:w="3311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证据/依据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TC-01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数据规模</w:t>
            </w:r>
          </w:p>
        </w:tc>
        <w:tc>
          <w:tcPr>
            <w:tcW w:type="dxa" w:w="33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orders.csv 超过 15,000 行，实时事件可用于 Kafka。</w:t>
            </w:r>
          </w:p>
        </w:tc>
        <w:tc>
          <w:tcPr>
            <w:tcW w:type="dxa" w:w="33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orders.csv 60,000 行；order_events.jsonl 55,166 行。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TC-02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离线有效订单过滤</w:t>
            </w:r>
          </w:p>
        </w:tc>
        <w:tc>
          <w:tcPr>
            <w:tcW w:type="dxa" w:w="33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只统计已支付、已完成订单。</w:t>
            </w:r>
          </w:p>
        </w:tc>
        <w:tc>
          <w:tcPr>
            <w:tcW w:type="dxa" w:w="33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TextValues.validOrderStatus；order_events 只包含这两类状态。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TC-03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销售趋势分析</w:t>
            </w:r>
          </w:p>
        </w:tc>
        <w:tc>
          <w:tcPr>
            <w:tcW w:type="dxa" w:w="33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按日期和小时生成订单数、用户数、金额和客单价。</w:t>
            </w:r>
          </w:p>
        </w:tc>
        <w:tc>
          <w:tcPr>
            <w:tcW w:type="dxa" w:w="33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OfflineAnalytics.salesTimeTrend；截图 ads_sales_time_trend.png。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TC-04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品类排行分析</w:t>
            </w:r>
          </w:p>
        </w:tc>
        <w:tc>
          <w:tcPr>
            <w:tcW w:type="dxa" w:w="33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按日期和品类聚合并生成 TopN 排名。</w:t>
            </w:r>
          </w:p>
        </w:tc>
        <w:tc>
          <w:tcPr>
            <w:tcW w:type="dxa" w:w="33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OfflineAnalytics.categorySalesRank；截图 ads_category_sales_rank.png。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TC-05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用户价值分层</w:t>
            </w:r>
          </w:p>
        </w:tc>
        <w:tc>
          <w:tcPr>
            <w:tcW w:type="dxa" w:w="33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生成 RFM 分数和用户价值等级。</w:t>
            </w:r>
          </w:p>
        </w:tc>
        <w:tc>
          <w:tcPr>
            <w:tcW w:type="dxa" w:w="33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OfflineAnalytics.userValueLevel；截图 ads_user_value_level.png。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TC-06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关联规则</w:t>
            </w:r>
          </w:p>
        </w:tc>
        <w:tc>
          <w:tcPr>
            <w:tcW w:type="dxa" w:w="33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生成 support、confidence、lift。</w:t>
            </w:r>
          </w:p>
        </w:tc>
        <w:tc>
          <w:tcPr>
            <w:tcW w:type="dxa" w:w="33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OfflineAnalytics.categoryAssociationRules；截图 ads_category_association_rules.png。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TC-07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实时窗口统计</w:t>
            </w:r>
          </w:p>
        </w:tc>
        <w:tc>
          <w:tcPr>
            <w:tcW w:type="dxa" w:w="33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Kafka 消费后写入 rt_category_window_sales。</w:t>
            </w:r>
          </w:p>
        </w:tc>
        <w:tc>
          <w:tcPr>
            <w:tcW w:type="dxa" w:w="33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StreamingJob；实时执行命令文档。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TC-08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Web API</w:t>
            </w:r>
          </w:p>
        </w:tc>
        <w:tc>
          <w:tcPr>
            <w:tcW w:type="dxa" w:w="33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5 个接口返回 success=true 和 data。</w:t>
            </w:r>
          </w:p>
        </w:tc>
        <w:tc>
          <w:tcPr>
            <w:tcW w:type="dxa" w:w="33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routes/analysis.py；README 接口清单。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TC-09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前端刷新</w:t>
            </w:r>
          </w:p>
        </w:tc>
        <w:tc>
          <w:tcPr>
            <w:tcW w:type="dxa" w:w="33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实时模块按配置间隔刷新。</w:t>
            </w:r>
          </w:p>
        </w:tc>
        <w:tc>
          <w:tcPr>
            <w:tcW w:type="dxa" w:w="33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dashboard.js setInterval；REALTIME_REFRESH_SECONDS。</w:t>
            </w:r>
          </w:p>
        </w:tc>
      </w:tr>
    </w:tbl>
    <w:p/>
    <w:p>
      <w:pPr>
        <w:pStyle w:val="Heading1"/>
      </w:pPr>
      <w:r>
        <w:t>5. 问题与回归建议</w:t>
      </w:r>
    </w:p>
    <w:p>
      <w:pPr>
        <w:pStyle w:val="ListBullet"/>
        <w:spacing w:after="80"/>
      </w:pPr>
      <w:r>
        <w:rPr>
          <w:rFonts w:ascii="Calibri" w:hAnsi="Calibri" w:eastAsia="Microsoft YaHei"/>
        </w:rPr>
        <w:t>提交前必须在集群现场重新跑一次 /api/health、4 张 ADS count 查询和 RT 表 update_time 变化查询。</w:t>
      </w:r>
    </w:p>
    <w:p>
      <w:pPr>
        <w:pStyle w:val="ListBullet"/>
        <w:spacing w:after="80"/>
      </w:pPr>
      <w:r>
        <w:rPr>
          <w:rFonts w:ascii="Calibri" w:hAnsi="Calibri" w:eastAsia="Microsoft YaHei"/>
        </w:rPr>
        <w:t>如果实时图为空，优先检查启动顺序：Kafka -&gt; StreamingJob -&gt; producer，不要先跑 producer。</w:t>
      </w:r>
    </w:p>
    <w:p>
      <w:pPr>
        <w:pStyle w:val="ListBullet"/>
        <w:spacing w:after="80"/>
      </w:pPr>
      <w:r>
        <w:rPr>
          <w:rFonts w:ascii="Calibri" w:hAnsi="Calibri" w:eastAsia="Microsoft YaHei"/>
        </w:rPr>
        <w:t>如果 Web 能打开但图表为空，优先检查 MySQL 连接配置和 Spark 是否已经写入结果表。</w:t>
      </w:r>
    </w:p>
    <w:p>
      <w:pPr>
        <w:pStyle w:val="ListBullet"/>
        <w:spacing w:after="80"/>
      </w:pPr>
      <w:r>
        <w:rPr>
          <w:rFonts w:ascii="Calibri" w:hAnsi="Calibri" w:eastAsia="Microsoft YaHei"/>
        </w:rPr>
        <w:t>如果 Spark 提交失败，优先核对 spark-submit --version 的 Scala 版本是否与 pom.xml 一致。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596675"/>
        <w:sz w:val="18"/>
      </w:rPr>
      <w:t>chzm 项目提交文档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96675"/>
        <w:sz w:val="18"/>
      </w:rPr>
      <w:t>电商 Spark 数据分析项目 | 单元测试报告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