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262626" w:themeColor="text1" w:themeShade="80"/>
          <w:sz w:val="24"/>
          <w:szCs w:val="24"/>
        </w:rPr>
      </w:pPr>
      <w:r>
        <w:rPr>
          <w:rFonts w:hint="default" w:ascii="Times New Roman" w:hAnsi="Times New Roman" w:cs="Times New Roman"/>
          <w:b/>
          <w:bCs/>
          <w:color w:val="262626" w:themeColor="text1" w:themeShade="80"/>
          <w:sz w:val="24"/>
          <w:szCs w:val="24"/>
        </w:rPr>
        <w:t>Title:</w:t>
      </w:r>
    </w:p>
    <w:p>
      <w:pPr>
        <w:keepNext w:val="0"/>
        <w:keepLines w:val="0"/>
        <w:widowControl/>
        <w:suppressLineNumbers w:val="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Analysis of nutrient composition and determination of active substances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val="en-US" w:eastAsia="zh-CN" w:bidi="ar"/>
        </w:rPr>
        <w:t xml:space="preserve">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Antidiabetic activity</w:t>
      </w:r>
    </w:p>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Abstract</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lang w:eastAsia="zh-CN" w:bidi="ar"/>
        </w:rPr>
        <w:t>Diabetes is a group of metabolic diseases characterized by hyperglycemia resulting from defects in insulin secretion, insulin action, or both, and caused a series of health problems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Diabetes is the result of an integrated metabolic disorder that leads to higher cardiovascular disease morbidity and mortality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_Ref781679643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2</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At the same time, diabetes can lead to many complications, including retinopathy that may lose vision, kidney disease leading to renal failure, neuropathy, etc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Epidemiological studies have shown that the risk of diabetes and its complications is mainly affected by daily diet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_Ref1897588016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3</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Reasonable supplementation of edible fungi in the diet will be of great benefit to the prevention and treatment of diabetes and vascular diseases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_Ref85551023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4</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Edible fungi are an ideal dietary supplement for people with diabetes because they contain very low fat and cholesterol and are rich in protein, vitamins and minerals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_Ref376320981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5</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Many edible fungi with hypoglycemic activity have been reported so far, and many edible fungi have also been reported to have other medicinal activities, such as anti-tumor, blood pressure lowering and immunity enhancement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instrText xml:space="preserve"> REF _Ref813242035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t>6</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Although there have been some reports on the nutrient composition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such as protein content, amino acid composition and so on</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instrText xml:space="preserve"> REF _Ref478554362 \r \h </w:instrTex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t>7</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However, there is still a lack of systematic and complete coverage of its nutrients.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Therefore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 this study will </w:t>
      </w:r>
      <w:r>
        <w:rPr>
          <w:rFonts w:hint="default" w:ascii="Times New Roman" w:hAnsi="Times New Roman" w:cs="Times New Roman"/>
          <w:i w:val="0"/>
          <w:caps w:val="0"/>
          <w:color w:val="262626" w:themeColor="text1" w:themeShade="80"/>
          <w:spacing w:val="0"/>
          <w:sz w:val="24"/>
          <w:szCs w:val="24"/>
          <w:shd w:val="clear" w:fill="FFFFFF"/>
          <w:lang w:val="en-US"/>
        </w:rPr>
        <w:t>systematically</w:t>
      </w:r>
      <w:r>
        <w:rPr>
          <w:rFonts w:hint="default" w:ascii="Times New Roman" w:hAnsi="Times New Roman" w:cs="Times New Roman"/>
          <w:i w:val="0"/>
          <w:caps w:val="0"/>
          <w:color w:val="262626" w:themeColor="text1" w:themeShade="80"/>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xml:space="preserve">evaluate the nutrient composition and anti-diabetic activity of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color="auto" w:fill="auto"/>
          <w:vertAlign w:val="baseline"/>
          <w:lang w:eastAsia="zh-CN" w:bidi="ar"/>
        </w:rPr>
        <w:t>, determine the main active substances in the extract, and separate and purify the active substance and preliminary structure identification. Finally, the results of in vitro and animal experiments are combined to establish the theoretical basis of the structure-activity relationship. This study not only provides an important reference for nutritious diet, but also has important academic and practical significance for the development and utilization of wild edible fungi resources.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Materials and methods</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262626" w:themeColor="text1" w:themeShade="80"/>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analysis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Determination of major hypoglycemic substance</w:t>
      </w:r>
      <w:bookmarkStart w:id="8" w:name="_GoBack"/>
      <w:bookmarkEnd w:id="8"/>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The extraction method of edible fungus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alcohol extract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aqueous extract and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crude polysaccharide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is slightly modified as described in Wang et al. Approximately 25 g of the fresh sample after lyophilization was placed in 250 mL of 95% ethanol for overnight so as to prepare an alcohol extract; Two portions of the ground fresh 25 g sample were treated in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250 mL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boiling water for 2 hours (continuous stirring), one portion to prepare an aqueous extract, and the other portion to separate the polysaccharide in the aqueous extract by a Sevage method to obtain a crude polysaccharide extract.. The above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there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α-glucosidase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62626" w:themeColor="text1" w:themeShade="80"/>
          <w:spacing w:val="0"/>
          <w:sz w:val="24"/>
          <w:szCs w:val="24"/>
          <w:shd w:val="clear" w:fill="FFFFFF"/>
          <w:lang w:val="en-US"/>
        </w:rPr>
        <w:t>p-nitrophenol glucopyranoside</w:t>
      </w:r>
      <w:r>
        <w:rPr>
          <w:rFonts w:hint="default" w:ascii="Times New Roman" w:hAnsi="Times New Roman" w:cs="Times New Roman"/>
          <w:b w:val="0"/>
          <w:bCs w:val="0"/>
          <w:i w:val="0"/>
          <w:caps w:val="0"/>
          <w:color w:val="262626" w:themeColor="text1" w:themeShade="80"/>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(pNGP, 0.1 M), and finally add the appropriate amount of</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alcohol extract, aqueous extract</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crude polysaccharide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 α-amylase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t xml:space="preserve">The method for determining the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-amylase inhibitory activity is described in the method of Palanisam et al., with minor modifications. The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-amylase was dissolved in 0.5 mL of 20 mM phosphate buffer (pH 6.9) to bring the enzyme concentration to 2 IU/mL, and various dilutions of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alcohol extract, aqueous extract, crude polysaccharide, negative control (blank) or positive control (acarbose)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 were added. The mixed solution was placed in a 37 ° C water bath and warmed for 15 min. Then 0.5 mL of potato starch solution (1.5%) was added to the solution, and a constant temperature bath at 37 ° C for 5 min. Finally, 1 mL of DNS reagent was added, and the reaction solution was placed in boiling water at 100 ° C (10 min), and after rapid cooling, the absorbance of the final product was measured with a spectrophotometer (520 nm). All samples were analyzed three times and averaged.</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when the inhibition rate of α-</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amylase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vertAlign w:val="baseline"/>
          <w:lang w:eastAsia="zh-CN" w:bidi="ar"/>
        </w:rPr>
        <w:t xml:space="preserve"> is 50%, the effective concentration (μg/mL) of the inhibitor is added.</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Preparation of crude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C for 24 hours. The precipitate obtained by centrifugation (2654 × g, 10 min, 4 ° C) was finally lyophilized to obtain a crude polysaccharide.</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Preliminary characterization of Polysacchrides</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The monosaccharide composition was determined by gas chromatography (GC), and 10 mg of the polysaccharide sample was dissolved in 2 M TFA and hydrolyzed at 110 ° C for 2 h. After removing the TFA, vacuum dry. And 10 mg of hydroxylamine hydrochloride and 0.5 mL of pyridine were placed in a stoppered tube, heated in an oven at 90 ° C for 30 min, cooled to room temperature, and 0.5 mL of acetic anhydride was added. The reaction was carried out for 30 min for acetylation at 90 ° C. The obtained reaction product can be subjected to gas chromatography analysis. The type of monosaccharide of the sample is determined according to the retention time of each peak of the sample; the proportional relationship between the monosaccharides is determined according to the ratio of the area of each peak.</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FT-IR and ultraviolet</w:t>
      </w:r>
    </w:p>
    <w:p>
      <w:pPr>
        <w:keepNext w:val="0"/>
        <w:keepLines w:val="0"/>
        <w:widowControl/>
        <w:suppressLineNumbers w:val="0"/>
        <w:ind w:firstLine="420" w:firstLineChars="0"/>
        <w:jc w:val="left"/>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pP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262626" w:themeColor="text1" w:themeShade="80"/>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antidiabetic activity in vivo</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Results and discussion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Chemical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Proximate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Amino acid composition</w:t>
      </w:r>
    </w:p>
    <w:p>
      <w:pPr>
        <w:keepNext w:val="0"/>
        <w:keepLines w:val="0"/>
        <w:widowControl/>
        <w:numPr>
          <w:ilvl w:val="2"/>
          <w:numId w:val="1"/>
        </w:numPr>
        <w:suppressLineNumbers w:val="0"/>
        <w:tabs>
          <w:tab w:val="left" w:pos="425"/>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Mineral composition</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Determination of antidiabetic activity in vivo</w:t>
      </w:r>
    </w:p>
    <w:p>
      <w:pPr>
        <w:keepNext w:val="0"/>
        <w:keepLines w:val="0"/>
        <w:widowControl/>
        <w:numPr>
          <w:ilvl w:val="1"/>
          <w:numId w:val="1"/>
        </w:numPr>
        <w:suppressLineNumbers w:val="0"/>
        <w:tabs>
          <w:tab w:val="left" w:pos="425"/>
          <w:tab w:val="clear" w:pos="567"/>
        </w:tabs>
        <w:ind w:left="567" w:leftChars="0" w:hanging="567" w:firstLineChars="0"/>
        <w:jc w:val="left"/>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Analysis of polysaccharides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262626" w:themeColor="text1" w:themeShade="80"/>
          <w:spacing w:val="0"/>
          <w:kern w:val="0"/>
          <w:sz w:val="24"/>
          <w:szCs w:val="24"/>
          <w:shd w:val="clear" w:fill="FFFFFF"/>
          <w:lang w:eastAsia="zh-CN" w:bidi="ar"/>
        </w:rPr>
        <w:t>Uncategorized References</w:t>
      </w:r>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0" w:name="_Ref227808598"/>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American Diabetes Association, Diagnosis and classification of diabetes mellitus,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 xml:space="preserve">Diabetes care, </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2014, 37, S81-S90.</w:t>
      </w:r>
      <w:bookmarkEnd w:id="0"/>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1" w:name="_Ref78167964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Kayama, Y., Raaz, U., Jagger, A., Adam, M., Schellinger, I. N., Sakamoto, M., ... &amp; Tsao, P. S.  Diabetic cardiovascular disease induced by oxidative stress.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molecular sciences</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 16(10), 25234-25263.</w:t>
      </w:r>
      <w:bookmarkEnd w:id="1"/>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2" w:name="_Ref1897588016"/>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Tourlouki, E., Matalas, A. L., &amp; Panagiotakos, D. B. Dietary habits and cardiovascular disease risk in middle-aged and elderly populations: a review of evidence.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Clinical interventions in aging</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4, 319.</w:t>
      </w:r>
      <w:bookmarkEnd w:id="2"/>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3" w:name="_Ref85551023"/>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Roncero-Ramos, I., &amp; Delgado-Andrade, C. The beneficial role of edible mushrooms in human health.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Food Science</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2017, 14, 122-128.</w:t>
      </w:r>
      <w:bookmarkEnd w:id="3"/>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4" w:name="_Ref376320981"/>
      <w:bookmarkStart w:id="5" w:name="_Ref228060074"/>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Valverde, M. E., Hernández-Pérez, T., &amp; Paredes-López, O. Edible mushrooms: improving human health and promoting quality life.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International journal of microbiology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2015.</w:t>
      </w:r>
      <w:bookmarkEnd w:id="4"/>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6" w:name="_Ref813242035"/>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Giavasis, I. Bioactive fungal polysaccharides as potential functional ingredients in food and nutraceuticals.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Current Opinion in Biotechnology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2014, 26, 162-173.</w:t>
      </w:r>
      <w:bookmarkEnd w:id="5"/>
      <w:bookmarkEnd w:id="6"/>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pPr>
      <w:bookmarkStart w:id="7" w:name="_Ref478554362"/>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xml:space="preserve">Kalač, P.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262626" w:themeColor="text1" w:themeShade="80"/>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262626" w:themeColor="text1" w:themeShade="80"/>
          <w:spacing w:val="0"/>
          <w:kern w:val="0"/>
          <w:sz w:val="24"/>
          <w:szCs w:val="24"/>
          <w:shd w:val="clear" w:fill="FFFFFF"/>
          <w:lang w:eastAsia="zh-CN" w:bidi="ar"/>
        </w:rPr>
        <w:t>, 2009, 113(1), 9-16.</w:t>
      </w:r>
      <w:bookmarkEnd w:id="7"/>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E78B0"/>
    <w:multiLevelType w:val="singleLevel"/>
    <w:tmpl w:val="FDEE78B0"/>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027F153D"/>
    <w:rsid w:val="056798BF"/>
    <w:rsid w:val="06FF52DD"/>
    <w:rsid w:val="117F8770"/>
    <w:rsid w:val="12B3088D"/>
    <w:rsid w:val="13BF5BB7"/>
    <w:rsid w:val="13FF2AA8"/>
    <w:rsid w:val="15E679B3"/>
    <w:rsid w:val="175F171C"/>
    <w:rsid w:val="176FCF81"/>
    <w:rsid w:val="17B78EBD"/>
    <w:rsid w:val="18271CE0"/>
    <w:rsid w:val="199BF9A5"/>
    <w:rsid w:val="19D1123A"/>
    <w:rsid w:val="1B6D8A24"/>
    <w:rsid w:val="1BADF831"/>
    <w:rsid w:val="1BFF4D47"/>
    <w:rsid w:val="1CEE8D55"/>
    <w:rsid w:val="1CFD91BC"/>
    <w:rsid w:val="1CFDFBDD"/>
    <w:rsid w:val="1D6F2704"/>
    <w:rsid w:val="1DE6BC98"/>
    <w:rsid w:val="1DFD51A6"/>
    <w:rsid w:val="1DFFD434"/>
    <w:rsid w:val="1DFFFF01"/>
    <w:rsid w:val="1EADBF59"/>
    <w:rsid w:val="1F3FCA6B"/>
    <w:rsid w:val="1F7F7E7B"/>
    <w:rsid w:val="1FBB2354"/>
    <w:rsid w:val="1FBFE2A8"/>
    <w:rsid w:val="1FDF6C50"/>
    <w:rsid w:val="229B3B09"/>
    <w:rsid w:val="24FEEFC5"/>
    <w:rsid w:val="27D30E6D"/>
    <w:rsid w:val="27E605D9"/>
    <w:rsid w:val="28F3F517"/>
    <w:rsid w:val="297C670F"/>
    <w:rsid w:val="2BDDA838"/>
    <w:rsid w:val="2CBB167A"/>
    <w:rsid w:val="2DF31F49"/>
    <w:rsid w:val="2EFF6193"/>
    <w:rsid w:val="2FDB3D9D"/>
    <w:rsid w:val="2FF7DAAA"/>
    <w:rsid w:val="2FF9957A"/>
    <w:rsid w:val="2FFF40DC"/>
    <w:rsid w:val="32F3C018"/>
    <w:rsid w:val="336AEF70"/>
    <w:rsid w:val="357DADA4"/>
    <w:rsid w:val="35FF0D53"/>
    <w:rsid w:val="365D6676"/>
    <w:rsid w:val="36C63031"/>
    <w:rsid w:val="375FD06B"/>
    <w:rsid w:val="37CA0ECA"/>
    <w:rsid w:val="37E7258B"/>
    <w:rsid w:val="37F7F027"/>
    <w:rsid w:val="38EFBCBB"/>
    <w:rsid w:val="38FF4B78"/>
    <w:rsid w:val="3A7FE6D2"/>
    <w:rsid w:val="3ADFE8C0"/>
    <w:rsid w:val="3AFF32ED"/>
    <w:rsid w:val="3B7A0FF9"/>
    <w:rsid w:val="3BACB161"/>
    <w:rsid w:val="3BBFBA5E"/>
    <w:rsid w:val="3BCD2596"/>
    <w:rsid w:val="3BD8DCE2"/>
    <w:rsid w:val="3BEB0E43"/>
    <w:rsid w:val="3BFCF0CA"/>
    <w:rsid w:val="3CFDD464"/>
    <w:rsid w:val="3CFFDAFD"/>
    <w:rsid w:val="3DBDAE00"/>
    <w:rsid w:val="3E7A93CF"/>
    <w:rsid w:val="3E7BFDC1"/>
    <w:rsid w:val="3E7F7B58"/>
    <w:rsid w:val="3EB7D37F"/>
    <w:rsid w:val="3ED60A11"/>
    <w:rsid w:val="3ED7EC0A"/>
    <w:rsid w:val="3F19CAA5"/>
    <w:rsid w:val="3F5DD58E"/>
    <w:rsid w:val="3F7C990A"/>
    <w:rsid w:val="3F9FE2B6"/>
    <w:rsid w:val="3FCBD2B1"/>
    <w:rsid w:val="3FDDE48F"/>
    <w:rsid w:val="3FF8F6FF"/>
    <w:rsid w:val="3FFC9446"/>
    <w:rsid w:val="3FFE6B16"/>
    <w:rsid w:val="44AFE3B9"/>
    <w:rsid w:val="459F4F48"/>
    <w:rsid w:val="467FCD46"/>
    <w:rsid w:val="47D78965"/>
    <w:rsid w:val="498B5E9B"/>
    <w:rsid w:val="4B97E6BA"/>
    <w:rsid w:val="4BDE8584"/>
    <w:rsid w:val="4C9FC392"/>
    <w:rsid w:val="4DFC2C54"/>
    <w:rsid w:val="4E7DE637"/>
    <w:rsid w:val="4EFF4113"/>
    <w:rsid w:val="4F3F183B"/>
    <w:rsid w:val="4FFF9BDA"/>
    <w:rsid w:val="53BF6A27"/>
    <w:rsid w:val="53F7C671"/>
    <w:rsid w:val="55FB225A"/>
    <w:rsid w:val="56A392C2"/>
    <w:rsid w:val="573FE244"/>
    <w:rsid w:val="57621A5F"/>
    <w:rsid w:val="5764CB11"/>
    <w:rsid w:val="577FE182"/>
    <w:rsid w:val="57CF66F4"/>
    <w:rsid w:val="57DF455B"/>
    <w:rsid w:val="59BF969D"/>
    <w:rsid w:val="5ADCFC8A"/>
    <w:rsid w:val="5B33FB10"/>
    <w:rsid w:val="5B3DAC5C"/>
    <w:rsid w:val="5B7D0965"/>
    <w:rsid w:val="5BDB4C95"/>
    <w:rsid w:val="5BEA82B4"/>
    <w:rsid w:val="5BEEF71F"/>
    <w:rsid w:val="5BF7C826"/>
    <w:rsid w:val="5BF90FA4"/>
    <w:rsid w:val="5BFA7BDB"/>
    <w:rsid w:val="5BFD7C90"/>
    <w:rsid w:val="5DFBA9A6"/>
    <w:rsid w:val="5DFF9C04"/>
    <w:rsid w:val="5E27D7EB"/>
    <w:rsid w:val="5E9DE8C0"/>
    <w:rsid w:val="5EBF1788"/>
    <w:rsid w:val="5EDF9592"/>
    <w:rsid w:val="5EE30ED3"/>
    <w:rsid w:val="5EFC66D4"/>
    <w:rsid w:val="5EFDB48A"/>
    <w:rsid w:val="5F6B9CF0"/>
    <w:rsid w:val="5F6D91A6"/>
    <w:rsid w:val="5F7F1C27"/>
    <w:rsid w:val="5FB9AC18"/>
    <w:rsid w:val="5FDF59EA"/>
    <w:rsid w:val="5FE66770"/>
    <w:rsid w:val="5FF6942B"/>
    <w:rsid w:val="5FFC4456"/>
    <w:rsid w:val="62AF4958"/>
    <w:rsid w:val="63DF3451"/>
    <w:rsid w:val="63F6A7A9"/>
    <w:rsid w:val="64FF3BFE"/>
    <w:rsid w:val="669BBB4D"/>
    <w:rsid w:val="66AFCDEF"/>
    <w:rsid w:val="66BB1EC2"/>
    <w:rsid w:val="66F55DAC"/>
    <w:rsid w:val="67AECA71"/>
    <w:rsid w:val="688F5617"/>
    <w:rsid w:val="692EB0F1"/>
    <w:rsid w:val="69DDD617"/>
    <w:rsid w:val="69FEF64C"/>
    <w:rsid w:val="6ABFEB64"/>
    <w:rsid w:val="6AF9F1BD"/>
    <w:rsid w:val="6B3F7C00"/>
    <w:rsid w:val="6B9FC7E4"/>
    <w:rsid w:val="6BF80B69"/>
    <w:rsid w:val="6CBDCCE7"/>
    <w:rsid w:val="6D7B158A"/>
    <w:rsid w:val="6DD5F94F"/>
    <w:rsid w:val="6DFBEACC"/>
    <w:rsid w:val="6E976A2E"/>
    <w:rsid w:val="6ECFE26E"/>
    <w:rsid w:val="6EECF821"/>
    <w:rsid w:val="6EFFF006"/>
    <w:rsid w:val="6F7F29A5"/>
    <w:rsid w:val="6FAD8C80"/>
    <w:rsid w:val="6FBD774C"/>
    <w:rsid w:val="6FCBD940"/>
    <w:rsid w:val="6FCFFB8E"/>
    <w:rsid w:val="6FDAF9A6"/>
    <w:rsid w:val="6FDBC579"/>
    <w:rsid w:val="6FDF42A6"/>
    <w:rsid w:val="6FDF71FD"/>
    <w:rsid w:val="6FDF8A1A"/>
    <w:rsid w:val="6FDFBEB2"/>
    <w:rsid w:val="6FFF0079"/>
    <w:rsid w:val="6FFF7322"/>
    <w:rsid w:val="71E7B3A8"/>
    <w:rsid w:val="71F271CF"/>
    <w:rsid w:val="72E79D66"/>
    <w:rsid w:val="72EF8A8B"/>
    <w:rsid w:val="72F70B5D"/>
    <w:rsid w:val="735E3F8B"/>
    <w:rsid w:val="739FDC2D"/>
    <w:rsid w:val="73DEE3F1"/>
    <w:rsid w:val="73DF5D21"/>
    <w:rsid w:val="73F67BEE"/>
    <w:rsid w:val="73FFD5BF"/>
    <w:rsid w:val="75327F0C"/>
    <w:rsid w:val="753F16EA"/>
    <w:rsid w:val="755C0662"/>
    <w:rsid w:val="75E7F756"/>
    <w:rsid w:val="767BC2D9"/>
    <w:rsid w:val="76B516C1"/>
    <w:rsid w:val="76EDEC7E"/>
    <w:rsid w:val="76FF9663"/>
    <w:rsid w:val="77274EFF"/>
    <w:rsid w:val="775E4602"/>
    <w:rsid w:val="776DA962"/>
    <w:rsid w:val="777AFA31"/>
    <w:rsid w:val="779DFF1B"/>
    <w:rsid w:val="77ADA661"/>
    <w:rsid w:val="77C92742"/>
    <w:rsid w:val="77EF15F9"/>
    <w:rsid w:val="77FF02C1"/>
    <w:rsid w:val="77FFBBD6"/>
    <w:rsid w:val="781F330D"/>
    <w:rsid w:val="7887496F"/>
    <w:rsid w:val="79376AD4"/>
    <w:rsid w:val="79EEF7CB"/>
    <w:rsid w:val="79FB8A18"/>
    <w:rsid w:val="7A75839C"/>
    <w:rsid w:val="7AAEAF02"/>
    <w:rsid w:val="7AD78219"/>
    <w:rsid w:val="7ADF220D"/>
    <w:rsid w:val="7AED6938"/>
    <w:rsid w:val="7AEF41B3"/>
    <w:rsid w:val="7AF7D858"/>
    <w:rsid w:val="7AFD6F5B"/>
    <w:rsid w:val="7AFF8C40"/>
    <w:rsid w:val="7BB5A6B2"/>
    <w:rsid w:val="7BBCA596"/>
    <w:rsid w:val="7BDC48BB"/>
    <w:rsid w:val="7BEF22E0"/>
    <w:rsid w:val="7BF70517"/>
    <w:rsid w:val="7BFBB471"/>
    <w:rsid w:val="7BFE57F7"/>
    <w:rsid w:val="7BFF2357"/>
    <w:rsid w:val="7BFFFAE9"/>
    <w:rsid w:val="7C67FD39"/>
    <w:rsid w:val="7CB763ED"/>
    <w:rsid w:val="7CDD24FD"/>
    <w:rsid w:val="7CE797F7"/>
    <w:rsid w:val="7CF50C00"/>
    <w:rsid w:val="7CFEDD04"/>
    <w:rsid w:val="7D1D4DAC"/>
    <w:rsid w:val="7D2F7140"/>
    <w:rsid w:val="7D5539F5"/>
    <w:rsid w:val="7D7317A2"/>
    <w:rsid w:val="7D77746A"/>
    <w:rsid w:val="7D7F1ACE"/>
    <w:rsid w:val="7DD7F4AC"/>
    <w:rsid w:val="7DD85E37"/>
    <w:rsid w:val="7DDF28AC"/>
    <w:rsid w:val="7DDF92D0"/>
    <w:rsid w:val="7DEB36A6"/>
    <w:rsid w:val="7DEF0786"/>
    <w:rsid w:val="7DFE4765"/>
    <w:rsid w:val="7DFEBF12"/>
    <w:rsid w:val="7DFF6867"/>
    <w:rsid w:val="7DFFFED9"/>
    <w:rsid w:val="7E3D2E5C"/>
    <w:rsid w:val="7E3E36CE"/>
    <w:rsid w:val="7E76F71B"/>
    <w:rsid w:val="7E7DB4FA"/>
    <w:rsid w:val="7E9E5D81"/>
    <w:rsid w:val="7EBE6B8A"/>
    <w:rsid w:val="7EBF911D"/>
    <w:rsid w:val="7ECFCA15"/>
    <w:rsid w:val="7EDB57DD"/>
    <w:rsid w:val="7EEA7CBA"/>
    <w:rsid w:val="7EEF9EB7"/>
    <w:rsid w:val="7EF30FAE"/>
    <w:rsid w:val="7EF70D2F"/>
    <w:rsid w:val="7EF72914"/>
    <w:rsid w:val="7EFA754A"/>
    <w:rsid w:val="7EFB3317"/>
    <w:rsid w:val="7EFE6DB6"/>
    <w:rsid w:val="7EFF6243"/>
    <w:rsid w:val="7EFFF405"/>
    <w:rsid w:val="7F6F4068"/>
    <w:rsid w:val="7F6F62CC"/>
    <w:rsid w:val="7F77E32A"/>
    <w:rsid w:val="7F7B8302"/>
    <w:rsid w:val="7F7BACAE"/>
    <w:rsid w:val="7F7EED9B"/>
    <w:rsid w:val="7F7F44CB"/>
    <w:rsid w:val="7F7F603C"/>
    <w:rsid w:val="7F7FD5A8"/>
    <w:rsid w:val="7F9F5A7B"/>
    <w:rsid w:val="7F9FE7C7"/>
    <w:rsid w:val="7FAFCF3C"/>
    <w:rsid w:val="7FB2B34D"/>
    <w:rsid w:val="7FB7522A"/>
    <w:rsid w:val="7FB99DA2"/>
    <w:rsid w:val="7FBF3E33"/>
    <w:rsid w:val="7FBF4CC7"/>
    <w:rsid w:val="7FBF8663"/>
    <w:rsid w:val="7FC76F82"/>
    <w:rsid w:val="7FCB17D6"/>
    <w:rsid w:val="7FCFE359"/>
    <w:rsid w:val="7FDF61DD"/>
    <w:rsid w:val="7FEB276B"/>
    <w:rsid w:val="7FF345E4"/>
    <w:rsid w:val="7FF3C10A"/>
    <w:rsid w:val="7FF62097"/>
    <w:rsid w:val="7FF6CF81"/>
    <w:rsid w:val="7FFD88AF"/>
    <w:rsid w:val="7FFE057D"/>
    <w:rsid w:val="7FFED4F2"/>
    <w:rsid w:val="7FFED7B1"/>
    <w:rsid w:val="7FFF0CA5"/>
    <w:rsid w:val="7FFF4D05"/>
    <w:rsid w:val="86BD5ECF"/>
    <w:rsid w:val="897F04DD"/>
    <w:rsid w:val="89FA2D10"/>
    <w:rsid w:val="8A14F2D3"/>
    <w:rsid w:val="8A7E540A"/>
    <w:rsid w:val="8B7FAC30"/>
    <w:rsid w:val="8BF67620"/>
    <w:rsid w:val="8BF995F6"/>
    <w:rsid w:val="8EF7F5A2"/>
    <w:rsid w:val="8F5CE6ED"/>
    <w:rsid w:val="8F7B255C"/>
    <w:rsid w:val="8FFF34B8"/>
    <w:rsid w:val="90EB79BA"/>
    <w:rsid w:val="96DDE798"/>
    <w:rsid w:val="975F4980"/>
    <w:rsid w:val="97FF1DF9"/>
    <w:rsid w:val="9BBF09CB"/>
    <w:rsid w:val="9BBF938A"/>
    <w:rsid w:val="9BDB0443"/>
    <w:rsid w:val="9BDB1DC9"/>
    <w:rsid w:val="9BF90647"/>
    <w:rsid w:val="9CFFD354"/>
    <w:rsid w:val="9DE76B5E"/>
    <w:rsid w:val="9EDF9312"/>
    <w:rsid w:val="9F4F6F42"/>
    <w:rsid w:val="9FDF6022"/>
    <w:rsid w:val="9FF6C26C"/>
    <w:rsid w:val="A1FB1FA7"/>
    <w:rsid w:val="A6DAAF0C"/>
    <w:rsid w:val="A99FA0A6"/>
    <w:rsid w:val="ABBA36F2"/>
    <w:rsid w:val="ABEBC526"/>
    <w:rsid w:val="ABF489FA"/>
    <w:rsid w:val="ABFFBDD9"/>
    <w:rsid w:val="ADDFB864"/>
    <w:rsid w:val="AEAFD8A0"/>
    <w:rsid w:val="AFB79FAF"/>
    <w:rsid w:val="AFBB34BD"/>
    <w:rsid w:val="AFFB0458"/>
    <w:rsid w:val="B2F97CA1"/>
    <w:rsid w:val="B3BBCC24"/>
    <w:rsid w:val="B3F3891A"/>
    <w:rsid w:val="B4C3C5CF"/>
    <w:rsid w:val="B7678C68"/>
    <w:rsid w:val="B79CA110"/>
    <w:rsid w:val="B7CF6749"/>
    <w:rsid w:val="B7FF34C8"/>
    <w:rsid w:val="B7FF3E44"/>
    <w:rsid w:val="B8D776FE"/>
    <w:rsid w:val="B8EF9222"/>
    <w:rsid w:val="B97F6BC3"/>
    <w:rsid w:val="B9EBEB64"/>
    <w:rsid w:val="BB3B3536"/>
    <w:rsid w:val="BBD7C084"/>
    <w:rsid w:val="BBF4A629"/>
    <w:rsid w:val="BBFF8CE9"/>
    <w:rsid w:val="BCFFF0FF"/>
    <w:rsid w:val="BDDE2E02"/>
    <w:rsid w:val="BDEBE92D"/>
    <w:rsid w:val="BE783DA8"/>
    <w:rsid w:val="BEBF05C8"/>
    <w:rsid w:val="BEFE0708"/>
    <w:rsid w:val="BEFF76AF"/>
    <w:rsid w:val="BEFFDE8A"/>
    <w:rsid w:val="BF09F394"/>
    <w:rsid w:val="BF7417E0"/>
    <w:rsid w:val="BF74D458"/>
    <w:rsid w:val="BF7F8F43"/>
    <w:rsid w:val="BF9F8E3A"/>
    <w:rsid w:val="BFAED831"/>
    <w:rsid w:val="BFD60335"/>
    <w:rsid w:val="BFDF27F9"/>
    <w:rsid w:val="BFECDCE4"/>
    <w:rsid w:val="BFEDE08A"/>
    <w:rsid w:val="BFF2C889"/>
    <w:rsid w:val="BFF6EDC6"/>
    <w:rsid w:val="BFF7EBF7"/>
    <w:rsid w:val="BFFC80AE"/>
    <w:rsid w:val="CAFD36CE"/>
    <w:rsid w:val="CDC9F35D"/>
    <w:rsid w:val="CDFD143F"/>
    <w:rsid w:val="CE161627"/>
    <w:rsid w:val="CEBD804D"/>
    <w:rsid w:val="CED9F5B0"/>
    <w:rsid w:val="D15F661A"/>
    <w:rsid w:val="D2FF9C6F"/>
    <w:rsid w:val="D3F1DFFE"/>
    <w:rsid w:val="D3FFA9C3"/>
    <w:rsid w:val="D6FDC617"/>
    <w:rsid w:val="D75E0B8E"/>
    <w:rsid w:val="D77F92B9"/>
    <w:rsid w:val="D7B7C98F"/>
    <w:rsid w:val="D7DB3E24"/>
    <w:rsid w:val="D7DF383D"/>
    <w:rsid w:val="D7E685A7"/>
    <w:rsid w:val="DA3E927E"/>
    <w:rsid w:val="DBBDC50F"/>
    <w:rsid w:val="DBFD6B21"/>
    <w:rsid w:val="DBFDA88C"/>
    <w:rsid w:val="DBFE12BB"/>
    <w:rsid w:val="DBFF0F81"/>
    <w:rsid w:val="DBFF1FAC"/>
    <w:rsid w:val="DCDADA03"/>
    <w:rsid w:val="DCFCA21F"/>
    <w:rsid w:val="DDB94365"/>
    <w:rsid w:val="DDFFAA26"/>
    <w:rsid w:val="DE371B00"/>
    <w:rsid w:val="DE9E33C7"/>
    <w:rsid w:val="DED4CC98"/>
    <w:rsid w:val="DEFF5E4D"/>
    <w:rsid w:val="DEFF897D"/>
    <w:rsid w:val="DF67E2B0"/>
    <w:rsid w:val="DFDEFCD8"/>
    <w:rsid w:val="DFEE0DE4"/>
    <w:rsid w:val="DFF7A771"/>
    <w:rsid w:val="DFF7D043"/>
    <w:rsid w:val="E49A5DB4"/>
    <w:rsid w:val="E57F50D0"/>
    <w:rsid w:val="E5EF5D31"/>
    <w:rsid w:val="E5EF9747"/>
    <w:rsid w:val="E6C672C2"/>
    <w:rsid w:val="E6ED7C6C"/>
    <w:rsid w:val="E6FF9B47"/>
    <w:rsid w:val="E7E220FE"/>
    <w:rsid w:val="E7EF5E88"/>
    <w:rsid w:val="E7FEB3E5"/>
    <w:rsid w:val="E7FF5C28"/>
    <w:rsid w:val="E90F0938"/>
    <w:rsid w:val="E92E6063"/>
    <w:rsid w:val="E98984F8"/>
    <w:rsid w:val="E9FF3E6F"/>
    <w:rsid w:val="EAFF550E"/>
    <w:rsid w:val="EB8B9FDD"/>
    <w:rsid w:val="EBE709EB"/>
    <w:rsid w:val="EBEDF4DE"/>
    <w:rsid w:val="EBFF4401"/>
    <w:rsid w:val="EBFFF1E4"/>
    <w:rsid w:val="ED2F0B49"/>
    <w:rsid w:val="ED79C5F9"/>
    <w:rsid w:val="ED7DB4A0"/>
    <w:rsid w:val="EDBD4B52"/>
    <w:rsid w:val="EDDB13D4"/>
    <w:rsid w:val="EDDB932D"/>
    <w:rsid w:val="EDEF8464"/>
    <w:rsid w:val="EDFB774B"/>
    <w:rsid w:val="EDFD365C"/>
    <w:rsid w:val="EDFF5707"/>
    <w:rsid w:val="EE7F7F0D"/>
    <w:rsid w:val="EEF745C0"/>
    <w:rsid w:val="EEFFD076"/>
    <w:rsid w:val="EF5FA5EB"/>
    <w:rsid w:val="EF7F3E66"/>
    <w:rsid w:val="EF8E8177"/>
    <w:rsid w:val="EF995F0C"/>
    <w:rsid w:val="EFA7C233"/>
    <w:rsid w:val="EFBF49FD"/>
    <w:rsid w:val="EFD480D7"/>
    <w:rsid w:val="EFD90224"/>
    <w:rsid w:val="EFFD2CB7"/>
    <w:rsid w:val="EFFF6FF5"/>
    <w:rsid w:val="F0FD23AF"/>
    <w:rsid w:val="F3BF54C5"/>
    <w:rsid w:val="F3DCE955"/>
    <w:rsid w:val="F3DD39C5"/>
    <w:rsid w:val="F3E6FA8C"/>
    <w:rsid w:val="F3FF8ED7"/>
    <w:rsid w:val="F4BA6AE0"/>
    <w:rsid w:val="F53F6D78"/>
    <w:rsid w:val="F54A35BD"/>
    <w:rsid w:val="F5755BDC"/>
    <w:rsid w:val="F57EF010"/>
    <w:rsid w:val="F59C421F"/>
    <w:rsid w:val="F5EB2E24"/>
    <w:rsid w:val="F5FDBB2A"/>
    <w:rsid w:val="F672B623"/>
    <w:rsid w:val="F6BC1A42"/>
    <w:rsid w:val="F6BFBE4F"/>
    <w:rsid w:val="F6D727A6"/>
    <w:rsid w:val="F6FEF507"/>
    <w:rsid w:val="F73FB5EC"/>
    <w:rsid w:val="F75BF5DC"/>
    <w:rsid w:val="F776A96A"/>
    <w:rsid w:val="F77EDDBF"/>
    <w:rsid w:val="F77F1A08"/>
    <w:rsid w:val="F7AD4A15"/>
    <w:rsid w:val="F7BF1FFC"/>
    <w:rsid w:val="F7BFEC74"/>
    <w:rsid w:val="F7E0B8C1"/>
    <w:rsid w:val="F7E55603"/>
    <w:rsid w:val="F7EF4E11"/>
    <w:rsid w:val="F7EFCE23"/>
    <w:rsid w:val="F7F9ADBD"/>
    <w:rsid w:val="F7FE729A"/>
    <w:rsid w:val="F9ED3528"/>
    <w:rsid w:val="FA9D67A9"/>
    <w:rsid w:val="FAFB3DE5"/>
    <w:rsid w:val="FB56EFFD"/>
    <w:rsid w:val="FB7BF11E"/>
    <w:rsid w:val="FB9A7DBE"/>
    <w:rsid w:val="FBB9DF08"/>
    <w:rsid w:val="FBE3CA2B"/>
    <w:rsid w:val="FBFF71AA"/>
    <w:rsid w:val="FBFFC4A3"/>
    <w:rsid w:val="FCDFA480"/>
    <w:rsid w:val="FCF7AD6D"/>
    <w:rsid w:val="FCF955BC"/>
    <w:rsid w:val="FD1FBE2A"/>
    <w:rsid w:val="FD3BD4A3"/>
    <w:rsid w:val="FD3FF4CC"/>
    <w:rsid w:val="FD52E29B"/>
    <w:rsid w:val="FD6B5DAF"/>
    <w:rsid w:val="FD7C93F2"/>
    <w:rsid w:val="FD7F7A52"/>
    <w:rsid w:val="FDB776EF"/>
    <w:rsid w:val="FDBB728A"/>
    <w:rsid w:val="FDBFBD83"/>
    <w:rsid w:val="FDD26622"/>
    <w:rsid w:val="FDDC21FC"/>
    <w:rsid w:val="FDE7B60A"/>
    <w:rsid w:val="FDF72507"/>
    <w:rsid w:val="FDFA205A"/>
    <w:rsid w:val="FDFB4BAD"/>
    <w:rsid w:val="FDFD7BCC"/>
    <w:rsid w:val="FDFDB573"/>
    <w:rsid w:val="FE290EEB"/>
    <w:rsid w:val="FE76A858"/>
    <w:rsid w:val="FE7A6B19"/>
    <w:rsid w:val="FE7DDC6B"/>
    <w:rsid w:val="FED51C92"/>
    <w:rsid w:val="FEEC7871"/>
    <w:rsid w:val="FEEE3E1F"/>
    <w:rsid w:val="FEF06012"/>
    <w:rsid w:val="FEF98D74"/>
    <w:rsid w:val="FEFB2D8C"/>
    <w:rsid w:val="FEFD7762"/>
    <w:rsid w:val="FF17A9DB"/>
    <w:rsid w:val="FF23AA42"/>
    <w:rsid w:val="FF6F9939"/>
    <w:rsid w:val="FF7538B3"/>
    <w:rsid w:val="FF778243"/>
    <w:rsid w:val="FF7F0889"/>
    <w:rsid w:val="FF7FDCC2"/>
    <w:rsid w:val="FF8D2772"/>
    <w:rsid w:val="FF9E8E24"/>
    <w:rsid w:val="FF9FC154"/>
    <w:rsid w:val="FF9FFC87"/>
    <w:rsid w:val="FFBED261"/>
    <w:rsid w:val="FFBEDE00"/>
    <w:rsid w:val="FFBF3971"/>
    <w:rsid w:val="FFBF6BF7"/>
    <w:rsid w:val="FFDEA7A0"/>
    <w:rsid w:val="FFDF86EC"/>
    <w:rsid w:val="FFDFBA40"/>
    <w:rsid w:val="FFE5DD4A"/>
    <w:rsid w:val="FFE5F2AD"/>
    <w:rsid w:val="FFE911A1"/>
    <w:rsid w:val="FFEF48F0"/>
    <w:rsid w:val="FFFAB7E3"/>
    <w:rsid w:val="FFFBD055"/>
    <w:rsid w:val="FFFD5ED9"/>
    <w:rsid w:val="FFFD7C05"/>
    <w:rsid w:val="FFFDC9C4"/>
    <w:rsid w:val="FFFE04AA"/>
    <w:rsid w:val="FFFE62F2"/>
    <w:rsid w:val="FFFE8631"/>
    <w:rsid w:val="FFFFB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3</TotalTime>
  <ScaleCrop>false</ScaleCrop>
  <LinksUpToDate>false</LinksUpToDate>
  <CharactersWithSpaces>3325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2018-08-23T07:58:00Z</dcterms:created>
  <dc:creator>哈哈Forge</dc:creator>
  <cp:lastModifiedBy>duansq</cp:lastModifiedBy>
  <dcterms:modified xsi:type="dcterms:W3CDTF">2018-10-06T14:59:04Z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