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262626" w:themeColor="text1" w:themeShade="80"/>
          <w:sz w:val="24"/>
          <w:szCs w:val="24"/>
        </w:rPr>
      </w:pPr>
      <w:r>
        <w:rPr>
          <w:rFonts w:hint="default" w:ascii="Times New Roman" w:hAnsi="Times New Roman" w:cs="Times New Roman"/>
          <w:b/>
          <w:bCs/>
          <w:color w:val="262626" w:themeColor="text1" w:themeShade="80"/>
          <w:sz w:val="24"/>
          <w:szCs w:val="24"/>
        </w:rPr>
        <w:t>Title:</w:t>
      </w:r>
    </w:p>
    <w:p>
      <w:pPr>
        <w:keepNext w:val="0"/>
        <w:keepLines w:val="0"/>
        <w:widowControl/>
        <w:suppressLineNumbers w:val="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Analysis of nutrient composition and determination of active substances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 xml:space="preserve">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Antidiabetic activity</w:t>
      </w:r>
    </w:p>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Abstract</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Diabetes is a group of metabolic diseases characterized by hyperglycemia resulting from defects in insulin secretion, insulin action, or both, and caused a series of health problems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Diabetes is the result of an integrated metabolic disorder that leads to higher cardiovascular disease morbidity and mortality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_Ref781679643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2</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At the same time, diabetes can lead to many complications, including retinopathy that may lose vision, kidney disease leading to renal failure, neuropathy, etc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Epidemiological studies have shown that the risk of diabetes and its complications is mainly affected by daily diet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_Ref1897588016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3</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Reasonable supplementation of edible fungi in the diet will be of great benefit to the prevention and treatment of diabetes and vascular diseases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_Ref85551023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4</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Edible fungi are an ideal dietary supplement for people with diabetes because they contain very low fat and cholesterol and are rich in protein, vitamins and minerals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_Ref376320981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5</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Many edible fungi with hypoglycemic activity have been reported so far, and many edible fungi have also been reported to have other medicinal activities, such as anti-tumor, blood pressure lowering and immunity enhancement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_Ref813242035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6</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Although there have been some reports on the nutrient composition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such as protein content, amino acid composition and so on</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instrText xml:space="preserve"> REF _Ref478554362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t>7</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However, there is still a lack of systematic and complete coverage of its nutrients.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Therefore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 this study will </w:t>
      </w:r>
      <w:r>
        <w:rPr>
          <w:rFonts w:hint="default" w:ascii="Times New Roman" w:hAnsi="Times New Roman" w:cs="Times New Roman"/>
          <w:i w:val="0"/>
          <w:caps w:val="0"/>
          <w:color w:val="262626" w:themeColor="text1" w:themeShade="80"/>
          <w:spacing w:val="0"/>
          <w:sz w:val="24"/>
          <w:szCs w:val="24"/>
          <w:shd w:val="clear" w:fill="FFFFFF"/>
          <w:lang w:val="en-US"/>
        </w:rPr>
        <w:t>systematically</w:t>
      </w:r>
      <w:r>
        <w:rPr>
          <w:rFonts w:hint="default" w:ascii="Times New Roman" w:hAnsi="Times New Roman" w:cs="Times New Roman"/>
          <w:i w:val="0"/>
          <w:caps w:val="0"/>
          <w:color w:val="262626" w:themeColor="text1" w:themeShade="80"/>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evaluate the nutrient composition and anti-diabetic activity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determine the main active substances in the extract, and separate and purify the active substance and preliminary structure identification. Finally, the results of in vitro and animal experiments are combined to establish the theoretical basis of the structure-activity relationship. This study not only provides an important reference for nutritious diet, but also has important academic and practical significance for the development and utilization of wild edible fungi resources.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Materials and methods</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analysis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major hypoglycemic substance</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extraction method of edible fungus alcohol extract, aqueous extract and crude polysaccharide is slightly modified as described in Wang et al. Approximately 25</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g of the fresh sample after lyophilization was placed in 250 mL of 95% ethanol for overnight so as to prepare an alcohol extract; Two portions of the ground fresh 25</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g sample were treated in 250 mL boiling water for 2 hours (continuous stirring), one portion to prepare an aqueous extract, and the other portion to separate the polysaccharide in the aqueous extract by a Sevage method to obtain a crude polysaccharide extract. The above there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α-glucosidase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62626" w:themeColor="text1" w:themeShade="80"/>
          <w:spacing w:val="0"/>
          <w:sz w:val="24"/>
          <w:szCs w:val="24"/>
          <w:shd w:val="clear" w:fill="FFFFFF"/>
          <w:lang w:val="en-US"/>
        </w:rPr>
        <w:t>p-nitrophenol glucopyranoside</w:t>
      </w:r>
      <w:r>
        <w:rPr>
          <w:rFonts w:hint="default" w:ascii="Times New Roman" w:hAnsi="Times New Roman" w:cs="Times New Roman"/>
          <w:b w:val="0"/>
          <w:bCs w:val="0"/>
          <w:i w:val="0"/>
          <w:caps w:val="0"/>
          <w:color w:val="262626" w:themeColor="text1" w:themeShade="80"/>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(pNGP, 0.1 M), and finally add the appropriate amount of the alcohol extract, aqueous extract, crude polysaccharide, 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α-amylase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The method for determining the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-amylase inhibitory activity is described in the method of Palanisam et al., with minor modifications. The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-amylase was dissolved in 0.5 mL of 20 mM phosphate buffer (pH 6.9) to bring the enzyme concentration to 2 IU/mL, and various dilutions of the alcohol extract, aqueous extract, crude polysaccharide, negative control (blank) or positive control (acarbose) were added. The mixed solution was placed in a 37 ° C water bath and warmed for 15 min. Then 0.5 mL of potato starch solution (1.5%) was added to the solution, and a constant temperature bath at 37 ° C for 5 min. Finally, 1 mL of DNS reagent was added, and the reaction solution was placed in boiling water at 100 ° C (10 min), and after rapid cooling, the absorbance of the final product was measured with a spectrophotometer (520 nm). All samples were analyzed three times and averaged.Calculated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when the inhibition rate of α-amylase is 50%, the effective concentration (μg/mL) of the inhibitor is added.</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crude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C for 24 hours. The precipitate obtained by centrifugation (2654 × g, 10 min, 4 ° C) was finally lyophilized to obtain a crude polysaccharide.</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Preliminary characterization of Polysacchrides</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monosaccharide composition was determined by gas chromatography (GC), and 10 mg of the polysaccharide sample was dissolved in 2 M TFA and hydrolyzed at 110 ° C for 2 h. After removing the TFA, vacuum dry. And 10 mg of hydroxylamine hydrochloride and 0.5 mL of pyridine were placed in a stoppered tube, heated in an oven at 90 ° C for 30 min, cooled to room temperature, and 0.5 mL of acetic anhydride was added. The reaction was carried out for 30 min for acetylation at 90 ° C. The obtained reaction product can be subjected to gas chromatography analysis. The type of monosaccharide of the sample is determined according to the retention time of each peak of the sample; the proportional relationship between the monosaccharides is determined according to the ratio of the area of each peak.</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FT-IR and ultraviolet</w:t>
      </w:r>
    </w:p>
    <w:p>
      <w:pPr>
        <w:keepNext w:val="0"/>
        <w:keepLines w:val="0"/>
        <w:widowControl/>
        <w:suppressLineNumbers w:val="0"/>
        <w:ind w:firstLine="420" w:firstLineChars="0"/>
        <w:jc w:val="left"/>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antidiabetic activity in vivo</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Results and discussion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p>
    <w:p>
      <w:pP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Table 2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425"/>
        </w:tabs>
        <w:ind w:left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major hypoglycemic substances</w:t>
      </w:r>
    </w:p>
    <w:p>
      <w:pPr>
        <w:keepNext w:val="0"/>
        <w:keepLines w:val="0"/>
        <w:widowControl/>
        <w:numPr>
          <w:numId w:val="0"/>
        </w:numPr>
        <w:suppressLineNumbers w:val="0"/>
        <w:tabs>
          <w:tab w:val="left" w:pos="425"/>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t xml:space="preserve">In order to gain a deeper understanding of the hypoglycemic activity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to achieve its further industrial application. Therefore, it is necessary to determine the main hypoglycemic active substance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Silva et al. believe that the main active substance in edible fungi is the polysaccharide in its aqueous extract, followed by the fat-soluble substance in the alcohol extract. Therefore, in this experiment, the alcohol extract, the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aqueous extract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and the crude polysaccharide in the aqueous extract were separated from each other, and the blood glucose lowering activity was tested separately. By comparison, it was known. The substances play a leading role in hypoglycemic activity. As shown in Table 4, the table reflects the inhibitory activities of the alcohol extract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the α-glucosidase and the α-amylase of the crude polysaccharide in the aqueous extract and the aqueous extract. It can be seen that the hypoglycemic activity of the crude polysaccharide is significantly higher than that of the alcohol extract and is similar to the hypoglycemic activity of the aqueous extract. Therefore, we believe that the main effect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on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hypoglycemic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activity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is polysaccharide.</w:t>
      </w:r>
    </w:p>
    <w:p>
      <w:pPr>
        <w:keepNext w:val="0"/>
        <w:keepLines w:val="0"/>
        <w:widowControl/>
        <w:suppressLineNumbers w:val="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 xml:space="preserve">Table 4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Hypoglycemic activity of ethanol extract,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queous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extract and crude polysaccharide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p>
    <w:tbl>
      <w:tblPr>
        <w:tblStyle w:val="6"/>
        <w:tblW w:w="14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43"/>
        <w:gridCol w:w="3543"/>
        <w:gridCol w:w="3543"/>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4" w:hRule="atLeast"/>
        </w:trPr>
        <w:tc>
          <w:tcPr>
            <w:tcW w:w="3543"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Biological activity</w:t>
            </w:r>
          </w:p>
        </w:tc>
        <w:tc>
          <w:tcPr>
            <w:tcW w:w="3543" w:type="dxa"/>
            <w:tcBorders>
              <w:top w:val="single" w:color="auto" w:sz="12" w:space="0"/>
              <w:left w:val="nil"/>
              <w:bottom w:val="single" w:color="auto" w:sz="12" w:space="0"/>
              <w:right w:val="nil"/>
            </w:tcBorders>
            <w:vAlign w:val="top"/>
          </w:tcPr>
          <w:p>
            <w:pPr>
              <w:keepNext w:val="0"/>
              <w:keepLines w:val="0"/>
              <w:widowControl/>
              <w:numPr>
                <w:ilvl w:val="0"/>
                <w:numId w:val="0"/>
              </w:numPr>
              <w:suppressLineNumbers w:val="0"/>
              <w:tabs>
                <w:tab w:val="left" w:pos="425"/>
              </w:tabs>
              <w:ind w:left="0" w:leftChars="0" w:firstLine="0" w:firstLineChars="0"/>
              <w:jc w:val="cente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Alcohol extract</w:t>
            </w:r>
          </w:p>
        </w:tc>
        <w:tc>
          <w:tcPr>
            <w:tcW w:w="3543"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queous extract</w:t>
            </w:r>
          </w:p>
        </w:tc>
        <w:tc>
          <w:tcPr>
            <w:tcW w:w="3543"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Crude polysaccharide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4" w:hRule="atLeast"/>
        </w:trPr>
        <w:tc>
          <w:tcPr>
            <w:tcW w:w="3543" w:type="dxa"/>
            <w:tcBorders>
              <w:top w:val="single" w:color="auto" w:sz="12" w:space="0"/>
              <w:left w:val="nil"/>
              <w:bottom w:val="nil"/>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GI</w:t>
            </w:r>
          </w:p>
        </w:tc>
        <w:tc>
          <w:tcPr>
            <w:tcW w:w="3543"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425"/>
              </w:tabs>
              <w:ind w:left="0" w:leftChars="0" w:firstLine="0" w:firstLineChars="0"/>
              <w:jc w:val="cente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1.27±0.04</w:t>
            </w:r>
          </w:p>
        </w:tc>
        <w:tc>
          <w:tcPr>
            <w:tcW w:w="3543" w:type="dxa"/>
            <w:tcBorders>
              <w:top w:val="single" w:color="auto" w:sz="12" w:space="0"/>
              <w:left w:val="nil"/>
              <w:bottom w:val="nil"/>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10.43±0.43</w:t>
            </w:r>
          </w:p>
        </w:tc>
        <w:tc>
          <w:tcPr>
            <w:tcW w:w="3543" w:type="dxa"/>
            <w:tcBorders>
              <w:top w:val="single" w:color="auto" w:sz="12" w:space="0"/>
              <w:left w:val="nil"/>
              <w:bottom w:val="nil"/>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11.34±0.48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4" w:hRule="atLeast"/>
        </w:trPr>
        <w:tc>
          <w:tcPr>
            <w:tcW w:w="3543" w:type="dxa"/>
            <w:tcBorders>
              <w:top w:val="nil"/>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AI</w:t>
            </w:r>
          </w:p>
        </w:tc>
        <w:tc>
          <w:tcPr>
            <w:tcW w:w="3543" w:type="dxa"/>
            <w:tcBorders>
              <w:top w:val="nil"/>
              <w:left w:val="nil"/>
              <w:bottom w:val="single" w:color="auto" w:sz="12" w:space="0"/>
              <w:right w:val="nil"/>
            </w:tcBorders>
            <w:vAlign w:val="top"/>
          </w:tcPr>
          <w:p>
            <w:pPr>
              <w:keepNext w:val="0"/>
              <w:keepLines w:val="0"/>
              <w:widowControl/>
              <w:numPr>
                <w:ilvl w:val="0"/>
                <w:numId w:val="0"/>
              </w:numPr>
              <w:suppressLineNumbers w:val="0"/>
              <w:tabs>
                <w:tab w:val="left" w:pos="425"/>
              </w:tabs>
              <w:ind w:left="0" w:leftChars="0" w:firstLine="0" w:firstLineChars="0"/>
              <w:jc w:val="cente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4.43±0.63</w:t>
            </w:r>
          </w:p>
        </w:tc>
        <w:tc>
          <w:tcPr>
            <w:tcW w:w="3543" w:type="dxa"/>
            <w:tcBorders>
              <w:top w:val="nil"/>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21.63±0.87</w:t>
            </w:r>
          </w:p>
        </w:tc>
        <w:tc>
          <w:tcPr>
            <w:tcW w:w="3543" w:type="dxa"/>
            <w:tcBorders>
              <w:top w:val="nil"/>
              <w:left w:val="nil"/>
              <w:bottom w:val="single" w:color="auto" w:sz="12" w:space="0"/>
              <w:right w:val="nil"/>
            </w:tcBorders>
          </w:tcPr>
          <w:p>
            <w:pPr>
              <w:keepNext w:val="0"/>
              <w:keepLines w:val="0"/>
              <w:widowControl/>
              <w:numPr>
                <w:numId w:val="0"/>
              </w:numPr>
              <w:suppressLineNumbers w:val="0"/>
              <w:tabs>
                <w:tab w:val="left" w:pos="425"/>
              </w:tabs>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24.99±0.44</w:t>
            </w:r>
          </w:p>
        </w:tc>
      </w:tr>
    </w:tbl>
    <w:p>
      <w:pPr>
        <w:keepNext w:val="0"/>
        <w:keepLines w:val="0"/>
        <w:widowControl/>
        <w:numPr>
          <w:numId w:val="0"/>
        </w:numPr>
        <w:suppressLineNumbers w:val="0"/>
        <w:tabs>
          <w:tab w:val="left" w:pos="425"/>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Each value is expressed as the mean ± standard deviation (SD);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eastAsia="zh-CN" w:bidi="ar"/>
        </w:rPr>
        <w:t>B</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α-GI: α-glucosidase inhibitory activity (μg/mL); α-AI: α-amylase inhibitory activity (μg/mL)</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bookmarkStart w:id="8" w:name="_GoBack"/>
      <w:bookmarkEnd w:id="8"/>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870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β-glycosidic bond. Thus, the crude polysaccharide is mainly composed of β-pyranose.</w:t>
      </w:r>
    </w:p>
    <w:p>
      <w:pP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antidiabetic activity in vivo</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Uncategorized References</w:t>
      </w:r>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0" w:name="_Ref227808598"/>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American Diabetes Association, Diagnosis and classification of diabetes mellitus,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Diabetes care,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2014, 37, S81-S90.</w:t>
      </w:r>
      <w:bookmarkEnd w:id="0"/>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1" w:name="_Ref78167964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Kayama, Y., Raaz, U., Jagger, A., Adam, M., Schellinger, I. N., Sakamoto, M., ... &amp; Tsao, P. S.  Diabetic cardiovascular disease induced by oxidative stress.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molecular sciences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 16(10), 25234-25263.</w:t>
      </w:r>
      <w:bookmarkEnd w:id="1"/>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2" w:name="_Ref1897588016"/>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Tourlouki, E., Matalas, A. L., &amp; Panagiotakos, D. B. Dietary habits and cardiovascular disease risk in middle-aged and elderly populations: a review of evidence.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Clinical interventions in aging</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4, 319.</w:t>
      </w:r>
      <w:bookmarkEnd w:id="2"/>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3" w:name="_Ref8555102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Roncero-Ramos, I., &amp; Delgado-Andrade, C. The beneficial role of edible mushrooms in human health.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Food Science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2017, 14, 122-128.</w:t>
      </w:r>
      <w:bookmarkEnd w:id="3"/>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4" w:name="_Ref376320981"/>
      <w:bookmarkStart w:id="5" w:name="_Ref228060074"/>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Valverde, M. E., Hernández-Pérez, T., &amp; Paredes-López, O. Edible mushrooms: improving human health and promoting quality life.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microbiology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w:t>
      </w:r>
      <w:bookmarkEnd w:id="4"/>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6" w:name="_Ref813242035"/>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Giavasis, I. Bioactive fungal polysaccharides as potential functional ingredients in food and nutraceuticals.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Biotechnology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2014, 26, 162-173.</w:t>
      </w:r>
      <w:bookmarkEnd w:id="5"/>
      <w:bookmarkEnd w:id="6"/>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7" w:name="_Ref478554362"/>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Kalač, P.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113(1), 9-16.</w:t>
      </w:r>
      <w:bookmarkEnd w:id="7"/>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E78B0"/>
    <w:multiLevelType w:val="singleLevel"/>
    <w:tmpl w:val="FDEE78B0"/>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027F153D"/>
    <w:rsid w:val="056798BF"/>
    <w:rsid w:val="06FF52DD"/>
    <w:rsid w:val="117F8770"/>
    <w:rsid w:val="12B3088D"/>
    <w:rsid w:val="13BF5BB7"/>
    <w:rsid w:val="13FF2AA8"/>
    <w:rsid w:val="15E679B3"/>
    <w:rsid w:val="175F171C"/>
    <w:rsid w:val="176FCF81"/>
    <w:rsid w:val="17B78EBD"/>
    <w:rsid w:val="18271CE0"/>
    <w:rsid w:val="199BF9A5"/>
    <w:rsid w:val="19B2D99B"/>
    <w:rsid w:val="19D1123A"/>
    <w:rsid w:val="1B6D8A24"/>
    <w:rsid w:val="1BADF831"/>
    <w:rsid w:val="1BFF4D47"/>
    <w:rsid w:val="1CEE8D55"/>
    <w:rsid w:val="1CFD91BC"/>
    <w:rsid w:val="1CFDFBDD"/>
    <w:rsid w:val="1D6F2704"/>
    <w:rsid w:val="1DE6BC98"/>
    <w:rsid w:val="1DFD51A6"/>
    <w:rsid w:val="1DFE3568"/>
    <w:rsid w:val="1DFFD434"/>
    <w:rsid w:val="1DFFFF01"/>
    <w:rsid w:val="1EADBF59"/>
    <w:rsid w:val="1F3FCA6B"/>
    <w:rsid w:val="1F7E1E49"/>
    <w:rsid w:val="1F7F7E7B"/>
    <w:rsid w:val="1FBB2354"/>
    <w:rsid w:val="1FBFE2A8"/>
    <w:rsid w:val="1FDF6C50"/>
    <w:rsid w:val="1FFFD5E4"/>
    <w:rsid w:val="229B3B09"/>
    <w:rsid w:val="24FEEFC5"/>
    <w:rsid w:val="27D30E6D"/>
    <w:rsid w:val="27E605D9"/>
    <w:rsid w:val="28F3F517"/>
    <w:rsid w:val="2967B835"/>
    <w:rsid w:val="297C670F"/>
    <w:rsid w:val="2BDDA838"/>
    <w:rsid w:val="2CBB167A"/>
    <w:rsid w:val="2DF31F49"/>
    <w:rsid w:val="2EFF6193"/>
    <w:rsid w:val="2F7F6E3A"/>
    <w:rsid w:val="2FDB3D9D"/>
    <w:rsid w:val="2FF7DAAA"/>
    <w:rsid w:val="2FF9957A"/>
    <w:rsid w:val="2FFF40DC"/>
    <w:rsid w:val="32F3C018"/>
    <w:rsid w:val="336AEF70"/>
    <w:rsid w:val="357DADA4"/>
    <w:rsid w:val="35F4D6F4"/>
    <w:rsid w:val="35FF0D53"/>
    <w:rsid w:val="365D6676"/>
    <w:rsid w:val="36C63031"/>
    <w:rsid w:val="375FD06B"/>
    <w:rsid w:val="37CA0ECA"/>
    <w:rsid w:val="37E7258B"/>
    <w:rsid w:val="37F7F027"/>
    <w:rsid w:val="38EFBCBB"/>
    <w:rsid w:val="38FF4B78"/>
    <w:rsid w:val="39F693F8"/>
    <w:rsid w:val="3A7FE6D2"/>
    <w:rsid w:val="3ADFE8C0"/>
    <w:rsid w:val="3AFF32ED"/>
    <w:rsid w:val="3B7A0FF9"/>
    <w:rsid w:val="3BACB161"/>
    <w:rsid w:val="3BBFBA5E"/>
    <w:rsid w:val="3BCD2596"/>
    <w:rsid w:val="3BD8DCE2"/>
    <w:rsid w:val="3BEB0E43"/>
    <w:rsid w:val="3BFCF0CA"/>
    <w:rsid w:val="3CFDD464"/>
    <w:rsid w:val="3CFFDAFD"/>
    <w:rsid w:val="3D7CE3C8"/>
    <w:rsid w:val="3D7E8B4C"/>
    <w:rsid w:val="3DBDAE00"/>
    <w:rsid w:val="3E7A93CF"/>
    <w:rsid w:val="3E7BFDC1"/>
    <w:rsid w:val="3E7F7B58"/>
    <w:rsid w:val="3EB7D37F"/>
    <w:rsid w:val="3ED60A11"/>
    <w:rsid w:val="3ED7EC0A"/>
    <w:rsid w:val="3F19CAA5"/>
    <w:rsid w:val="3F5DD58E"/>
    <w:rsid w:val="3F679389"/>
    <w:rsid w:val="3F7C990A"/>
    <w:rsid w:val="3F9FE2B6"/>
    <w:rsid w:val="3FBFFD0A"/>
    <w:rsid w:val="3FCBD2B1"/>
    <w:rsid w:val="3FDDE48F"/>
    <w:rsid w:val="3FF8F6FF"/>
    <w:rsid w:val="3FFC9446"/>
    <w:rsid w:val="3FFE6B16"/>
    <w:rsid w:val="3FFF4197"/>
    <w:rsid w:val="43FFE925"/>
    <w:rsid w:val="44AFE3B9"/>
    <w:rsid w:val="459F4F48"/>
    <w:rsid w:val="467FCD46"/>
    <w:rsid w:val="47D78965"/>
    <w:rsid w:val="498B5E9B"/>
    <w:rsid w:val="4B97E6BA"/>
    <w:rsid w:val="4BDE8584"/>
    <w:rsid w:val="4C9FC392"/>
    <w:rsid w:val="4DFC2C54"/>
    <w:rsid w:val="4E7DE637"/>
    <w:rsid w:val="4EFF4113"/>
    <w:rsid w:val="4F3F183B"/>
    <w:rsid w:val="4FF7683B"/>
    <w:rsid w:val="4FFF9BDA"/>
    <w:rsid w:val="53BF6A27"/>
    <w:rsid w:val="53F7C671"/>
    <w:rsid w:val="55FB225A"/>
    <w:rsid w:val="56A392C2"/>
    <w:rsid w:val="56F637B6"/>
    <w:rsid w:val="573FE244"/>
    <w:rsid w:val="57621A5F"/>
    <w:rsid w:val="5764CB11"/>
    <w:rsid w:val="577BF046"/>
    <w:rsid w:val="577FE182"/>
    <w:rsid w:val="57CF66F4"/>
    <w:rsid w:val="57DF455B"/>
    <w:rsid w:val="59BF969D"/>
    <w:rsid w:val="5ADCFC8A"/>
    <w:rsid w:val="5AEB2F85"/>
    <w:rsid w:val="5B33FB10"/>
    <w:rsid w:val="5B3DAC5C"/>
    <w:rsid w:val="5B7D0965"/>
    <w:rsid w:val="5BDB4C95"/>
    <w:rsid w:val="5BEA82B4"/>
    <w:rsid w:val="5BEEF71F"/>
    <w:rsid w:val="5BF7C826"/>
    <w:rsid w:val="5BF90FA4"/>
    <w:rsid w:val="5BFA7BDB"/>
    <w:rsid w:val="5BFD7C90"/>
    <w:rsid w:val="5DFBA9A6"/>
    <w:rsid w:val="5DFF9C04"/>
    <w:rsid w:val="5E27D7EB"/>
    <w:rsid w:val="5E9DE8C0"/>
    <w:rsid w:val="5EBF1788"/>
    <w:rsid w:val="5EDF9592"/>
    <w:rsid w:val="5EE30ED3"/>
    <w:rsid w:val="5EFC66D4"/>
    <w:rsid w:val="5EFDB48A"/>
    <w:rsid w:val="5F6B9CF0"/>
    <w:rsid w:val="5F6D91A6"/>
    <w:rsid w:val="5F7F1C27"/>
    <w:rsid w:val="5FB9AC18"/>
    <w:rsid w:val="5FDF59EA"/>
    <w:rsid w:val="5FDFA0EE"/>
    <w:rsid w:val="5FE66770"/>
    <w:rsid w:val="5FF6942B"/>
    <w:rsid w:val="5FFC4456"/>
    <w:rsid w:val="5FFD8772"/>
    <w:rsid w:val="62AF4958"/>
    <w:rsid w:val="63DF3451"/>
    <w:rsid w:val="63F6A7A9"/>
    <w:rsid w:val="64FF3BFE"/>
    <w:rsid w:val="669BBB4D"/>
    <w:rsid w:val="66AFCDEF"/>
    <w:rsid w:val="66BB1EC2"/>
    <w:rsid w:val="66F55DAC"/>
    <w:rsid w:val="67AECA71"/>
    <w:rsid w:val="688F5617"/>
    <w:rsid w:val="692EB0F1"/>
    <w:rsid w:val="69DDD617"/>
    <w:rsid w:val="69FEF64C"/>
    <w:rsid w:val="6ABFEB64"/>
    <w:rsid w:val="6AF9F1BD"/>
    <w:rsid w:val="6B3F7C00"/>
    <w:rsid w:val="6B9FC7E4"/>
    <w:rsid w:val="6BBEE79F"/>
    <w:rsid w:val="6BF686E7"/>
    <w:rsid w:val="6BF80B69"/>
    <w:rsid w:val="6CBDCCE7"/>
    <w:rsid w:val="6D7B158A"/>
    <w:rsid w:val="6DD5F94F"/>
    <w:rsid w:val="6DFBEACC"/>
    <w:rsid w:val="6E976A2E"/>
    <w:rsid w:val="6EBD5D36"/>
    <w:rsid w:val="6ECFE26E"/>
    <w:rsid w:val="6EECF821"/>
    <w:rsid w:val="6EFA4B37"/>
    <w:rsid w:val="6EFFF006"/>
    <w:rsid w:val="6F57FB2C"/>
    <w:rsid w:val="6F5FF1FF"/>
    <w:rsid w:val="6F7F29A5"/>
    <w:rsid w:val="6FAD8C80"/>
    <w:rsid w:val="6FBD774C"/>
    <w:rsid w:val="6FCBD940"/>
    <w:rsid w:val="6FCFFB8E"/>
    <w:rsid w:val="6FDAF9A6"/>
    <w:rsid w:val="6FDBC579"/>
    <w:rsid w:val="6FDF42A6"/>
    <w:rsid w:val="6FDF71FD"/>
    <w:rsid w:val="6FDF8A1A"/>
    <w:rsid w:val="6FDFBEB2"/>
    <w:rsid w:val="6FFF0079"/>
    <w:rsid w:val="6FFF7322"/>
    <w:rsid w:val="71E7B3A8"/>
    <w:rsid w:val="71F271CF"/>
    <w:rsid w:val="72E79D66"/>
    <w:rsid w:val="72EF8A8B"/>
    <w:rsid w:val="72F70B5D"/>
    <w:rsid w:val="735E3F8B"/>
    <w:rsid w:val="739FDC2D"/>
    <w:rsid w:val="73DEE3F1"/>
    <w:rsid w:val="73DF5D21"/>
    <w:rsid w:val="73F67BEE"/>
    <w:rsid w:val="73FE3F35"/>
    <w:rsid w:val="73FFD5BF"/>
    <w:rsid w:val="75327F0C"/>
    <w:rsid w:val="753F16EA"/>
    <w:rsid w:val="755C0662"/>
    <w:rsid w:val="757FE050"/>
    <w:rsid w:val="75E7F756"/>
    <w:rsid w:val="767BC2D9"/>
    <w:rsid w:val="76B516C1"/>
    <w:rsid w:val="76EDEC7E"/>
    <w:rsid w:val="76FF9663"/>
    <w:rsid w:val="77274EFF"/>
    <w:rsid w:val="775E4602"/>
    <w:rsid w:val="776DA962"/>
    <w:rsid w:val="777AFA31"/>
    <w:rsid w:val="779DFF1B"/>
    <w:rsid w:val="77ADA661"/>
    <w:rsid w:val="77C75081"/>
    <w:rsid w:val="77C92742"/>
    <w:rsid w:val="77EF15F9"/>
    <w:rsid w:val="77EFEFD6"/>
    <w:rsid w:val="77FF02C1"/>
    <w:rsid w:val="77FFBBD6"/>
    <w:rsid w:val="781F330D"/>
    <w:rsid w:val="782F7FE8"/>
    <w:rsid w:val="7887496F"/>
    <w:rsid w:val="79376AD4"/>
    <w:rsid w:val="79ADA1C2"/>
    <w:rsid w:val="79EEF7CB"/>
    <w:rsid w:val="79FB8A18"/>
    <w:rsid w:val="79FBD8F7"/>
    <w:rsid w:val="7A75839C"/>
    <w:rsid w:val="7AAEAF02"/>
    <w:rsid w:val="7AD78219"/>
    <w:rsid w:val="7ADF220D"/>
    <w:rsid w:val="7AED6938"/>
    <w:rsid w:val="7AEF41B3"/>
    <w:rsid w:val="7AF7D858"/>
    <w:rsid w:val="7AFD6F5B"/>
    <w:rsid w:val="7AFF8C40"/>
    <w:rsid w:val="7BB5A6B2"/>
    <w:rsid w:val="7BBCA596"/>
    <w:rsid w:val="7BDC48BB"/>
    <w:rsid w:val="7BEF22E0"/>
    <w:rsid w:val="7BF70517"/>
    <w:rsid w:val="7BFBB471"/>
    <w:rsid w:val="7BFD4138"/>
    <w:rsid w:val="7BFE57F7"/>
    <w:rsid w:val="7BFF2357"/>
    <w:rsid w:val="7BFFFAE9"/>
    <w:rsid w:val="7C67FD39"/>
    <w:rsid w:val="7CA7B50D"/>
    <w:rsid w:val="7CB763ED"/>
    <w:rsid w:val="7CDD24FD"/>
    <w:rsid w:val="7CE797F7"/>
    <w:rsid w:val="7CF50C00"/>
    <w:rsid w:val="7CFEDD04"/>
    <w:rsid w:val="7D1D4DAC"/>
    <w:rsid w:val="7D2F7140"/>
    <w:rsid w:val="7D5539F5"/>
    <w:rsid w:val="7D7317A2"/>
    <w:rsid w:val="7D77746A"/>
    <w:rsid w:val="7D7F1ACE"/>
    <w:rsid w:val="7DD7F4AC"/>
    <w:rsid w:val="7DD85E37"/>
    <w:rsid w:val="7DDF28AC"/>
    <w:rsid w:val="7DDF92D0"/>
    <w:rsid w:val="7DEB36A6"/>
    <w:rsid w:val="7DEF0786"/>
    <w:rsid w:val="7DFD518D"/>
    <w:rsid w:val="7DFE4765"/>
    <w:rsid w:val="7DFEBF12"/>
    <w:rsid w:val="7DFF515C"/>
    <w:rsid w:val="7DFF6867"/>
    <w:rsid w:val="7DFFFED9"/>
    <w:rsid w:val="7E3D2E5C"/>
    <w:rsid w:val="7E3E36CE"/>
    <w:rsid w:val="7E76F71B"/>
    <w:rsid w:val="7E7DB4FA"/>
    <w:rsid w:val="7E9E5D81"/>
    <w:rsid w:val="7EBE6B8A"/>
    <w:rsid w:val="7EBF911D"/>
    <w:rsid w:val="7ECFCA15"/>
    <w:rsid w:val="7EDB57DD"/>
    <w:rsid w:val="7EDFD413"/>
    <w:rsid w:val="7EEA7CBA"/>
    <w:rsid w:val="7EEF9EB7"/>
    <w:rsid w:val="7EF30FAE"/>
    <w:rsid w:val="7EF70D2F"/>
    <w:rsid w:val="7EF72914"/>
    <w:rsid w:val="7EFA754A"/>
    <w:rsid w:val="7EFB3317"/>
    <w:rsid w:val="7EFE6DB6"/>
    <w:rsid w:val="7EFF6243"/>
    <w:rsid w:val="7EFFF405"/>
    <w:rsid w:val="7F1B0851"/>
    <w:rsid w:val="7F6F4068"/>
    <w:rsid w:val="7F6F62CC"/>
    <w:rsid w:val="7F77E32A"/>
    <w:rsid w:val="7F7B8302"/>
    <w:rsid w:val="7F7BACAE"/>
    <w:rsid w:val="7F7EED9B"/>
    <w:rsid w:val="7F7F44CB"/>
    <w:rsid w:val="7F7F603C"/>
    <w:rsid w:val="7F7FD5A8"/>
    <w:rsid w:val="7F9F5A7B"/>
    <w:rsid w:val="7F9FE7C7"/>
    <w:rsid w:val="7FAFCF3C"/>
    <w:rsid w:val="7FB2B34D"/>
    <w:rsid w:val="7FB5E497"/>
    <w:rsid w:val="7FB7522A"/>
    <w:rsid w:val="7FB99DA2"/>
    <w:rsid w:val="7FBF3E33"/>
    <w:rsid w:val="7FBF4CC7"/>
    <w:rsid w:val="7FBF8663"/>
    <w:rsid w:val="7FC76F82"/>
    <w:rsid w:val="7FCB17D6"/>
    <w:rsid w:val="7FCFE359"/>
    <w:rsid w:val="7FDF61DD"/>
    <w:rsid w:val="7FEB276B"/>
    <w:rsid w:val="7FF345E4"/>
    <w:rsid w:val="7FF3C10A"/>
    <w:rsid w:val="7FF62097"/>
    <w:rsid w:val="7FF67C49"/>
    <w:rsid w:val="7FF6CF81"/>
    <w:rsid w:val="7FFD88AF"/>
    <w:rsid w:val="7FFE057D"/>
    <w:rsid w:val="7FFE1CE1"/>
    <w:rsid w:val="7FFED4F2"/>
    <w:rsid w:val="7FFED7B1"/>
    <w:rsid w:val="7FFF0CA5"/>
    <w:rsid w:val="7FFF4D05"/>
    <w:rsid w:val="86BD5ECF"/>
    <w:rsid w:val="897F04DD"/>
    <w:rsid w:val="89FA2D10"/>
    <w:rsid w:val="8A14F2D3"/>
    <w:rsid w:val="8A7E540A"/>
    <w:rsid w:val="8B7FAC30"/>
    <w:rsid w:val="8BF67620"/>
    <w:rsid w:val="8BF995F6"/>
    <w:rsid w:val="8EF7F5A2"/>
    <w:rsid w:val="8F5CE6ED"/>
    <w:rsid w:val="8F7B255C"/>
    <w:rsid w:val="8FFF34B8"/>
    <w:rsid w:val="90EB79BA"/>
    <w:rsid w:val="965ED5D8"/>
    <w:rsid w:val="96DDE798"/>
    <w:rsid w:val="975F4980"/>
    <w:rsid w:val="97FCEEEE"/>
    <w:rsid w:val="97FF1DF9"/>
    <w:rsid w:val="9BBF09CB"/>
    <w:rsid w:val="9BBF938A"/>
    <w:rsid w:val="9BDB0443"/>
    <w:rsid w:val="9BDB1DC9"/>
    <w:rsid w:val="9BF90647"/>
    <w:rsid w:val="9CFFD354"/>
    <w:rsid w:val="9DE76B5E"/>
    <w:rsid w:val="9EDF9312"/>
    <w:rsid w:val="9F4F6F42"/>
    <w:rsid w:val="9F67715B"/>
    <w:rsid w:val="9FBED00B"/>
    <w:rsid w:val="9FDF6022"/>
    <w:rsid w:val="9FF6C26C"/>
    <w:rsid w:val="A1FB1FA7"/>
    <w:rsid w:val="A6DAAF0C"/>
    <w:rsid w:val="A7CE2BF5"/>
    <w:rsid w:val="A99FA0A6"/>
    <w:rsid w:val="ABBA36F2"/>
    <w:rsid w:val="ABEBC526"/>
    <w:rsid w:val="ABF489FA"/>
    <w:rsid w:val="ABFFBDD9"/>
    <w:rsid w:val="ADDFB864"/>
    <w:rsid w:val="ADFD5F51"/>
    <w:rsid w:val="AEAFD8A0"/>
    <w:rsid w:val="AFB79FAF"/>
    <w:rsid w:val="AFBB34BD"/>
    <w:rsid w:val="AFFB0458"/>
    <w:rsid w:val="B2F97CA1"/>
    <w:rsid w:val="B3BBCC24"/>
    <w:rsid w:val="B3F3891A"/>
    <w:rsid w:val="B4C3C5CF"/>
    <w:rsid w:val="B7678C68"/>
    <w:rsid w:val="B77D6C6A"/>
    <w:rsid w:val="B79CA110"/>
    <w:rsid w:val="B7CF6749"/>
    <w:rsid w:val="B7FF34C8"/>
    <w:rsid w:val="B7FF3E44"/>
    <w:rsid w:val="B8D776FE"/>
    <w:rsid w:val="B8EF9222"/>
    <w:rsid w:val="B97F6BC3"/>
    <w:rsid w:val="B9EBEB64"/>
    <w:rsid w:val="BB3B3536"/>
    <w:rsid w:val="BBD7C084"/>
    <w:rsid w:val="BBF4A629"/>
    <w:rsid w:val="BBFF8CE9"/>
    <w:rsid w:val="BCFFF0FF"/>
    <w:rsid w:val="BCFFFA09"/>
    <w:rsid w:val="BDDE2E02"/>
    <w:rsid w:val="BDEBE92D"/>
    <w:rsid w:val="BE783DA8"/>
    <w:rsid w:val="BEBCA199"/>
    <w:rsid w:val="BEBF05C8"/>
    <w:rsid w:val="BEFE0708"/>
    <w:rsid w:val="BEFF76AF"/>
    <w:rsid w:val="BEFFDE8A"/>
    <w:rsid w:val="BF09F394"/>
    <w:rsid w:val="BF4F4BDE"/>
    <w:rsid w:val="BF5324C7"/>
    <w:rsid w:val="BF7417E0"/>
    <w:rsid w:val="BF74D458"/>
    <w:rsid w:val="BF7F67C1"/>
    <w:rsid w:val="BF7F8F43"/>
    <w:rsid w:val="BF9F8E3A"/>
    <w:rsid w:val="BFAED831"/>
    <w:rsid w:val="BFD60335"/>
    <w:rsid w:val="BFDF27F9"/>
    <w:rsid w:val="BFECDCE4"/>
    <w:rsid w:val="BFEDE08A"/>
    <w:rsid w:val="BFF2C889"/>
    <w:rsid w:val="BFF42FD1"/>
    <w:rsid w:val="BFF6EDC6"/>
    <w:rsid w:val="BFF7EBF7"/>
    <w:rsid w:val="BFFC80AE"/>
    <w:rsid w:val="CAFD36CE"/>
    <w:rsid w:val="CBE74957"/>
    <w:rsid w:val="CDBFF63A"/>
    <w:rsid w:val="CDC9F35D"/>
    <w:rsid w:val="CDFD143F"/>
    <w:rsid w:val="CE161627"/>
    <w:rsid w:val="CEBD804D"/>
    <w:rsid w:val="CED9F5B0"/>
    <w:rsid w:val="CEDBA9DF"/>
    <w:rsid w:val="CFBFD4D4"/>
    <w:rsid w:val="D15F661A"/>
    <w:rsid w:val="D2FF9C6F"/>
    <w:rsid w:val="D3F1DFFE"/>
    <w:rsid w:val="D3FFA9C3"/>
    <w:rsid w:val="D5E7CF84"/>
    <w:rsid w:val="D65D55B2"/>
    <w:rsid w:val="D6FDC617"/>
    <w:rsid w:val="D75E0B8E"/>
    <w:rsid w:val="D77F92B9"/>
    <w:rsid w:val="D7B7C98F"/>
    <w:rsid w:val="D7DB3E24"/>
    <w:rsid w:val="D7DF383D"/>
    <w:rsid w:val="D7E685A7"/>
    <w:rsid w:val="D97D0CEF"/>
    <w:rsid w:val="DA3E927E"/>
    <w:rsid w:val="DBBDC50F"/>
    <w:rsid w:val="DBC81785"/>
    <w:rsid w:val="DBFD6B21"/>
    <w:rsid w:val="DBFDA88C"/>
    <w:rsid w:val="DBFE12BB"/>
    <w:rsid w:val="DBFF0F81"/>
    <w:rsid w:val="DBFF1FAC"/>
    <w:rsid w:val="DCDADA03"/>
    <w:rsid w:val="DCFCA21F"/>
    <w:rsid w:val="DDB94365"/>
    <w:rsid w:val="DDFFAA26"/>
    <w:rsid w:val="DE371B00"/>
    <w:rsid w:val="DE9E33C7"/>
    <w:rsid w:val="DED4CC98"/>
    <w:rsid w:val="DEFF5E4D"/>
    <w:rsid w:val="DEFF897D"/>
    <w:rsid w:val="DF67E2B0"/>
    <w:rsid w:val="DFDEFCD8"/>
    <w:rsid w:val="DFEE0DE4"/>
    <w:rsid w:val="DFF4E4A1"/>
    <w:rsid w:val="DFF7A771"/>
    <w:rsid w:val="DFF7D043"/>
    <w:rsid w:val="DFFF59FE"/>
    <w:rsid w:val="E37991E5"/>
    <w:rsid w:val="E49A5DB4"/>
    <w:rsid w:val="E57F50D0"/>
    <w:rsid w:val="E5EF5D31"/>
    <w:rsid w:val="E5EF9747"/>
    <w:rsid w:val="E6C672C2"/>
    <w:rsid w:val="E6ED7C6C"/>
    <w:rsid w:val="E6FF9B47"/>
    <w:rsid w:val="E777B023"/>
    <w:rsid w:val="E7E220FE"/>
    <w:rsid w:val="E7EF5E88"/>
    <w:rsid w:val="E7FEB3E5"/>
    <w:rsid w:val="E7FF5C28"/>
    <w:rsid w:val="E8AD884E"/>
    <w:rsid w:val="E90F0938"/>
    <w:rsid w:val="E92E6063"/>
    <w:rsid w:val="E98984F8"/>
    <w:rsid w:val="E9FF3E6F"/>
    <w:rsid w:val="EAFF550E"/>
    <w:rsid w:val="EB8B9FDD"/>
    <w:rsid w:val="EBE709EB"/>
    <w:rsid w:val="EBEDF4DE"/>
    <w:rsid w:val="EBFF4401"/>
    <w:rsid w:val="EBFFF1E4"/>
    <w:rsid w:val="ED2F0B49"/>
    <w:rsid w:val="ED79C5F9"/>
    <w:rsid w:val="ED7DB4A0"/>
    <w:rsid w:val="EDBD4B52"/>
    <w:rsid w:val="EDDB13D4"/>
    <w:rsid w:val="EDDB932D"/>
    <w:rsid w:val="EDEB32DD"/>
    <w:rsid w:val="EDEF8464"/>
    <w:rsid w:val="EDFB774B"/>
    <w:rsid w:val="EDFD365C"/>
    <w:rsid w:val="EDFF5707"/>
    <w:rsid w:val="EE7F7F0D"/>
    <w:rsid w:val="EEF745C0"/>
    <w:rsid w:val="EEFFD076"/>
    <w:rsid w:val="EF55A88D"/>
    <w:rsid w:val="EF5FA5EB"/>
    <w:rsid w:val="EF7C8E4D"/>
    <w:rsid w:val="EF7F3E66"/>
    <w:rsid w:val="EF8E8177"/>
    <w:rsid w:val="EF995F0C"/>
    <w:rsid w:val="EFA7C233"/>
    <w:rsid w:val="EFBF49FD"/>
    <w:rsid w:val="EFD480D7"/>
    <w:rsid w:val="EFD90224"/>
    <w:rsid w:val="EFF76D20"/>
    <w:rsid w:val="EFFD2CB7"/>
    <w:rsid w:val="EFFF6428"/>
    <w:rsid w:val="EFFF6FF5"/>
    <w:rsid w:val="F0FD23AF"/>
    <w:rsid w:val="F3BF54C5"/>
    <w:rsid w:val="F3DCE955"/>
    <w:rsid w:val="F3DD39C5"/>
    <w:rsid w:val="F3E6FA8C"/>
    <w:rsid w:val="F3FB365E"/>
    <w:rsid w:val="F3FF8ED7"/>
    <w:rsid w:val="F4BA6AE0"/>
    <w:rsid w:val="F53F6D78"/>
    <w:rsid w:val="F54A35BD"/>
    <w:rsid w:val="F5755BDC"/>
    <w:rsid w:val="F57EF010"/>
    <w:rsid w:val="F59C421F"/>
    <w:rsid w:val="F5D7ECBE"/>
    <w:rsid w:val="F5EB2E24"/>
    <w:rsid w:val="F5FDBB2A"/>
    <w:rsid w:val="F672B623"/>
    <w:rsid w:val="F6BC1A42"/>
    <w:rsid w:val="F6BFBE4F"/>
    <w:rsid w:val="F6D727A6"/>
    <w:rsid w:val="F6FEF507"/>
    <w:rsid w:val="F73FB5EC"/>
    <w:rsid w:val="F75BF5DC"/>
    <w:rsid w:val="F776A96A"/>
    <w:rsid w:val="F77EDDBF"/>
    <w:rsid w:val="F77F1A08"/>
    <w:rsid w:val="F7AD4A15"/>
    <w:rsid w:val="F7BE786D"/>
    <w:rsid w:val="F7BF1FFC"/>
    <w:rsid w:val="F7BFEC74"/>
    <w:rsid w:val="F7E0B8C1"/>
    <w:rsid w:val="F7E55603"/>
    <w:rsid w:val="F7EF4E11"/>
    <w:rsid w:val="F7EFCE23"/>
    <w:rsid w:val="F7F9ADBD"/>
    <w:rsid w:val="F7FE729A"/>
    <w:rsid w:val="F87C0945"/>
    <w:rsid w:val="F9ED3528"/>
    <w:rsid w:val="FA9D67A9"/>
    <w:rsid w:val="FAF2E6B9"/>
    <w:rsid w:val="FAFB3DE5"/>
    <w:rsid w:val="FB56EFFD"/>
    <w:rsid w:val="FB7BF11E"/>
    <w:rsid w:val="FB9A7DBE"/>
    <w:rsid w:val="FBB9DF08"/>
    <w:rsid w:val="FBE3CA2B"/>
    <w:rsid w:val="FBE70835"/>
    <w:rsid w:val="FBFF71AA"/>
    <w:rsid w:val="FBFFC4A3"/>
    <w:rsid w:val="FC6D9F5E"/>
    <w:rsid w:val="FCDFA480"/>
    <w:rsid w:val="FCF7AD6D"/>
    <w:rsid w:val="FCF955BC"/>
    <w:rsid w:val="FD1FBE2A"/>
    <w:rsid w:val="FD3BD4A3"/>
    <w:rsid w:val="FD3FF4CC"/>
    <w:rsid w:val="FD52E29B"/>
    <w:rsid w:val="FD6B5DAF"/>
    <w:rsid w:val="FD71A8CD"/>
    <w:rsid w:val="FD7C93F2"/>
    <w:rsid w:val="FD7F7A52"/>
    <w:rsid w:val="FDB776EF"/>
    <w:rsid w:val="FDBB728A"/>
    <w:rsid w:val="FDBFBD83"/>
    <w:rsid w:val="FDD26622"/>
    <w:rsid w:val="FDDC21FC"/>
    <w:rsid w:val="FDE7B60A"/>
    <w:rsid w:val="FDF72507"/>
    <w:rsid w:val="FDFA205A"/>
    <w:rsid w:val="FDFB4BAD"/>
    <w:rsid w:val="FDFD7BCC"/>
    <w:rsid w:val="FDFDB573"/>
    <w:rsid w:val="FE290EEB"/>
    <w:rsid w:val="FE3FB10C"/>
    <w:rsid w:val="FE76A858"/>
    <w:rsid w:val="FE7A6B19"/>
    <w:rsid w:val="FE7DDC6B"/>
    <w:rsid w:val="FE7F2C60"/>
    <w:rsid w:val="FE9FE6FB"/>
    <w:rsid w:val="FEAFF83A"/>
    <w:rsid w:val="FED51C92"/>
    <w:rsid w:val="FEEC7871"/>
    <w:rsid w:val="FEEE3E1F"/>
    <w:rsid w:val="FEF06012"/>
    <w:rsid w:val="FEF9481C"/>
    <w:rsid w:val="FEF98D74"/>
    <w:rsid w:val="FEFB2D8C"/>
    <w:rsid w:val="FEFD7762"/>
    <w:rsid w:val="FEFE1245"/>
    <w:rsid w:val="FF17A9DB"/>
    <w:rsid w:val="FF23AA42"/>
    <w:rsid w:val="FF5F20BF"/>
    <w:rsid w:val="FF6F9939"/>
    <w:rsid w:val="FF7538B3"/>
    <w:rsid w:val="FF778243"/>
    <w:rsid w:val="FF77A433"/>
    <w:rsid w:val="FF7F0889"/>
    <w:rsid w:val="FF7FDCC2"/>
    <w:rsid w:val="FF8D2772"/>
    <w:rsid w:val="FF9E8E24"/>
    <w:rsid w:val="FF9FC154"/>
    <w:rsid w:val="FF9FFC87"/>
    <w:rsid w:val="FFBED261"/>
    <w:rsid w:val="FFBEDE00"/>
    <w:rsid w:val="FFBF3971"/>
    <w:rsid w:val="FFBF6BF7"/>
    <w:rsid w:val="FFDEA7A0"/>
    <w:rsid w:val="FFDF86EC"/>
    <w:rsid w:val="FFDFBA40"/>
    <w:rsid w:val="FFE40F58"/>
    <w:rsid w:val="FFE5DD4A"/>
    <w:rsid w:val="FFE5F2AD"/>
    <w:rsid w:val="FFE73EC4"/>
    <w:rsid w:val="FFE911A1"/>
    <w:rsid w:val="FFEF48F0"/>
    <w:rsid w:val="FFF78C6D"/>
    <w:rsid w:val="FFFAB7E3"/>
    <w:rsid w:val="FFFBD055"/>
    <w:rsid w:val="FFFD5ED9"/>
    <w:rsid w:val="FFFD7C05"/>
    <w:rsid w:val="FFFDC9C4"/>
    <w:rsid w:val="FFFE04AA"/>
    <w:rsid w:val="FFFE62F2"/>
    <w:rsid w:val="FFFE8631"/>
    <w:rsid w:val="FFFFB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870.21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TotalTime>
  <ScaleCrop>false</ScaleCrop>
  <LinksUpToDate>false</LinksUpToDate>
  <CharactersWithSpaces>3325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2018-08-23T15:58:00Z</dcterms:created>
  <dc:creator>哈哈Forge</dc:creator>
  <cp:lastModifiedBy>duansq</cp:lastModifiedBy>
  <dcterms:modified xsi:type="dcterms:W3CDTF">2018-10-07T11:35:44Z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