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3"/>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t>Polysaccharides from the fruit bodies of mushroom have drawn a great deal of attention in the area of biochemistry and pharmaceutical science due to their broad spectrum of therapeutic properties, especially anti-oxidant, immunostimulatory, anti-oxidative and anti-tumor effects. Currently, the main sources of bioactive polysaccharides include tea, mushrooms, Ganoderma lucidum, ginseng, and astragalus. Polysaccharides play an important role in the development of new products, including foods, pharmaceuticals, and biodegradable packaging materials.</w:t>
      </w:r>
    </w:p>
    <w:p>
      <w:pPr>
        <w:keepNext w:val="0"/>
        <w:keepLines w:val="0"/>
        <w:widowControl/>
        <w:numPr>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 highly nutritious edible mushroom and is also considered as a soured even of valuable medicinal compounds.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is an edible fungus with a wide distribution in most parts of China, especially in the Southwestern. In previous work, the fungus has been reported to produce a series of keto esters. It was investigated using free radical scavenging activities, metal chelating effects, inhibition of lipid peroxidation (inhibition of peroxyl radicals), xanthine oxidase, and lipoxygenase, and identification of antioxidant compounds.</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moisture content was obtained by heating fresh samples at 105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numId w:val="0"/>
        </w:numPr>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p</w:t>
      </w:r>
      <w:bookmarkStart w:id="1" w:name="_GoBack"/>
      <w:bookmarkEnd w:id="1"/>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roximate chemical content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Moisture (g/100 g fw), macronutrients (g/100 g dw) and total energy (kJ/100g dw).</w:t>
      </w:r>
    </w:p>
    <w:tbl>
      <w:tblPr>
        <w:tblStyle w:val="5"/>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1"/>
        </w:numPr>
        <w:suppressLineNumbers w:val="0"/>
        <w:tabs>
          <w:tab w:val="left" w:pos="567"/>
          <w:tab w:val="clear" w:pos="425"/>
        </w:tabs>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 285–291.</w:t>
      </w:r>
      <w:bookmarkEnd w:id="0"/>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Kalač, Pavel.</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Chemical composition and nutritional value of European species of wild growing mushrooms: A review.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2009</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113.1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9-16.</w:t>
      </w: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3BF5BB7"/>
    <w:rsid w:val="15E679B3"/>
    <w:rsid w:val="175F171C"/>
    <w:rsid w:val="176FCF81"/>
    <w:rsid w:val="18271CE0"/>
    <w:rsid w:val="19D1123A"/>
    <w:rsid w:val="1BFF4D47"/>
    <w:rsid w:val="1DFFFF01"/>
    <w:rsid w:val="1F3FCA6B"/>
    <w:rsid w:val="1FBFE2A8"/>
    <w:rsid w:val="24FEEFC5"/>
    <w:rsid w:val="28F3F517"/>
    <w:rsid w:val="297C670F"/>
    <w:rsid w:val="32F3C018"/>
    <w:rsid w:val="35FF0D53"/>
    <w:rsid w:val="38FF4B78"/>
    <w:rsid w:val="3A7FE6D2"/>
    <w:rsid w:val="3BCD2596"/>
    <w:rsid w:val="3BFCF0CA"/>
    <w:rsid w:val="3CFDD464"/>
    <w:rsid w:val="3E7A93CF"/>
    <w:rsid w:val="3FDDE48F"/>
    <w:rsid w:val="44AFE3B9"/>
    <w:rsid w:val="467FCD46"/>
    <w:rsid w:val="47D78965"/>
    <w:rsid w:val="4B97E6BA"/>
    <w:rsid w:val="57621A5F"/>
    <w:rsid w:val="5ADCFC8A"/>
    <w:rsid w:val="5BDB4C95"/>
    <w:rsid w:val="5BF7C826"/>
    <w:rsid w:val="5DFF9C04"/>
    <w:rsid w:val="5EBF1788"/>
    <w:rsid w:val="5F7F1C27"/>
    <w:rsid w:val="66AFCDEF"/>
    <w:rsid w:val="66BB1EC2"/>
    <w:rsid w:val="66F55DAC"/>
    <w:rsid w:val="67AECA71"/>
    <w:rsid w:val="692EB0F1"/>
    <w:rsid w:val="69DDD617"/>
    <w:rsid w:val="6B9FC7E4"/>
    <w:rsid w:val="6DD5F94F"/>
    <w:rsid w:val="6FBD774C"/>
    <w:rsid w:val="6FFF0079"/>
    <w:rsid w:val="72E79D66"/>
    <w:rsid w:val="73DEE3F1"/>
    <w:rsid w:val="753F16EA"/>
    <w:rsid w:val="776DA962"/>
    <w:rsid w:val="777AFA31"/>
    <w:rsid w:val="7A75839C"/>
    <w:rsid w:val="7AAEAF02"/>
    <w:rsid w:val="7AFF8C40"/>
    <w:rsid w:val="7BBCA596"/>
    <w:rsid w:val="7BF70517"/>
    <w:rsid w:val="7BFBB471"/>
    <w:rsid w:val="7BFE57F7"/>
    <w:rsid w:val="7BFF2357"/>
    <w:rsid w:val="7BFFFAE9"/>
    <w:rsid w:val="7C67FD39"/>
    <w:rsid w:val="7CB763ED"/>
    <w:rsid w:val="7CE797F7"/>
    <w:rsid w:val="7D2F7140"/>
    <w:rsid w:val="7DD7F4AC"/>
    <w:rsid w:val="7DDF28AC"/>
    <w:rsid w:val="7DDF92D0"/>
    <w:rsid w:val="7DFE4765"/>
    <w:rsid w:val="7DFEBF12"/>
    <w:rsid w:val="7DFF6867"/>
    <w:rsid w:val="7DFFFED9"/>
    <w:rsid w:val="7E76F71B"/>
    <w:rsid w:val="7E7DB4FA"/>
    <w:rsid w:val="7EDB57DD"/>
    <w:rsid w:val="7EEA7CBA"/>
    <w:rsid w:val="7EEF9EB7"/>
    <w:rsid w:val="7EFE6DB6"/>
    <w:rsid w:val="7F7BACAE"/>
    <w:rsid w:val="7F7EED9B"/>
    <w:rsid w:val="7FBF3E33"/>
    <w:rsid w:val="7FC76F82"/>
    <w:rsid w:val="7FCB17D6"/>
    <w:rsid w:val="7FCFE359"/>
    <w:rsid w:val="7FF345E4"/>
    <w:rsid w:val="7FF3C10A"/>
    <w:rsid w:val="7FF62097"/>
    <w:rsid w:val="7FF6CF81"/>
    <w:rsid w:val="7FFD88AF"/>
    <w:rsid w:val="7FFED4F2"/>
    <w:rsid w:val="8B7FAC30"/>
    <w:rsid w:val="8F7B255C"/>
    <w:rsid w:val="8FFF34B8"/>
    <w:rsid w:val="975F4980"/>
    <w:rsid w:val="97FF1DF9"/>
    <w:rsid w:val="9BBF938A"/>
    <w:rsid w:val="9BDB1DC9"/>
    <w:rsid w:val="9BF90647"/>
    <w:rsid w:val="9CFFD354"/>
    <w:rsid w:val="ABF489FA"/>
    <w:rsid w:val="AFBB34BD"/>
    <w:rsid w:val="B3BBCC24"/>
    <w:rsid w:val="B7FF34C8"/>
    <w:rsid w:val="B7FF3E44"/>
    <w:rsid w:val="B8D776FE"/>
    <w:rsid w:val="B8EF9222"/>
    <w:rsid w:val="BB3B3536"/>
    <w:rsid w:val="BBD7C084"/>
    <w:rsid w:val="BF74D458"/>
    <w:rsid w:val="BFDF27F9"/>
    <w:rsid w:val="BFEDE08A"/>
    <w:rsid w:val="BFF2C889"/>
    <w:rsid w:val="BFF7EBF7"/>
    <w:rsid w:val="CAFD36CE"/>
    <w:rsid w:val="CDC9F35D"/>
    <w:rsid w:val="CDFD143F"/>
    <w:rsid w:val="CEBD804D"/>
    <w:rsid w:val="D2FF9C6F"/>
    <w:rsid w:val="D3FFA9C3"/>
    <w:rsid w:val="D77F92B9"/>
    <w:rsid w:val="D7DF383D"/>
    <w:rsid w:val="D7E685A7"/>
    <w:rsid w:val="DBFF0F81"/>
    <w:rsid w:val="DCDADA03"/>
    <w:rsid w:val="DDB94365"/>
    <w:rsid w:val="DDFFAA26"/>
    <w:rsid w:val="DED4CC98"/>
    <w:rsid w:val="DFEE0DE4"/>
    <w:rsid w:val="DFF7A771"/>
    <w:rsid w:val="DFF7D043"/>
    <w:rsid w:val="E5EF5D31"/>
    <w:rsid w:val="E5EF9747"/>
    <w:rsid w:val="E7E220FE"/>
    <w:rsid w:val="EBEDF4DE"/>
    <w:rsid w:val="ED2F0B49"/>
    <w:rsid w:val="ED79C5F9"/>
    <w:rsid w:val="EDEF8464"/>
    <w:rsid w:val="EDFB774B"/>
    <w:rsid w:val="EDFD365C"/>
    <w:rsid w:val="EF995F0C"/>
    <w:rsid w:val="EFA7C233"/>
    <w:rsid w:val="F4BA6AE0"/>
    <w:rsid w:val="F53F6D78"/>
    <w:rsid w:val="F57EF010"/>
    <w:rsid w:val="F59C421F"/>
    <w:rsid w:val="F6D727A6"/>
    <w:rsid w:val="F776A96A"/>
    <w:rsid w:val="F7BF1FFC"/>
    <w:rsid w:val="F7E55603"/>
    <w:rsid w:val="F7EFCE23"/>
    <w:rsid w:val="F7F9ADBD"/>
    <w:rsid w:val="FBFFC4A3"/>
    <w:rsid w:val="FD52E29B"/>
    <w:rsid w:val="FD7C93F2"/>
    <w:rsid w:val="FD7F7A52"/>
    <w:rsid w:val="FDFB4BAD"/>
    <w:rsid w:val="FE290EEB"/>
    <w:rsid w:val="FEEC7871"/>
    <w:rsid w:val="FEF06012"/>
    <w:rsid w:val="FEFB2D8C"/>
    <w:rsid w:val="FF6F9939"/>
    <w:rsid w:val="FF7F0889"/>
    <w:rsid w:val="FF8D2772"/>
    <w:rsid w:val="FFE911A1"/>
    <w:rsid w:val="FFFAB7E3"/>
    <w:rsid w:val="FFFBD055"/>
    <w:rsid w:val="FFFD5ED9"/>
    <w:rsid w:val="FFFD7C05"/>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31</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2018-08-19T16:58:00Z</dcterms:created>
  <dc:creator>哈哈Forge</dc:creator>
  <cp:lastModifiedBy>duansq</cp:lastModifiedBy>
  <dcterms:modified xsi:type="dcterms:W3CDTF">2018-08-20T17:28:57Z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