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rPr>
      </w:pPr>
      <w:r>
        <w:rPr>
          <w:rFonts w:hint="default" w:ascii="Times New Roman" w:hAnsi="Times New Roman" w:cs="Times New Roman"/>
          <w:b/>
          <w:bCs/>
          <w:sz w:val="24"/>
          <w:szCs w:val="24"/>
        </w:rPr>
        <w:t>Title:</w:t>
      </w:r>
    </w:p>
    <w:p>
      <w:pPr>
        <w:keepNext w:val="0"/>
        <w:keepLines w:val="0"/>
        <w:widowControl/>
        <w:suppressLineNumbers w:val="0"/>
        <w:jc w:val="left"/>
        <w:rPr>
          <w:rStyle w:val="3"/>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val="en-US" w:eastAsia="zh-CN" w:bidi="ar"/>
        </w:rPr>
        <w:t xml:space="preserve">Nutrient composition and </w:t>
      </w: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 xml:space="preserve">antidiabetic </w:t>
      </w: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val="en-US" w:eastAsia="zh-CN" w:bidi="ar"/>
        </w:rPr>
        <w:t xml:space="preserve">activity of </w:t>
      </w:r>
      <w:r>
        <w:rPr>
          <w:rStyle w:val="3"/>
          <w:rFonts w:hint="default" w:ascii="Times New Roman" w:hAnsi="Times New Roman" w:eastAsia="Yahei Consolas Hybrid" w:cs="Times New Roman"/>
          <w:b/>
          <w:bCs/>
          <w:i/>
          <w:iCs/>
          <w:caps w:val="0"/>
          <w:color w:val="333333"/>
          <w:spacing w:val="0"/>
          <w:kern w:val="0"/>
          <w:sz w:val="24"/>
          <w:szCs w:val="24"/>
          <w:shd w:val="clear" w:fill="FFFFFF"/>
          <w:lang w:val="en-US" w:eastAsia="zh-CN" w:bidi="ar"/>
        </w:rPr>
        <w:t>Craterellus cornucopioides</w:t>
      </w:r>
      <w:r>
        <w:rPr>
          <w:rStyle w:val="3"/>
          <w:rFonts w:hint="default" w:ascii="Times New Roman" w:hAnsi="Times New Roman" w:eastAsia="Yahei Consolas Hybrid" w:cs="Times New Roman"/>
          <w:b/>
          <w:bCs/>
          <w:i/>
          <w:iCs/>
          <w:caps w:val="0"/>
          <w:color w:val="333333"/>
          <w:spacing w:val="0"/>
          <w:kern w:val="0"/>
          <w:sz w:val="24"/>
          <w:szCs w:val="24"/>
          <w:shd w:val="clear" w:fill="FFFFFF"/>
          <w:lang w:eastAsia="zh-CN" w:bidi="ar"/>
        </w:rPr>
        <w:t>.</w:t>
      </w:r>
    </w:p>
    <w:p>
      <w:pPr>
        <w:keepNext w:val="0"/>
        <w:keepLines w:val="0"/>
        <w:widowControl/>
        <w:suppressLineNumbers w:val="0"/>
        <w:jc w:val="left"/>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Abstract:</w:t>
      </w:r>
    </w:p>
    <w:p>
      <w:pPr>
        <w:keepNext w:val="0"/>
        <w:keepLines w:val="0"/>
        <w:widowControl/>
        <w:suppressLineNumbers w:val="0"/>
        <w:jc w:val="left"/>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u w:val="none"/>
          <w:shd w:val="clear" w:fill="FFFFFF"/>
          <w:lang w:eastAsia="zh-CN" w:bidi="ar"/>
        </w:rPr>
        <w:t>Keywords: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Nutritional composition</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Polysaccharides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Biological activity</w:t>
      </w:r>
    </w:p>
    <w:p>
      <w:pPr>
        <w:keepNext w:val="0"/>
        <w:keepLines w:val="0"/>
        <w:widowControl/>
        <w:numPr>
          <w:ilvl w:val="0"/>
          <w:numId w:val="1"/>
        </w:numPr>
        <w:suppressLineNumbers w:val="0"/>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Introduction</w:t>
      </w:r>
    </w:p>
    <w:p>
      <w:pPr>
        <w:keepNext w:val="0"/>
        <w:keepLines w:val="0"/>
        <w:widowControl/>
        <w:numPr>
          <w:ilvl w:val="0"/>
          <w:numId w:val="0"/>
        </w:numPr>
        <w:suppressLineNumbers w:val="0"/>
        <w:tabs>
          <w:tab w:val="left" w:pos="425"/>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Diabetes is a chronic metabolic disease that is considered to be one of the major diseases that threaten human health. It increases postprandial blood glucose levels to abnormal levels by disrupting the metabolism of sugars, lipids and proteins. And such high blood sugar levels can cause a number of complications, especially cardiovascular disease. Although a series of hypoglycemic drugs were synthesized and entered the clinical market. However, the high price of synthetic drugs and the side effects caused by them affect the promotion and efficacy of drugs.</w:t>
      </w:r>
    </w:p>
    <w:p>
      <w:pPr>
        <w:keepNext w:val="0"/>
        <w:keepLines w:val="0"/>
        <w:widowControl/>
        <w:numPr>
          <w:ilvl w:val="0"/>
          <w:numId w:val="0"/>
        </w:numPr>
        <w:suppressLineNumbers w:val="0"/>
        <w:tabs>
          <w:tab w:val="left" w:pos="425"/>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Craterellus 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commonly known as Black Trumpet, is an edible fungus with high nutritional value and also has numerous biological activities such as antioxidants,hypoglycemic and so on.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C.cornucopioides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an edible fungus with a wide distribution in most parts of China, especially in the Southwestern. </w:t>
      </w:r>
    </w:p>
    <w:p>
      <w:pPr>
        <w:keepNext w:val="0"/>
        <w:keepLines w:val="0"/>
        <w:widowControl/>
        <w:numPr>
          <w:ilvl w:val="0"/>
          <w:numId w:val="0"/>
        </w:numPr>
        <w:suppressLineNumbers w:val="0"/>
        <w:tabs>
          <w:tab w:val="left" w:pos="425"/>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assessment and analysis of nutrients in natural products is a prerequisite for further industrial applications. Although there have been some reports on the nutrient composition of Grimonia, such as protein content, amino acid composition and so on. However, there is still a lack of systematic and complete coverage of its nutrients. Therefore, this report will focus on the systematic analysis, evaluation, and combined with the water extract and alcohol extracts of the water extract and alcohol extract in vitro.</w:t>
      </w:r>
    </w:p>
    <w:p>
      <w:pPr>
        <w:keepNext w:val="0"/>
        <w:keepLines w:val="0"/>
        <w:widowControl/>
        <w:numPr>
          <w:ilvl w:val="0"/>
          <w:numId w:val="1"/>
        </w:numPr>
        <w:suppressLineNumbers w:val="0"/>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Materials and methods</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Materials and chemicals</w:t>
      </w:r>
    </w:p>
    <w:p>
      <w:pPr>
        <w:keepNext w:val="0"/>
        <w:keepLines w:val="0"/>
        <w:widowControl/>
        <w:suppressLineNumbers w:val="0"/>
        <w:ind w:firstLine="420"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The fruiting body of </w:t>
      </w:r>
      <w:r>
        <w:rPr>
          <w:rStyle w:val="3"/>
          <w:rFonts w:hint="default" w:ascii="Times New Roman" w:hAnsi="Times New Roman" w:eastAsia="Yahei Consolas Hybrid" w:cs="Times New Roman"/>
          <w:b w:val="0"/>
          <w:i/>
          <w:iCs w:val="0"/>
          <w:caps w:val="0"/>
          <w:color w:val="333333"/>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 was purchased from Sichuan Provinces of Southwest China.</w:t>
      </w:r>
      <w:r>
        <w:rPr>
          <w:rFonts w:hint="default" w:ascii="Times New Roman" w:hAnsi="Times New Roman" w:eastAsia="Yahei Consolas Hybrid" w:cs="Times New Roman"/>
          <w:b w:val="0"/>
          <w:i w:val="0"/>
          <w:caps w:val="0"/>
          <w:color w:val="333333"/>
          <w:spacing w:val="0"/>
          <w:kern w:val="0"/>
          <w:sz w:val="24"/>
          <w:szCs w:val="24"/>
          <w:shd w:val="clear" w:fill="FFFFFF"/>
          <w:lang w:eastAsia="zh-CN" w:bidi="ar"/>
        </w:rPr>
        <w:t xml:space="preserve"> The obtained materials were centrifuged, lyophilized, and a part of the material was passed through a 60 mesh sieve to obtain a dry powder of the gray </w:t>
      </w:r>
      <w:r>
        <w:rPr>
          <w:rStyle w:val="3"/>
          <w:rFonts w:hint="default" w:ascii="Times New Roman" w:hAnsi="Times New Roman" w:eastAsia="Yahei Consolas Hybrid" w:cs="Times New Roman"/>
          <w:b w:val="0"/>
          <w:i/>
          <w:iCs w:val="0"/>
          <w:caps w:val="0"/>
          <w:color w:val="333333"/>
          <w:spacing w:val="0"/>
          <w:kern w:val="0"/>
          <w:sz w:val="24"/>
          <w:szCs w:val="24"/>
          <w:shd w:val="clear" w:fill="FFFFFF"/>
          <w:lang w:val="en-US" w:eastAsia="zh-CN" w:bidi="ar"/>
        </w:rPr>
        <w:t>Craterellus cornucopioides</w:t>
      </w:r>
      <w:r>
        <w:rPr>
          <w:rFonts w:hint="default" w:ascii="Times New Roman" w:hAnsi="Times New Roman" w:eastAsia="Yahei Consolas Hybrid" w:cs="Times New Roman"/>
          <w:b w:val="0"/>
          <w:i w:val="0"/>
          <w:caps w:val="0"/>
          <w:color w:val="333333"/>
          <w:spacing w:val="0"/>
          <w:kern w:val="0"/>
          <w:sz w:val="24"/>
          <w:szCs w:val="24"/>
          <w:shd w:val="clear" w:fill="FFFFFF"/>
          <w:lang w:eastAsia="zh-CN" w:bidi="ar"/>
        </w:rPr>
        <w:t xml:space="preserve">. Sreptozocin (STZ) and glibenclamide were purchased form Sigma-Aldrich Co.LLC. (USA). </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xml:space="preserve">All other chemicals used in this study were analytical reagent grade and purchased from Sinopharm Chemical Reagent Co. Ltd. (Shanghai, China). </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chemical composition</w:t>
      </w:r>
    </w:p>
    <w:p>
      <w:pPr>
        <w:keepNext w:val="0"/>
        <w:keepLines w:val="0"/>
        <w:widowControl/>
        <w:numPr>
          <w:ilvl w:val="2"/>
          <w:numId w:val="1"/>
        </w:numPr>
        <w:suppressLineNumbers w:val="0"/>
        <w:tabs>
          <w:tab w:val="left" w:pos="567"/>
          <w:tab w:val="clear" w:pos="709"/>
        </w:tabs>
        <w:ind w:left="709" w:leftChars="0" w:hanging="709"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Proximate analysis</w:t>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moisture content was obtained by heating fresh samples at 105 ° C until the weight was constant. The ash content was obtained by weighing the residue after 24 hours of incineration at 550 ° C. The crude protein content obtained by using Kjeldahl method. The crude fat content was obtained by Soxhlet extraction using petroleum ether as a solvent. The total carbohydrate content is obtained by calculating the total mass of the sample minus the mass of crude protein, crude fat and ash. Finally, the total energy of the sample is calculated by the following formula:</w:t>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Total energy (kJ) = 17 × (g crude protein + g total carbohydrate) + 37 × (g crude fat). </w:t>
      </w:r>
    </w:p>
    <w:p>
      <w:pPr>
        <w:keepNext w:val="0"/>
        <w:keepLines w:val="0"/>
        <w:widowControl/>
        <w:numPr>
          <w:ilvl w:val="2"/>
          <w:numId w:val="1"/>
        </w:numPr>
        <w:suppressLineNumbers w:val="0"/>
        <w:tabs>
          <w:tab w:val="left" w:pos="567"/>
          <w:tab w:val="clear" w:pos="709"/>
        </w:tabs>
        <w:ind w:left="709" w:leftChars="0" w:hanging="709"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Amino acid analysis</w:t>
      </w:r>
    </w:p>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Amino acid was determined by reversed-phase high performance liquid chromatography (HPLC, Agilent 1100) equipped with a Hypersil ODS C18 column (4 mm × 125 mm, Agilent) with a gradient elution at a flow rate of 1 mL/min. The column temperature was 40 °C. O-Phthalaldehyde (OPA, Sigma) was used as a derivatization reagent, and the detection wavelength was set to 338 nm (262 nm for detection of proline). Standard amino acids were all configured with 0.1 M HCl (except for tryptophan in ultrapure water) to a stock of 1 mM concentration. The content of each amino acid in the sample is calculated from a standard curve drawn from a standard. All samples were analyzed three times and averaged.</w:t>
      </w:r>
    </w:p>
    <w:p>
      <w:pPr>
        <w:keepNext w:val="0"/>
        <w:keepLines w:val="0"/>
        <w:widowControl/>
        <w:numPr>
          <w:ilvl w:val="2"/>
          <w:numId w:val="1"/>
        </w:numPr>
        <w:suppressLineNumbers w:val="0"/>
        <w:tabs>
          <w:tab w:val="left" w:pos="567"/>
          <w:tab w:val="clear" w:pos="709"/>
        </w:tabs>
        <w:ind w:left="709" w:leftChars="0" w:hanging="709"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Mineral analysis</w:t>
      </w:r>
    </w:p>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1 g of the sample powder was placed on a porcelain crucible and placed in a muffle furnace (500 ° C, 24 h) to completely ash the sample. After cooling, 2 mL of concentrated hydrochloric acid and 25 mL of distilled water were added, and the mixture was filtered through a filter paper, and the filtrate was collected and stored for use. The concentrations of Fe, Zn, K, Na, Ca, Mn, Cu and Mg were determined by flame atomic absorption spectroscopy (FAAS) using SpectrAA 220 (Varian, USA); and the contents of Pb, As and Cd were measured by graphite furnace atomic absorption spectroscopy (GFAAS) using SpectrAA 220Z (Varian, USA); the concentration of P was measured by molybdenum blue spectrophotometry.</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Preparation of water-soluble polysaccharides</w:t>
      </w:r>
    </w:p>
    <w:p>
      <w:pPr>
        <w:keepNext w:val="0"/>
        <w:keepLines w:val="0"/>
        <w:widowControl/>
        <w:numPr>
          <w:ilvl w:val="0"/>
          <w:numId w:val="0"/>
        </w:numPr>
        <w:suppressLineNumbers w:val="0"/>
        <w:ind w:leftChars="0" w:firstLine="420"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water soluble polysaccharide was prepared by slightly modifying the previous method. The powder (8 g) was immersed in 95% (v/v) ethanol for 12 hours to remove residual low molecular weight components. The materials were then extracted with hot water (1:20, w/v) at 85 ° C for 3 hours. The supernatant was evaporated under reduced pressure at 45 ° C using a rotary evaporator, and the protein was removed using a Sevag reagent (chloroform: n-butanol, 4:1 (v/v)), and the resulting liquid was dialyzed against tap water for 24 hours, and dialyzed (Mw cutoff 3000 Da) against distilled water for 12 hours. Finally, the liquid was concentrated by precipitation with 4 volumes of 95% (v/v) ethanol at 4 ℃ for 24 hours. The precipitate obtained by centrifugation (2654 × g, 10 min, 4 ℃) was finally lyophilized to obtain a crude polysaccharide.</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p>
    <w:p>
      <w:pPr>
        <w:keepNext w:val="0"/>
        <w:keepLines w:val="0"/>
        <w:widowControl/>
        <w:numPr>
          <w:ilvl w:val="0"/>
          <w:numId w:val="0"/>
        </w:numPr>
        <w:suppressLineNumbers w:val="0"/>
        <w:ind w:leftChars="0"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Molecular weight determination was measured by high-performance gel permeation chromatography (HPGPC) with an Agilent 1100 HPLC system equipped with Waters 2410 refractive index detector and a TSK-GEL G5000 PW x 1 column (7.8 × 300 mm, Tosoh Corp, Japan)</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begin"/>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instrText xml:space="preserve"> REF _Ref396410124 \r \h </w:instrTex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separate"/>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1</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fldChar w:fldCharType="end"/>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Ultrapure water as the mobile phase, it flowed at a rate of 0.8 mL/min and a temperature of 30 °C. A 20 μL material of polysaccharide solution (2.0 mg/mL) was injected in each run.  A standard curve was created using a dextran standard in 3.0 to 670 kDa (Sigma).</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Monosaccharide composition</w:t>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pPr>
      <w:r>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tab/>
      </w:r>
      <w:r>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t>To be determined...</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and ultraviolet analysis</w:t>
      </w:r>
    </w:p>
    <w:p>
      <w:pPr>
        <w:keepNext w:val="0"/>
        <w:keepLines w:val="0"/>
        <w:widowControl/>
        <w:suppressLineNumbers w:val="0"/>
        <w:ind w:firstLine="420"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The FT-IR spectrum of the polysaccharide was obtained using Fourier transform infrared spectroscopy (Nexus 5DXC FT-IR, Nicolet). The polysaccharide (about 1 mg) was ground with 100 mg of KBr powder, compressed into pellets, and then scanned for FT-IR measurements of the frequency range of 400-4000 cm</w:t>
      </w:r>
      <w:r>
        <w:rPr>
          <w:rFonts w:hint="default" w:ascii="Times New Roman" w:hAnsi="Times New Roman" w:eastAsia="Yahei Consolas Hybrid" w:cs="Times New Roman"/>
          <w:b w:val="0"/>
          <w:i w:val="0"/>
          <w:caps w:val="0"/>
          <w:color w:val="333333"/>
          <w:spacing w:val="0"/>
          <w:kern w:val="0"/>
          <w:sz w:val="24"/>
          <w:szCs w:val="24"/>
          <w:shd w:val="clear" w:fill="FFFFFF"/>
          <w:vertAlign w:val="baseline"/>
          <w:lang w:val="en-US" w:eastAsia="zh-CN" w:bidi="ar"/>
        </w:rPr>
        <w:t>-1</w:t>
      </w:r>
      <w:r>
        <w:rPr>
          <w:rFonts w:hint="default" w:ascii="Times New Roman" w:hAnsi="Times New Roman" w:eastAsia="Yahei Consolas Hybrid" w:cs="Times New Roman"/>
          <w:b w:val="0"/>
          <w:i w:val="0"/>
          <w:caps w:val="0"/>
          <w:color w:val="333333"/>
          <w:spacing w:val="0"/>
          <w:kern w:val="0"/>
          <w:sz w:val="24"/>
          <w:szCs w:val="24"/>
          <w:shd w:val="clear" w:fill="FFFFFF"/>
          <w:lang w:val="en-US" w:eastAsia="zh-CN" w:bidi="ar"/>
        </w:rPr>
        <w:t>. A UV-visible (UV) absorption spectrum was obtained using a UV-visible spectrophotometer (UV-2450, Shimadzu, Japan).</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hypoglycemic activity in vivo</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Statistical analysis</w:t>
      </w:r>
    </w:p>
    <w:p>
      <w:pPr>
        <w:keepNext w:val="0"/>
        <w:keepLines w:val="0"/>
        <w:widowControl/>
        <w:numPr>
          <w:ilvl w:val="0"/>
          <w:numId w:val="0"/>
        </w:numPr>
        <w:suppressLineNumbers w:val="0"/>
        <w:ind w:leftChars="0"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All data were expressed as mean ± SD, one-way ANOVA was performed by R version 3.5.0 software, and multiple comparisons of Tukey were carried out. Differences were considered to be statistically significant for P &lt; 0.05. </w:t>
      </w:r>
    </w:p>
    <w:p>
      <w:pPr>
        <w:keepNext w:val="0"/>
        <w:keepLines w:val="0"/>
        <w:widowControl/>
        <w:numPr>
          <w:ilvl w:val="0"/>
          <w:numId w:val="1"/>
        </w:numPr>
        <w:suppressLineNumbers w:val="0"/>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Results and discussion</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Determination of chemical composition</w:t>
      </w:r>
    </w:p>
    <w:p>
      <w:pPr>
        <w:keepNext w:val="0"/>
        <w:keepLines w:val="0"/>
        <w:widowControl/>
        <w:numPr>
          <w:ilvl w:val="2"/>
          <w:numId w:val="1"/>
        </w:numPr>
        <w:suppressLineNumbers w:val="0"/>
        <w:tabs>
          <w:tab w:val="left" w:pos="567"/>
          <w:tab w:val="clear" w:pos="709"/>
        </w:tabs>
        <w:ind w:left="709" w:leftChars="0" w:hanging="709"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 xml:space="preserve">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Proximate composition</w:t>
      </w:r>
    </w:p>
    <w:p>
      <w:pPr>
        <w:keepNext w:val="0"/>
        <w:keepLines w:val="0"/>
        <w:widowControl/>
        <w:numPr>
          <w:ilvl w:val="0"/>
          <w:numId w:val="0"/>
        </w:numPr>
        <w:suppressLineNumbers w:val="0"/>
        <w:ind w:firstLine="420" w:firstLine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proximate chemical content of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presented in Table 1. The results of this study are very similar to the previous reports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begin"/>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instrText xml:space="preserve"> REF _Ref6646529 \r \h </w:instrTex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separate"/>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t>2</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val="en-US" w:eastAsia="zh-CN" w:bidi="ar"/>
        </w:rPr>
        <w:fldChar w:fldCharType="end"/>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It is worth noting that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has a higher protein and total sugar content, while the ash and crude fat content is lower. Therefore, the total energy of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is low, so the edible fungus is important for the prevention of cardiovascular disease.</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br w:type="page"/>
      </w: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Table 1</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Moisture (g/100 g fw), macronutrients (g/100 g dw) and total energy (kJ/100g dw).</w:t>
      </w:r>
    </w:p>
    <w:tbl>
      <w:tblPr>
        <w:tblStyle w:val="5"/>
        <w:tblW w:w="9961" w:type="dxa"/>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531"/>
        <w:gridCol w:w="1403"/>
        <w:gridCol w:w="1654"/>
        <w:gridCol w:w="1403"/>
        <w:gridCol w:w="2183"/>
        <w:gridCol w:w="1787"/>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Moisture</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Ash</w:t>
            </w:r>
          </w:p>
        </w:tc>
        <w:tc>
          <w:tcPr>
            <w:tcW w:w="1654"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protein</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Crude fat</w:t>
            </w:r>
          </w:p>
        </w:tc>
        <w:tc>
          <w:tcPr>
            <w:tcW w:w="218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carbohydrate</w:t>
            </w:r>
          </w:p>
        </w:tc>
        <w:tc>
          <w:tcPr>
            <w:tcW w:w="1787"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Total energy</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664" w:hRule="atLeast"/>
        </w:trPr>
        <w:tc>
          <w:tcPr>
            <w:tcW w:w="1531"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86.56 ± 0.58</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8.44 ± 0.32</w:t>
            </w:r>
          </w:p>
        </w:tc>
        <w:tc>
          <w:tcPr>
            <w:tcW w:w="1654"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21.57 ± 0.62</w:t>
            </w:r>
          </w:p>
        </w:tc>
        <w:tc>
          <w:tcPr>
            <w:tcW w:w="140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2.06 ± 0.07</w:t>
            </w:r>
          </w:p>
        </w:tc>
        <w:tc>
          <w:tcPr>
            <w:tcW w:w="2183"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67.93 ± 0.63</w:t>
            </w:r>
          </w:p>
        </w:tc>
        <w:tc>
          <w:tcPr>
            <w:tcW w:w="1787" w:type="dxa"/>
            <w:tcBorders>
              <w:top w:val="single" w:color="000000" w:sz="12" w:space="0"/>
              <w:bottom w:val="single" w:color="000000" w:sz="12" w:space="0"/>
              <w:tl2br w:val="nil"/>
              <w:tr2bl w:val="nil"/>
            </w:tcBorders>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1579.71 ± 6.35</w:t>
            </w:r>
          </w:p>
        </w:tc>
      </w:tr>
    </w:tbl>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Each value is expressed as mean ± SD (n = 3). And fw and dw represent fresh weight and dry weight respectively.</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br w:type="page"/>
      </w:r>
    </w:p>
    <w:p>
      <w:pPr>
        <w:keepNext w:val="0"/>
        <w:keepLines w:val="0"/>
        <w:widowControl/>
        <w:numPr>
          <w:ilvl w:val="2"/>
          <w:numId w:val="1"/>
        </w:numPr>
        <w:suppressLineNumbers w:val="0"/>
        <w:tabs>
          <w:tab w:val="left" w:pos="567"/>
          <w:tab w:val="clear" w:pos="709"/>
        </w:tabs>
        <w:ind w:left="709" w:leftChars="0" w:hanging="709"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 xml:space="preserve"> Amino acid composition </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The amino acid composition and content of edible fungi are shown in Table 2. According to previous reports, general edible fungi contain 7-17 known amino acids. This is basically consistent with the results of this study. The results of the study showed that the ratio of essential amino acids to non-essential amino acids of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was 0.82. According to the recommendations made by the FAO, the standard for the intake of protein in foods with a ratio of essential amino acids to non-essential amino acids of 0.6 or higher is required to meet the standard. Studies have shown that the protein composition of edible fungi is more nutritional than most plant proteins.</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Table 2 Free amino acid composition of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Craterellus cornucopioides</w:t>
      </w:r>
    </w:p>
    <w:tbl>
      <w:tblPr>
        <w:tblStyle w:val="5"/>
        <w:tblW w:w="14174"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23"/>
        <w:gridCol w:w="2426"/>
        <w:gridCol w:w="2236"/>
        <w:gridCol w:w="2426"/>
        <w:gridCol w:w="2237"/>
        <w:gridCol w:w="242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A</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c>
          <w:tcPr>
            <w:tcW w:w="223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c>
          <w:tcPr>
            <w:tcW w:w="2237"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Amino acid</w:t>
            </w:r>
          </w:p>
        </w:tc>
        <w:tc>
          <w:tcPr>
            <w:tcW w:w="2426" w:type="dxa"/>
            <w:tcBorders>
              <w:top w:val="single" w:color="auto" w:sz="12" w:space="0"/>
              <w:bottom w:val="single" w:color="auto" w:sz="12" w:space="0"/>
            </w:tcBorders>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Content</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Val</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0.41±0.16</w:t>
            </w:r>
          </w:p>
        </w:tc>
        <w:tc>
          <w:tcPr>
            <w:tcW w:w="2236"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Phe</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2237" w:type="dxa"/>
            <w:tcBorders>
              <w:top w:val="single" w:color="auto" w:sz="12" w:space="0"/>
            </w:tcBorders>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Ser</w:t>
            </w:r>
          </w:p>
        </w:tc>
        <w:tc>
          <w:tcPr>
            <w:tcW w:w="2426" w:type="dxa"/>
            <w:tcBorders>
              <w:top w:val="single" w:color="auto" w:sz="12" w:space="0"/>
            </w:tcBorders>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16.79±0.98</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Thr</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6.37±0.58</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Lys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8.09±0.61</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Cys</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0.34±0.07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Met</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12.74±1.03</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Gly</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5.71±0.22</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Arg</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Leu</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17.52±0.48</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His</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22.07±2.89</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Ala</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0.86±0.07</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Ile</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0.08±0.02</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Tyr</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0.82±0.05</w:t>
            </w:r>
          </w:p>
        </w:tc>
        <w:tc>
          <w:tcPr>
            <w:tcW w:w="2237"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Glu</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7.86±0.56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64" w:hRule="atLeast"/>
        </w:trPr>
        <w:tc>
          <w:tcPr>
            <w:tcW w:w="2423"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Trp</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B</w:t>
            </w:r>
          </w:p>
        </w:tc>
        <w:tc>
          <w:tcPr>
            <w:tcW w:w="242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2236" w:type="dxa"/>
            <w:vAlign w:val="center"/>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Asp</w:t>
            </w: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0.54±0.09</w:t>
            </w:r>
          </w:p>
        </w:tc>
        <w:tc>
          <w:tcPr>
            <w:tcW w:w="2237"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c>
          <w:tcPr>
            <w:tcW w:w="2426" w:type="dxa"/>
            <w:vAlign w:val="center"/>
          </w:tcPr>
          <w:p>
            <w:pPr>
              <w:keepNext w:val="0"/>
              <w:keepLines w:val="0"/>
              <w:widowControl/>
              <w:numPr>
                <w:ilvl w:val="0"/>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r>
    </w:tbl>
    <w:p>
      <w:pPr>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superscript"/>
        </w:rPr>
        <w:t xml:space="preserve">A </w:t>
      </w:r>
      <w:r>
        <w:rPr>
          <w:rFonts w:hint="default" w:ascii="Times New Roman" w:hAnsi="Times New Roman" w:cs="Times New Roman"/>
          <w:b w:val="0"/>
          <w:bCs w:val="0"/>
          <w:sz w:val="24"/>
          <w:szCs w:val="24"/>
          <w:vertAlign w:val="baseline"/>
        </w:rPr>
        <w:t xml:space="preserve">Valine (Val), Threonine (Thr), Methionine (Met), Leucine (Leu), Isoleucine (Ile), Tryptophan (Try), Phenylalanine (Phe), Lysine (Lys), Glycine (Gly), Histidine (His), Tyrosine (Tyr), Asparagine (Asp), Serine (Ser), Cysteine (Cys), Arginine (Arg), Alanine (Ala), Glutamate (Glu) </w:t>
      </w:r>
    </w:p>
    <w:tbl>
      <w:tblPr>
        <w:tblStyle w:val="5"/>
        <w:tblpPr w:leftFromText="180" w:rightFromText="180" w:vertAnchor="text" w:tblpX="15506" w:tblpY="-925"/>
        <w:tblOverlap w:val="never"/>
        <w:tblW w:w="747"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747"/>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30" w:hRule="atLeast"/>
        </w:trPr>
        <w:tc>
          <w:tcPr>
            <w:tcW w:w="747" w:type="dxa"/>
          </w:tcPr>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vertAlign w:val="baseline"/>
                <w:lang w:eastAsia="zh-CN" w:bidi="ar"/>
              </w:rPr>
            </w:pPr>
          </w:p>
        </w:tc>
      </w:tr>
    </w:tbl>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B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Essential amino acid;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C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Each value is expressed as mean ± SD;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D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ND indicates that it has not been detected.</w:t>
      </w:r>
    </w:p>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sectPr>
          <w:pgSz w:w="16838" w:h="11906" w:orient="landscape"/>
          <w:pgMar w:top="1080" w:right="1440" w:bottom="1080" w:left="144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pPr>
    </w:p>
    <w:p>
      <w:pPr>
        <w:keepNext w:val="0"/>
        <w:keepLines w:val="0"/>
        <w:widowControl/>
        <w:numPr>
          <w:ilvl w:val="2"/>
          <w:numId w:val="1"/>
        </w:numPr>
        <w:suppressLineNumbers w:val="0"/>
        <w:tabs>
          <w:tab w:val="left" w:pos="567"/>
          <w:tab w:val="clear" w:pos="709"/>
        </w:tabs>
        <w:ind w:left="709" w:leftChars="0" w:hanging="709" w:firstLineChars="0"/>
        <w:jc w:val="left"/>
        <w:rPr>
          <w:rStyle w:val="3"/>
          <w:rFonts w:hint="default" w:ascii="Times New Roman" w:hAnsi="Times New Roman" w:eastAsia="Yahei Consolas Hybrid" w:cs="Times New Roman"/>
          <w:b/>
          <w:bCs/>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Mineral content</w:t>
      </w:r>
    </w:p>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b/>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The mineral content of the gray horn fungus is shown in Table 3. The content of the mineral elements to be tested in the sample from large to small is: K&gt;P&gt;Ca&gt;Mg&gt;Na&gt;Fe&gt;Zn&gt;Cu&gt;Mn&gt;Gd&gt;Pb&gt;As (μg/g dw). Edible fungi are considered to be one of the ideal sources of supplemental minerals in the human body. All minerals measured by the Institute are in compliance with NRC/NAS recommended dietary intake standards. It can be seen from Table 3 that K is the highest content mineral element. The ratio of Na element to K element is one of the important indicators for measuring physical health. According to previous reports, the Na/K ratio of edible fungi is between 0.01 and 0.06. Lower Na/K ratios are more in line with nutritional requirements, as excessive intake of sodium chloride or high-salt foods may increase the risk of cardiovascular disease. Gd, Pb, As are toxic heavy metals, in which the content of Gd and As are lower than the highest level of heavy metals in the body proposed by the European Economic Community Committee (Gd 2.0μg/g, As 2.0 μg/g), and the Pb element is not even Was detected.</w:t>
      </w:r>
      <w:bookmarkStart w:id="2" w:name="_GoBack"/>
      <w:bookmarkEnd w:id="2"/>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br w:type="page"/>
      </w:r>
    </w:p>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Table 3</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Mineral composition of the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val="en-US" w:eastAsia="zh-CN" w:bidi="ar"/>
        </w:rPr>
        <w:t>C</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val="en-US" w:eastAsia="zh-CN" w:bidi="ar"/>
        </w:rPr>
        <w:t>cornucopioides</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 (μg/g of dw)</w:t>
      </w:r>
    </w:p>
    <w:tbl>
      <w:tblPr>
        <w:tblStyle w:val="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660"/>
        <w:gridCol w:w="1660"/>
        <w:gridCol w:w="1660"/>
        <w:gridCol w:w="1660"/>
        <w:gridCol w:w="1661"/>
        <w:gridCol w:w="1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tcBorders>
              <w:top w:val="single" w:color="auto" w:sz="12" w:space="0"/>
              <w:left w:val="nil"/>
              <w:bottom w:val="single" w:color="auto" w:sz="12" w:space="0"/>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Elements</w:t>
            </w:r>
          </w:p>
        </w:tc>
        <w:tc>
          <w:tcPr>
            <w:tcW w:w="1660" w:type="dxa"/>
            <w:tcBorders>
              <w:top w:val="single" w:color="auto" w:sz="12" w:space="0"/>
              <w:left w:val="nil"/>
              <w:bottom w:val="single" w:color="auto" w:sz="12" w:space="0"/>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c>
          <w:tcPr>
            <w:tcW w:w="1660" w:type="dxa"/>
            <w:tcBorders>
              <w:top w:val="single" w:color="auto" w:sz="12" w:space="0"/>
              <w:left w:val="nil"/>
              <w:bottom w:val="single" w:color="auto" w:sz="12" w:space="0"/>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Element</w:t>
            </w:r>
          </w:p>
        </w:tc>
        <w:tc>
          <w:tcPr>
            <w:tcW w:w="1660" w:type="dxa"/>
            <w:tcBorders>
              <w:top w:val="single" w:color="auto" w:sz="12" w:space="0"/>
              <w:left w:val="nil"/>
              <w:bottom w:val="single" w:color="auto" w:sz="12" w:space="0"/>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c>
          <w:tcPr>
            <w:tcW w:w="1661" w:type="dxa"/>
            <w:tcBorders>
              <w:top w:val="single" w:color="auto" w:sz="12" w:space="0"/>
              <w:left w:val="nil"/>
              <w:bottom w:val="single" w:color="auto" w:sz="12" w:space="0"/>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E</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lement</w:t>
            </w:r>
          </w:p>
        </w:tc>
        <w:tc>
          <w:tcPr>
            <w:tcW w:w="1661" w:type="dxa"/>
            <w:tcBorders>
              <w:top w:val="single" w:color="auto" w:sz="12" w:space="0"/>
              <w:left w:val="nil"/>
              <w:bottom w:val="single" w:color="auto" w:sz="12" w:space="0"/>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olor w:val="333333"/>
                <w:spacing w:val="0"/>
                <w:kern w:val="0"/>
                <w:sz w:val="24"/>
                <w:szCs w:val="24"/>
                <w:shd w:val="clear" w:fill="FFFFFF"/>
                <w:vertAlign w:val="baseline"/>
                <w:lang w:eastAsia="zh-CN" w:bidi="ar"/>
              </w:rPr>
              <w:t>C</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tcBorders>
              <w:top w:val="single" w:color="auto" w:sz="12" w:space="0"/>
              <w:left w:val="nil"/>
              <w:bottom w:val="nil"/>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Fe</w:t>
            </w:r>
          </w:p>
        </w:tc>
        <w:tc>
          <w:tcPr>
            <w:tcW w:w="1660" w:type="dxa"/>
            <w:tcBorders>
              <w:top w:val="single" w:color="auto" w:sz="12" w:space="0"/>
              <w:left w:val="nil"/>
              <w:bottom w:val="nil"/>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412±16</w:t>
            </w:r>
          </w:p>
        </w:tc>
        <w:tc>
          <w:tcPr>
            <w:tcW w:w="1660" w:type="dxa"/>
            <w:tcBorders>
              <w:top w:val="single" w:color="auto" w:sz="12" w:space="0"/>
              <w:left w:val="nil"/>
              <w:bottom w:val="nil"/>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Zn</w:t>
            </w:r>
          </w:p>
        </w:tc>
        <w:tc>
          <w:tcPr>
            <w:tcW w:w="1660" w:type="dxa"/>
            <w:tcBorders>
              <w:top w:val="single" w:color="auto" w:sz="12" w:space="0"/>
              <w:left w:val="nil"/>
              <w:bottom w:val="nil"/>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62±12</w:t>
            </w:r>
          </w:p>
        </w:tc>
        <w:tc>
          <w:tcPr>
            <w:tcW w:w="1661" w:type="dxa"/>
            <w:tcBorders>
              <w:top w:val="single" w:color="auto" w:sz="12" w:space="0"/>
              <w:left w:val="nil"/>
              <w:bottom w:val="nil"/>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K</w:t>
            </w:r>
          </w:p>
        </w:tc>
        <w:tc>
          <w:tcPr>
            <w:tcW w:w="1661" w:type="dxa"/>
            <w:tcBorders>
              <w:top w:val="single" w:color="auto" w:sz="12" w:space="0"/>
              <w:left w:val="nil"/>
              <w:bottom w:val="nil"/>
              <w:right w:val="nil"/>
            </w:tcBorders>
            <w:vAlign w:val="top"/>
          </w:tcPr>
          <w:p>
            <w:pPr>
              <w:keepNext w:val="0"/>
              <w:keepLines w:val="0"/>
              <w:widowControl/>
              <w:numPr>
                <w:ilvl w:val="0"/>
                <w:numId w:val="0"/>
              </w:numPr>
              <w:suppressLineNumbers w:val="0"/>
              <w:tabs>
                <w:tab w:val="left" w:pos="567"/>
              </w:tabs>
              <w:ind w:left="0" w:leftChars="0" w:firstLine="0" w:firstLineChars="0"/>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36610±10132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tcBorders>
              <w:top w:val="nil"/>
              <w:left w:val="nil"/>
              <w:bottom w:val="nil"/>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Na</w:t>
            </w:r>
          </w:p>
        </w:tc>
        <w:tc>
          <w:tcPr>
            <w:tcW w:w="1660" w:type="dxa"/>
            <w:tcBorders>
              <w:top w:val="nil"/>
              <w:left w:val="nil"/>
              <w:bottom w:val="nil"/>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1180±147</w:t>
            </w:r>
          </w:p>
        </w:tc>
        <w:tc>
          <w:tcPr>
            <w:tcW w:w="1660" w:type="dxa"/>
            <w:tcBorders>
              <w:top w:val="nil"/>
              <w:left w:val="nil"/>
              <w:bottom w:val="nil"/>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Ca</w:t>
            </w:r>
          </w:p>
        </w:tc>
        <w:tc>
          <w:tcPr>
            <w:tcW w:w="1660" w:type="dxa"/>
            <w:tcBorders>
              <w:top w:val="nil"/>
              <w:left w:val="nil"/>
              <w:bottom w:val="nil"/>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1255±241</w:t>
            </w:r>
          </w:p>
        </w:tc>
        <w:tc>
          <w:tcPr>
            <w:tcW w:w="1661" w:type="dxa"/>
            <w:tcBorders>
              <w:top w:val="nil"/>
              <w:left w:val="nil"/>
              <w:bottom w:val="nil"/>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Mn</w:t>
            </w:r>
          </w:p>
        </w:tc>
        <w:tc>
          <w:tcPr>
            <w:tcW w:w="1661" w:type="dxa"/>
            <w:tcBorders>
              <w:top w:val="nil"/>
              <w:left w:val="nil"/>
              <w:bottom w:val="nil"/>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tcBorders>
              <w:top w:val="nil"/>
              <w:left w:val="nil"/>
              <w:bottom w:val="nil"/>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Cu</w:t>
            </w:r>
          </w:p>
        </w:tc>
        <w:tc>
          <w:tcPr>
            <w:tcW w:w="1660" w:type="dxa"/>
            <w:tcBorders>
              <w:top w:val="nil"/>
              <w:left w:val="nil"/>
              <w:bottom w:val="nil"/>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43±11b</w:t>
            </w:r>
          </w:p>
        </w:tc>
        <w:tc>
          <w:tcPr>
            <w:tcW w:w="1660" w:type="dxa"/>
            <w:tcBorders>
              <w:top w:val="nil"/>
              <w:left w:val="nil"/>
              <w:bottom w:val="nil"/>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Mg</w:t>
            </w:r>
          </w:p>
        </w:tc>
        <w:tc>
          <w:tcPr>
            <w:tcW w:w="1660" w:type="dxa"/>
            <w:tcBorders>
              <w:top w:val="nil"/>
              <w:left w:val="nil"/>
              <w:bottom w:val="nil"/>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978±34</w:t>
            </w:r>
          </w:p>
        </w:tc>
        <w:tc>
          <w:tcPr>
            <w:tcW w:w="1661" w:type="dxa"/>
            <w:tcBorders>
              <w:top w:val="nil"/>
              <w:left w:val="nil"/>
              <w:bottom w:val="nil"/>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Pb</w:t>
            </w:r>
          </w:p>
        </w:tc>
        <w:tc>
          <w:tcPr>
            <w:tcW w:w="1661" w:type="dxa"/>
            <w:tcBorders>
              <w:top w:val="nil"/>
              <w:left w:val="nil"/>
              <w:bottom w:val="nil"/>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660" w:type="dxa"/>
            <w:tcBorders>
              <w:top w:val="nil"/>
              <w:left w:val="nil"/>
              <w:bottom w:val="single" w:color="auto" w:sz="12" w:space="0"/>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Cd</w:t>
            </w:r>
          </w:p>
        </w:tc>
        <w:tc>
          <w:tcPr>
            <w:tcW w:w="1660" w:type="dxa"/>
            <w:tcBorders>
              <w:top w:val="nil"/>
              <w:left w:val="nil"/>
              <w:bottom w:val="single" w:color="auto" w:sz="12" w:space="0"/>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2.07±0.22</w:t>
            </w:r>
          </w:p>
        </w:tc>
        <w:tc>
          <w:tcPr>
            <w:tcW w:w="1660" w:type="dxa"/>
            <w:tcBorders>
              <w:top w:val="nil"/>
              <w:left w:val="nil"/>
              <w:bottom w:val="single" w:color="auto" w:sz="12" w:space="0"/>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As</w:t>
            </w:r>
          </w:p>
        </w:tc>
        <w:tc>
          <w:tcPr>
            <w:tcW w:w="1660" w:type="dxa"/>
            <w:tcBorders>
              <w:top w:val="nil"/>
              <w:left w:val="nil"/>
              <w:bottom w:val="single" w:color="auto" w:sz="12" w:space="0"/>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ND</w:t>
            </w:r>
          </w:p>
        </w:tc>
        <w:tc>
          <w:tcPr>
            <w:tcW w:w="1661" w:type="dxa"/>
            <w:tcBorders>
              <w:top w:val="nil"/>
              <w:left w:val="nil"/>
              <w:bottom w:val="single" w:color="auto" w:sz="12" w:space="0"/>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P</w:t>
            </w:r>
          </w:p>
        </w:tc>
        <w:tc>
          <w:tcPr>
            <w:tcW w:w="1661" w:type="dxa"/>
            <w:tcBorders>
              <w:top w:val="nil"/>
              <w:left w:val="nil"/>
              <w:bottom w:val="single" w:color="auto" w:sz="12" w:space="0"/>
              <w:right w:val="nil"/>
            </w:tcBorders>
          </w:tcPr>
          <w:p>
            <w:pPr>
              <w:keepNext w:val="0"/>
              <w:keepLines w:val="0"/>
              <w:widowControl/>
              <w:numPr>
                <w:numId w:val="0"/>
              </w:numPr>
              <w:suppressLineNumbers w:val="0"/>
              <w:tabs>
                <w:tab w:val="left" w:pos="567"/>
              </w:tabs>
              <w:jc w:val="cente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t>7130±872</w:t>
            </w:r>
          </w:p>
        </w:tc>
      </w:tr>
    </w:tbl>
    <w:p>
      <w:pPr>
        <w:keepNext w:val="0"/>
        <w:keepLines w:val="0"/>
        <w:widowControl/>
        <w:numPr>
          <w:ilvl w:val="0"/>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A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Each value is expressed as mean ± SD (n = 3);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t xml:space="preserve">B </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ND indicates that it has not been detected.</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superscript"/>
          <w:lang w:eastAsia="zh-CN" w:bidi="ar"/>
        </w:rPr>
        <w:br w:type="page"/>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Monosaccharide composition</w:t>
      </w:r>
    </w:p>
    <w:tbl>
      <w:tblPr>
        <w:tblStyle w:val="5"/>
        <w:tblpPr w:leftFromText="180" w:rightFromText="180" w:vertAnchor="text" w:tblpX="10934" w:tblpY="-3019"/>
        <w:tblOverlap w:val="never"/>
        <w:tblW w:w="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 w:hRule="atLeast"/>
        </w:trPr>
        <w:tc>
          <w:tcPr>
            <w:tcW w:w="498" w:type="dxa"/>
          </w:tcPr>
          <w:p>
            <w:pPr>
              <w:keepNext w:val="0"/>
              <w:keepLines w:val="0"/>
              <w:widowControl/>
              <w:numPr>
                <w:numId w:val="0"/>
              </w:numPr>
              <w:suppressLineNumbers w:val="0"/>
              <w:tabs>
                <w:tab w:val="left" w:pos="567"/>
              </w:tabs>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vertAlign w:val="baseline"/>
                <w:lang w:eastAsia="zh-CN" w:bidi="ar"/>
              </w:rPr>
            </w:pPr>
          </w:p>
        </w:tc>
      </w:tr>
    </w:tbl>
    <w:p>
      <w:pPr>
        <w:keepNext w:val="0"/>
        <w:keepLines w:val="0"/>
        <w:widowControl/>
        <w:numPr>
          <w:numId w:val="0"/>
        </w:numPr>
        <w:suppressLineNumbers w:val="0"/>
        <w:ind w:left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tab/>
      </w:r>
      <w:r>
        <w:rPr>
          <w:rStyle w:val="3"/>
          <w:rFonts w:hint="default" w:ascii="Times New Roman" w:hAnsi="Times New Roman" w:eastAsia="Yahei Consolas Hybrid" w:cs="Times New Roman"/>
          <w:b/>
          <w:bCs/>
          <w:i/>
          <w:iCs/>
          <w:caps w:val="0"/>
          <w:color w:val="FF0000"/>
          <w:spacing w:val="0"/>
          <w:kern w:val="0"/>
          <w:sz w:val="24"/>
          <w:szCs w:val="24"/>
          <w:shd w:val="clear" w:fill="FFFFFF"/>
          <w:lang w:eastAsia="zh-CN" w:bidi="ar"/>
        </w:rPr>
        <w:t>To be determined...</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Molecular weight determination</w:t>
      </w:r>
    </w:p>
    <w:p>
      <w:pPr>
        <w:keepNext w:val="0"/>
        <w:keepLines w:val="0"/>
        <w:widowControl/>
        <w:numPr>
          <w:ilvl w:val="1"/>
          <w:numId w:val="1"/>
        </w:numPr>
        <w:suppressLineNumbers w:val="0"/>
        <w:ind w:left="567" w:leftChars="0" w:hanging="567"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FT-IR spectral analysis</w:t>
      </w:r>
    </w:p>
    <w:p>
      <w:pPr>
        <w:keepNext w:val="0"/>
        <w:keepLines w:val="0"/>
        <w:widowControl/>
        <w:numPr>
          <w:ilvl w:val="0"/>
          <w:numId w:val="1"/>
        </w:numPr>
        <w:suppressLineNumbers w:val="0"/>
        <w:tabs>
          <w:tab w:val="left" w:pos="567"/>
          <w:tab w:val="clear" w:pos="425"/>
        </w:tabs>
        <w:ind w:left="425" w:leftChars="0" w:hanging="425" w:firstLine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Conclusion</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Conflict of Interest</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Acknowledgments</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This work was supported by the Fund Project of Sichuan Provincial Department of Education (16ZB0053); the China Postdoctoral Science Foundation (No. 2016M602605); and the Scientific Research Foundation of Sichuan Agricultural University (No. 060214000).</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References Primary Sources</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Secondary Sources</w:t>
      </w:r>
    </w:p>
    <w:p>
      <w:pPr>
        <w:keepNext w:val="0"/>
        <w:keepLines w:val="0"/>
        <w:widowControl/>
        <w:numPr>
          <w:ilvl w:val="0"/>
          <w:numId w:val="0"/>
        </w:numPr>
        <w:suppressLineNumbers w:val="0"/>
        <w:tabs>
          <w:tab w:val="left" w:pos="567"/>
        </w:tabs>
        <w:ind w:leftChars="0"/>
        <w:jc w:val="left"/>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bCs/>
          <w:i w:val="0"/>
          <w:iCs w:val="0"/>
          <w:caps w:val="0"/>
          <w:color w:val="333333"/>
          <w:spacing w:val="0"/>
          <w:kern w:val="0"/>
          <w:sz w:val="24"/>
          <w:szCs w:val="24"/>
          <w:shd w:val="clear" w:fill="FFFFFF"/>
          <w:lang w:eastAsia="zh-CN" w:bidi="ar"/>
        </w:rPr>
        <w:t>Uncategorized References</w:t>
      </w:r>
    </w:p>
    <w:p>
      <w:pPr>
        <w:keepNext w:val="0"/>
        <w:keepLines w:val="0"/>
        <w:widowControl/>
        <w:numPr>
          <w:ilvl w:val="0"/>
          <w:numId w:val="2"/>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0" w:name="_Ref396410124"/>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xml:space="preserve">Liu, Y. T., Sun, J., Rao, S. Q., Su, Y. J., Li, J. H., Li, C. M., et al. Antidiabetic activity of mycelia selenium-polysaccharide from </w:t>
      </w:r>
      <w:r>
        <w:rPr>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Catathelasma ventricosum</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xml:space="preserve"> in STZ-induced diabetic mice. </w:t>
      </w:r>
      <w:r>
        <w:rPr>
          <w:rFonts w:hint="default" w:ascii="Times New Roman" w:hAnsi="Times New Roman" w:eastAsia="Yahei Consolas Hybrid" w:cs="Times New Roman"/>
          <w:b w:val="0"/>
          <w:bCs w:val="0"/>
          <w:i/>
          <w:iCs/>
          <w:caps w:val="0"/>
          <w:color w:val="333333"/>
          <w:spacing w:val="0"/>
          <w:kern w:val="0"/>
          <w:sz w:val="24"/>
          <w:szCs w:val="24"/>
          <w:shd w:val="clear" w:fill="FFFFFF"/>
          <w:lang w:val="en-US" w:eastAsia="zh-CN" w:bidi="ar"/>
        </w:rPr>
        <w:t>Food and Chemical Toxicology</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 2013</w:t>
      </w:r>
      <w:r>
        <w:rPr>
          <w:rFonts w:hint="default" w:ascii="Times New Roman" w:hAnsi="Times New Roman" w:eastAsia="Yahei Consolas Hybrid" w:cs="Times New Roman"/>
          <w:b w:val="0"/>
          <w:bCs w:val="0"/>
          <w:i w:val="0"/>
          <w:caps w:val="0"/>
          <w:color w:val="333333"/>
          <w:spacing w:val="0"/>
          <w:kern w:val="0"/>
          <w:sz w:val="24"/>
          <w:szCs w:val="24"/>
          <w:shd w:val="clear" w:fill="FFFFFF"/>
          <w:lang w:eastAsia="zh-CN" w:bidi="ar"/>
        </w:rPr>
        <w:t xml:space="preserve">, </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62</w:t>
      </w:r>
      <w:r>
        <w:rPr>
          <w:rFonts w:hint="default" w:ascii="Times New Roman" w:hAnsi="Times New Roman" w:eastAsia="Yahei Consolas Hybrid" w:cs="Times New Roman"/>
          <w:b w:val="0"/>
          <w:bCs w:val="0"/>
          <w:i w:val="0"/>
          <w:caps w:val="0"/>
          <w:color w:val="333333"/>
          <w:spacing w:val="0"/>
          <w:kern w:val="0"/>
          <w:sz w:val="24"/>
          <w:szCs w:val="24"/>
          <w:shd w:val="clear" w:fill="FFFFFF"/>
          <w:lang w:eastAsia="zh-CN" w:bidi="ar"/>
        </w:rPr>
        <w:t xml:space="preserve">: </w:t>
      </w:r>
      <w:r>
        <w:rPr>
          <w:rFonts w:hint="default" w:ascii="Times New Roman" w:hAnsi="Times New Roman" w:eastAsia="Yahei Consolas Hybrid" w:cs="Times New Roman"/>
          <w:b w:val="0"/>
          <w:bCs w:val="0"/>
          <w:i w:val="0"/>
          <w:caps w:val="0"/>
          <w:color w:val="333333"/>
          <w:spacing w:val="0"/>
          <w:kern w:val="0"/>
          <w:sz w:val="24"/>
          <w:szCs w:val="24"/>
          <w:shd w:val="clear" w:fill="FFFFFF"/>
          <w:lang w:val="en-US" w:eastAsia="zh-CN" w:bidi="ar"/>
        </w:rPr>
        <w:t>285–291.</w:t>
      </w:r>
      <w:bookmarkEnd w:id="0"/>
    </w:p>
    <w:p>
      <w:pPr>
        <w:keepNext w:val="0"/>
        <w:keepLines w:val="0"/>
        <w:widowControl/>
        <w:numPr>
          <w:ilvl w:val="0"/>
          <w:numId w:val="2"/>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bookmarkStart w:id="1" w:name="_Ref6646529"/>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Kalač, Pavel. Chemical composition and nutritional value of European species of wild growing mushrooms: A review.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Food chemistry</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2009, 113.1: 9-16.</w:t>
      </w:r>
      <w:bookmarkEnd w:id="1"/>
    </w:p>
    <w:p>
      <w:pPr>
        <w:keepNext w:val="0"/>
        <w:keepLines w:val="0"/>
        <w:widowControl/>
        <w:numPr>
          <w:ilvl w:val="0"/>
          <w:numId w:val="2"/>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xml:space="preserve">Barros, Lillian, et al. Wild and commercial mushrooms as source of nutrients and nutraceuticals. </w:t>
      </w:r>
      <w:r>
        <w:rPr>
          <w:rStyle w:val="3"/>
          <w:rFonts w:hint="default" w:ascii="Times New Roman" w:hAnsi="Times New Roman" w:eastAsia="Yahei Consolas Hybrid" w:cs="Times New Roman"/>
          <w:b w:val="0"/>
          <w:bCs w:val="0"/>
          <w:i/>
          <w:iCs/>
          <w:caps w:val="0"/>
          <w:color w:val="333333"/>
          <w:spacing w:val="0"/>
          <w:kern w:val="0"/>
          <w:sz w:val="24"/>
          <w:szCs w:val="24"/>
          <w:shd w:val="clear" w:fill="FFFFFF"/>
          <w:lang w:eastAsia="zh-CN" w:bidi="ar"/>
        </w:rPr>
        <w:t>Food and Chemical Toxicology</w:t>
      </w:r>
      <w:r>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t>, 2008, 46.8: 2742-2747.</w:t>
      </w:r>
    </w:p>
    <w:p>
      <w:pPr>
        <w:keepNext w:val="0"/>
        <w:keepLines w:val="0"/>
        <w:widowControl/>
        <w:numPr>
          <w:ilvl w:val="0"/>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ilvl w:val="0"/>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ilvl w:val="0"/>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p>
      <w:pPr>
        <w:keepNext w:val="0"/>
        <w:keepLines w:val="0"/>
        <w:widowControl/>
        <w:numPr>
          <w:ilvl w:val="0"/>
          <w:numId w:val="0"/>
        </w:numPr>
        <w:suppressLineNumbers w:val="0"/>
        <w:jc w:val="left"/>
        <w:rPr>
          <w:rStyle w:val="3"/>
          <w:rFonts w:hint="default" w:ascii="Times New Roman" w:hAnsi="Times New Roman" w:eastAsia="Yahei Consolas Hybrid" w:cs="Times New Roman"/>
          <w:b w:val="0"/>
          <w:bCs w:val="0"/>
          <w:i w:val="0"/>
          <w:iCs w:val="0"/>
          <w:caps w:val="0"/>
          <w:color w:val="333333"/>
          <w:spacing w:val="0"/>
          <w:kern w:val="0"/>
          <w:sz w:val="24"/>
          <w:szCs w:val="24"/>
          <w:shd w:val="clear" w:fill="FFFFFF"/>
          <w:lang w:eastAsia="zh-CN" w:bidi="ar"/>
        </w:rPr>
      </w:pPr>
    </w:p>
    <w:sectPr>
      <w:pgSz w:w="11906" w:h="16838"/>
      <w:pgMar w:top="1440" w:right="1080" w:bottom="1440" w:left="1080" w:header="720" w:footer="720" w:gutter="0"/>
      <w:pgBorders>
        <w:top w:val="none" w:sz="0" w:space="0"/>
        <w:left w:val="none" w:sz="0" w:space="0"/>
        <w:bottom w:val="none" w:sz="0" w:space="0"/>
        <w:right w:val="none" w:sz="0" w:space="0"/>
      </w:pgBorders>
      <w:lnNumType w:countBy="1" w:restart="continuous"/>
      <w:cols w:space="0" w:num="1"/>
      <w:rtlGutter w:val="0"/>
      <w:docGrid w:type="linesAndChars" w:linePitch="66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Yahei Consolas Hybrid">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KaitiM Big5">
    <w:panose1 w:val="020B0609010101010101"/>
    <w:charset w:val="88"/>
    <w:family w:val="auto"/>
    <w:pitch w:val="default"/>
    <w:sig w:usb0="00000003" w:usb1="28880000" w:usb2="00000006" w:usb3="00000000" w:csb0="00100000" w:csb1="0000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AD98E"/>
    <w:multiLevelType w:val="singleLevel"/>
    <w:tmpl w:val="13FAD98E"/>
    <w:lvl w:ilvl="0" w:tentative="0">
      <w:start w:val="1"/>
      <w:numFmt w:val="decimal"/>
      <w:suff w:val="space"/>
      <w:lvlText w:val="%1."/>
      <w:lvlJc w:val="left"/>
    </w:lvl>
  </w:abstractNum>
  <w:abstractNum w:abstractNumId="1">
    <w:nsid w:val="4F7A2B72"/>
    <w:multiLevelType w:val="multilevel"/>
    <w:tmpl w:val="4F7A2B7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200"/>
  <w:drawingGridVerticalSpacing w:val="332"/>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AA26"/>
    <w:rsid w:val="12B3088D"/>
    <w:rsid w:val="13BF5BB7"/>
    <w:rsid w:val="15E679B3"/>
    <w:rsid w:val="175F171C"/>
    <w:rsid w:val="176FCF81"/>
    <w:rsid w:val="17B78EBD"/>
    <w:rsid w:val="18271CE0"/>
    <w:rsid w:val="199BF9A5"/>
    <w:rsid w:val="19D1123A"/>
    <w:rsid w:val="1BFF4D47"/>
    <w:rsid w:val="1CFDFBDD"/>
    <w:rsid w:val="1DFD51A6"/>
    <w:rsid w:val="1DFFFF01"/>
    <w:rsid w:val="1F3FCA6B"/>
    <w:rsid w:val="1FBB2354"/>
    <w:rsid w:val="1FBFE2A8"/>
    <w:rsid w:val="1FDF6C50"/>
    <w:rsid w:val="229B3B09"/>
    <w:rsid w:val="24FEEFC5"/>
    <w:rsid w:val="27E605D9"/>
    <w:rsid w:val="28F3F517"/>
    <w:rsid w:val="297C670F"/>
    <w:rsid w:val="2CBB167A"/>
    <w:rsid w:val="2DF31F49"/>
    <w:rsid w:val="2FF7DAAA"/>
    <w:rsid w:val="2FFF40DC"/>
    <w:rsid w:val="32F3C018"/>
    <w:rsid w:val="336AEF70"/>
    <w:rsid w:val="35FF0D53"/>
    <w:rsid w:val="36C63031"/>
    <w:rsid w:val="38EFBCBB"/>
    <w:rsid w:val="38FF4B78"/>
    <w:rsid w:val="3A7FE6D2"/>
    <w:rsid w:val="3B7A0FF9"/>
    <w:rsid w:val="3BBFBA5E"/>
    <w:rsid w:val="3BCD2596"/>
    <w:rsid w:val="3BD8DCE2"/>
    <w:rsid w:val="3BFCF0CA"/>
    <w:rsid w:val="3CFDD464"/>
    <w:rsid w:val="3CFFDAFD"/>
    <w:rsid w:val="3E7A93CF"/>
    <w:rsid w:val="3ED60A11"/>
    <w:rsid w:val="3FCBD2B1"/>
    <w:rsid w:val="3FDDE48F"/>
    <w:rsid w:val="44AFE3B9"/>
    <w:rsid w:val="467FCD46"/>
    <w:rsid w:val="47D78965"/>
    <w:rsid w:val="498B5E9B"/>
    <w:rsid w:val="4B97E6BA"/>
    <w:rsid w:val="4C9FC392"/>
    <w:rsid w:val="4E7DE637"/>
    <w:rsid w:val="55FB225A"/>
    <w:rsid w:val="56A392C2"/>
    <w:rsid w:val="57621A5F"/>
    <w:rsid w:val="57CF66F4"/>
    <w:rsid w:val="5ADCFC8A"/>
    <w:rsid w:val="5B33FB10"/>
    <w:rsid w:val="5B3DAC5C"/>
    <w:rsid w:val="5B7D0965"/>
    <w:rsid w:val="5BDB4C95"/>
    <w:rsid w:val="5BEEF71F"/>
    <w:rsid w:val="5BF7C826"/>
    <w:rsid w:val="5BF90FA4"/>
    <w:rsid w:val="5BFD7C90"/>
    <w:rsid w:val="5DFF9C04"/>
    <w:rsid w:val="5EBF1788"/>
    <w:rsid w:val="5F7F1C27"/>
    <w:rsid w:val="5FDF59EA"/>
    <w:rsid w:val="5FE66770"/>
    <w:rsid w:val="66AFCDEF"/>
    <w:rsid w:val="66BB1EC2"/>
    <w:rsid w:val="66F55DAC"/>
    <w:rsid w:val="67AECA71"/>
    <w:rsid w:val="692EB0F1"/>
    <w:rsid w:val="69DDD617"/>
    <w:rsid w:val="69FEF64C"/>
    <w:rsid w:val="6AF9F1BD"/>
    <w:rsid w:val="6B9FC7E4"/>
    <w:rsid w:val="6BF80B69"/>
    <w:rsid w:val="6DD5F94F"/>
    <w:rsid w:val="6FBD774C"/>
    <w:rsid w:val="6FDAF9A6"/>
    <w:rsid w:val="6FFF0079"/>
    <w:rsid w:val="71E7B3A8"/>
    <w:rsid w:val="72E79D66"/>
    <w:rsid w:val="72EF8A8B"/>
    <w:rsid w:val="735E3F8B"/>
    <w:rsid w:val="73DEE3F1"/>
    <w:rsid w:val="73F67BEE"/>
    <w:rsid w:val="753F16EA"/>
    <w:rsid w:val="75E7F756"/>
    <w:rsid w:val="776DA962"/>
    <w:rsid w:val="777AFA31"/>
    <w:rsid w:val="781F330D"/>
    <w:rsid w:val="7887496F"/>
    <w:rsid w:val="79FB8A18"/>
    <w:rsid w:val="7A75839C"/>
    <w:rsid w:val="7AAEAF02"/>
    <w:rsid w:val="7AFD6F5B"/>
    <w:rsid w:val="7AFF8C40"/>
    <w:rsid w:val="7BBCA596"/>
    <w:rsid w:val="7BEF22E0"/>
    <w:rsid w:val="7BF70517"/>
    <w:rsid w:val="7BFBB471"/>
    <w:rsid w:val="7BFE57F7"/>
    <w:rsid w:val="7BFF2357"/>
    <w:rsid w:val="7BFFFAE9"/>
    <w:rsid w:val="7C67FD39"/>
    <w:rsid w:val="7CB763ED"/>
    <w:rsid w:val="7CDD24FD"/>
    <w:rsid w:val="7CE797F7"/>
    <w:rsid w:val="7CF50C00"/>
    <w:rsid w:val="7D2F7140"/>
    <w:rsid w:val="7D7F1ACE"/>
    <w:rsid w:val="7DD7F4AC"/>
    <w:rsid w:val="7DDF28AC"/>
    <w:rsid w:val="7DDF92D0"/>
    <w:rsid w:val="7DFE4765"/>
    <w:rsid w:val="7DFEBF12"/>
    <w:rsid w:val="7DFF6867"/>
    <w:rsid w:val="7DFFFED9"/>
    <w:rsid w:val="7E76F71B"/>
    <w:rsid w:val="7E7DB4FA"/>
    <w:rsid w:val="7E9E5D81"/>
    <w:rsid w:val="7EDB57DD"/>
    <w:rsid w:val="7EEA7CBA"/>
    <w:rsid w:val="7EEF9EB7"/>
    <w:rsid w:val="7EF30FAE"/>
    <w:rsid w:val="7EF70D2F"/>
    <w:rsid w:val="7EFE6DB6"/>
    <w:rsid w:val="7EFF6243"/>
    <w:rsid w:val="7F7BACAE"/>
    <w:rsid w:val="7F7EED9B"/>
    <w:rsid w:val="7FBF3E33"/>
    <w:rsid w:val="7FC76F82"/>
    <w:rsid w:val="7FCB17D6"/>
    <w:rsid w:val="7FCFE359"/>
    <w:rsid w:val="7FEB276B"/>
    <w:rsid w:val="7FF345E4"/>
    <w:rsid w:val="7FF3C10A"/>
    <w:rsid w:val="7FF62097"/>
    <w:rsid w:val="7FF6CF81"/>
    <w:rsid w:val="7FFD88AF"/>
    <w:rsid w:val="7FFED4F2"/>
    <w:rsid w:val="7FFF4D05"/>
    <w:rsid w:val="86BD5ECF"/>
    <w:rsid w:val="89FA2D10"/>
    <w:rsid w:val="8B7FAC30"/>
    <w:rsid w:val="8BF67620"/>
    <w:rsid w:val="8BF995F6"/>
    <w:rsid w:val="8F7B255C"/>
    <w:rsid w:val="8FFF34B8"/>
    <w:rsid w:val="975F4980"/>
    <w:rsid w:val="97FF1DF9"/>
    <w:rsid w:val="9BBF938A"/>
    <w:rsid w:val="9BDB1DC9"/>
    <w:rsid w:val="9BF90647"/>
    <w:rsid w:val="9CFFD354"/>
    <w:rsid w:val="9EDF9312"/>
    <w:rsid w:val="9F4F6F42"/>
    <w:rsid w:val="9FDF6022"/>
    <w:rsid w:val="A1FB1FA7"/>
    <w:rsid w:val="ABBA36F2"/>
    <w:rsid w:val="ABEBC526"/>
    <w:rsid w:val="ABF489FA"/>
    <w:rsid w:val="AFB79FAF"/>
    <w:rsid w:val="AFBB34BD"/>
    <w:rsid w:val="B2F97CA1"/>
    <w:rsid w:val="B3BBCC24"/>
    <w:rsid w:val="B7FF34C8"/>
    <w:rsid w:val="B7FF3E44"/>
    <w:rsid w:val="B8D776FE"/>
    <w:rsid w:val="B8EF9222"/>
    <w:rsid w:val="B9EBEB64"/>
    <w:rsid w:val="BB3B3536"/>
    <w:rsid w:val="BBD7C084"/>
    <w:rsid w:val="BCFFF0FF"/>
    <w:rsid w:val="BF09F394"/>
    <w:rsid w:val="BF7417E0"/>
    <w:rsid w:val="BF74D458"/>
    <w:rsid w:val="BFDF27F9"/>
    <w:rsid w:val="BFEDE08A"/>
    <w:rsid w:val="BFF2C889"/>
    <w:rsid w:val="BFF7EBF7"/>
    <w:rsid w:val="CAFD36CE"/>
    <w:rsid w:val="CDC9F35D"/>
    <w:rsid w:val="CDFD143F"/>
    <w:rsid w:val="CE161627"/>
    <w:rsid w:val="CEBD804D"/>
    <w:rsid w:val="D15F661A"/>
    <w:rsid w:val="D2FF9C6F"/>
    <w:rsid w:val="D3FFA9C3"/>
    <w:rsid w:val="D75E0B8E"/>
    <w:rsid w:val="D77F92B9"/>
    <w:rsid w:val="D7DF383D"/>
    <w:rsid w:val="D7E685A7"/>
    <w:rsid w:val="DA3E927E"/>
    <w:rsid w:val="DBFD6B21"/>
    <w:rsid w:val="DBFF0F81"/>
    <w:rsid w:val="DCDADA03"/>
    <w:rsid w:val="DDB94365"/>
    <w:rsid w:val="DDFFAA26"/>
    <w:rsid w:val="DED4CC98"/>
    <w:rsid w:val="DFEE0DE4"/>
    <w:rsid w:val="DFF7A771"/>
    <w:rsid w:val="DFF7D043"/>
    <w:rsid w:val="E49A5DB4"/>
    <w:rsid w:val="E57F50D0"/>
    <w:rsid w:val="E5EF5D31"/>
    <w:rsid w:val="E5EF9747"/>
    <w:rsid w:val="E6C672C2"/>
    <w:rsid w:val="E7E220FE"/>
    <w:rsid w:val="E7EF5E88"/>
    <w:rsid w:val="E90F0938"/>
    <w:rsid w:val="E9FF3E6F"/>
    <w:rsid w:val="EBEDF4DE"/>
    <w:rsid w:val="EBFFF1E4"/>
    <w:rsid w:val="ED2F0B49"/>
    <w:rsid w:val="ED79C5F9"/>
    <w:rsid w:val="EDDB932D"/>
    <w:rsid w:val="EDEF8464"/>
    <w:rsid w:val="EDFB774B"/>
    <w:rsid w:val="EDFD365C"/>
    <w:rsid w:val="EDFF5707"/>
    <w:rsid w:val="EF5FA5EB"/>
    <w:rsid w:val="EF995F0C"/>
    <w:rsid w:val="EFA7C233"/>
    <w:rsid w:val="EFD90224"/>
    <w:rsid w:val="EFFF6FF5"/>
    <w:rsid w:val="F3BF54C5"/>
    <w:rsid w:val="F4BA6AE0"/>
    <w:rsid w:val="F53F6D78"/>
    <w:rsid w:val="F54A35BD"/>
    <w:rsid w:val="F5755BDC"/>
    <w:rsid w:val="F57EF010"/>
    <w:rsid w:val="F59C421F"/>
    <w:rsid w:val="F672B623"/>
    <w:rsid w:val="F6BC1A42"/>
    <w:rsid w:val="F6D727A6"/>
    <w:rsid w:val="F6FEF507"/>
    <w:rsid w:val="F776A96A"/>
    <w:rsid w:val="F7AD4A15"/>
    <w:rsid w:val="F7BF1FFC"/>
    <w:rsid w:val="F7BFEC74"/>
    <w:rsid w:val="F7E55603"/>
    <w:rsid w:val="F7EFCE23"/>
    <w:rsid w:val="F7F9ADBD"/>
    <w:rsid w:val="FAFB3DE5"/>
    <w:rsid w:val="FB7BF11E"/>
    <w:rsid w:val="FBE3CA2B"/>
    <w:rsid w:val="FBFF71AA"/>
    <w:rsid w:val="FBFFC4A3"/>
    <w:rsid w:val="FD52E29B"/>
    <w:rsid w:val="FD6B5DAF"/>
    <w:rsid w:val="FD7C93F2"/>
    <w:rsid w:val="FD7F7A52"/>
    <w:rsid w:val="FDFB4BAD"/>
    <w:rsid w:val="FDFD7BCC"/>
    <w:rsid w:val="FE290EEB"/>
    <w:rsid w:val="FEEC7871"/>
    <w:rsid w:val="FEF06012"/>
    <w:rsid w:val="FEFB2D8C"/>
    <w:rsid w:val="FF6F9939"/>
    <w:rsid w:val="FF7538B3"/>
    <w:rsid w:val="FF7F0889"/>
    <w:rsid w:val="FF8D2772"/>
    <w:rsid w:val="FF9E8E24"/>
    <w:rsid w:val="FFDF86EC"/>
    <w:rsid w:val="FFDFBA40"/>
    <w:rsid w:val="FFE911A1"/>
    <w:rsid w:val="FFEF48F0"/>
    <w:rsid w:val="FFFAB7E3"/>
    <w:rsid w:val="FFFBD055"/>
    <w:rsid w:val="FFFD5ED9"/>
    <w:rsid w:val="FFFD7C05"/>
    <w:rsid w:val="FFFDC9C4"/>
    <w:rsid w:val="FFFE04AA"/>
    <w:rsid w:val="FFFE62F2"/>
    <w:rsid w:val="FFFE8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iCs/>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482</Words>
  <Characters>2870</Characters>
  <Lines>0</Lines>
  <Paragraphs>0</Paragraphs>
  <TotalTime>40</TotalTime>
  <ScaleCrop>false</ScaleCrop>
  <LinksUpToDate>false</LinksUpToDate>
  <CharactersWithSpaces>3325</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2018-08-21T00:58:00Z</dcterms:created>
  <dc:creator>哈哈Forge</dc:creator>
  <cp:lastModifiedBy>哈哈Forge</cp:lastModifiedBy>
  <dcterms:modified xsi:type="dcterms:W3CDTF">2018-08-29T21:43:27Z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