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widowControl/>
        <w:suppressLineNumbers w:val="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Nutrient composition and biological activity of </w:t>
      </w:r>
      <w:r>
        <w:rPr>
          <w:rStyle w:val="3"/>
          <w:rFonts w:hint="default" w:ascii="Times New Roman" w:hAnsi="Times New Roman" w:eastAsia="Yahei Consolas Hybrid" w:cs="Times New Roman"/>
          <w:b/>
          <w:bCs/>
          <w:i/>
          <w:iCs/>
          <w:caps w:val="0"/>
          <w:color w:val="333333"/>
          <w:spacing w:val="0"/>
          <w:kern w:val="0"/>
          <w:sz w:val="24"/>
          <w:szCs w:val="24"/>
          <w:shd w:val="clear" w:fill="FFFFFF"/>
          <w:lang w:val="en-US" w:eastAsia="zh-CN" w:bidi="ar"/>
        </w:rPr>
        <w:t>Craterellus cornucopioides</w:t>
      </w:r>
      <w:r>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Abstract: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Biological activity</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Introduction</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Materials and methods</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The fruiting body of </w:t>
      </w:r>
      <w:r>
        <w:rPr>
          <w:rStyle w:val="3"/>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 was purchased from Sichuan Provinces of Southwest China. DPPH, 2,6-ditert-butyl-4-methylphenol (BHT), ethylenediaminetetraacetic acid (EDTA) and standard monosaccharide materials were purchased from Sigma-Aldric (Germany). All other chemicals used in this study were analytical reagent grade and purchased from Sinopharm Chemical Reagent Co. Ltd. (Shanghai, China). </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water-soluble polysaccharides</w:t>
      </w:r>
    </w:p>
    <w:p>
      <w:pPr>
        <w:keepNext w:val="0"/>
        <w:keepLines w:val="0"/>
        <w:widowControl/>
        <w:numPr>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for 24 hours. The precipitate obtained by centrifugation (2654 × g, 10 min, 4 ℃) was finally lyophilized to obtain a crude polysaccharide.</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nutrients</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begin"/>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instrText xml:space="preserve"> REF _Ref396410124 \r \h </w:instrTex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separate"/>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end"/>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and ultraviolet analysis</w:t>
      </w:r>
    </w:p>
    <w:p>
      <w:pPr>
        <w:keepNext w:val="0"/>
        <w:keepLines w:val="0"/>
        <w:widowControl/>
        <w:suppressLineNumbers w:val="0"/>
        <w:ind w:firstLine="420"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333333"/>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Statistical analysis</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Results and discussion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nutrients</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ilvl w:val="0"/>
          <w:numId w:val="1"/>
        </w:numPr>
        <w:suppressLineNumbers w:val="0"/>
        <w:tabs>
          <w:tab w:val="left" w:pos="567"/>
          <w:tab w:val="clear" w:pos="425"/>
        </w:tabs>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Conclusion</w:t>
      </w:r>
    </w:p>
    <w:p>
      <w:pPr>
        <w:keepNext w:val="0"/>
        <w:keepLines w:val="0"/>
        <w:widowControl/>
        <w:numPr>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Conflict of Interest</w:t>
      </w:r>
    </w:p>
    <w:p>
      <w:pPr>
        <w:keepNext w:val="0"/>
        <w:keepLines w:val="0"/>
        <w:widowControl/>
        <w:numPr>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Acknowledgments</w:t>
      </w:r>
    </w:p>
    <w:p>
      <w:pPr>
        <w:keepNext w:val="0"/>
        <w:keepLines w:val="0"/>
        <w:widowControl/>
        <w:numPr>
          <w:numId w:val="0"/>
        </w:numPr>
        <w:suppressLineNumbers w:val="0"/>
        <w:tabs>
          <w:tab w:val="left" w:pos="567"/>
        </w:tabs>
        <w:ind w:left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This work was supported by the Fund Project of Sichuan Provincial Department of Education (16ZB0053); the China Postdoctoral Science Foundation (No. 2016M602605); and the Scientific Research Foundation of Sichuan Agricultural University (No. 060214000).</w:t>
      </w:r>
    </w:p>
    <w:p>
      <w:pPr>
        <w:keepNext w:val="0"/>
        <w:keepLines w:val="0"/>
        <w:widowControl/>
        <w:numPr>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References Primary Sources</w:t>
      </w:r>
    </w:p>
    <w:p>
      <w:pPr>
        <w:keepNext w:val="0"/>
        <w:keepLines w:val="0"/>
        <w:widowControl/>
        <w:numPr>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Secondary Sources</w:t>
      </w:r>
    </w:p>
    <w:p>
      <w:pPr>
        <w:keepNext w:val="0"/>
        <w:keepLines w:val="0"/>
        <w:widowControl/>
        <w:numPr>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Uncategorized References</w:t>
      </w:r>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0" w:name="_Ref396410124"/>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Liu, Y. T., Sun, J., Rao, S. Q., Su, Y. J., Li, J. H., Li, C. M., et al. Antidiabetic activity of mycelia selenium-polysaccharide from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Catathelasma ventricosum</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 in STZ-induced diabetic mice.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Food and Chemical Toxicology</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2013</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62, 285–291.</w:t>
      </w:r>
      <w:bookmarkEnd w:id="0"/>
    </w:p>
    <w:p>
      <w:pPr>
        <w:keepNext w:val="0"/>
        <w:keepLines w:val="0"/>
        <w:widowControl/>
        <w:numPr>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1" w:name="_GoBack"/>
      <w:bookmarkEnd w:id="1"/>
    </w:p>
    <w:sectPr>
      <w:pgSz w:w="11906" w:h="16838"/>
      <w:pgMar w:top="1440" w:right="1080" w:bottom="1440" w:left="1080" w:header="720" w:footer="720" w:gutter="0"/>
      <w:paperSrc/>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Yahei Consolas Hybrid">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AR PL KaitiM GB">
    <w:panose1 w:val="02010600030101010101"/>
    <w:charset w:val="86"/>
    <w:family w:val="auto"/>
    <w:pitch w:val="default"/>
    <w:sig w:usb0="00000001" w:usb1="080E0000" w:usb2="00000000" w:usb3="00000000" w:csb0="00040000" w:csb1="00000000"/>
  </w:font>
  <w:font w:name="AR PL KaitiM Big5">
    <w:panose1 w:val="020B0609010101010101"/>
    <w:charset w:val="88"/>
    <w:family w:val="auto"/>
    <w:pitch w:val="default"/>
    <w:sig w:usb0="00000003" w:usb1="28880000" w:usb2="00000006" w:usb3="00000000" w:csb0="00100000" w:csb1="0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D98E"/>
    <w:multiLevelType w:val="singleLevel"/>
    <w:tmpl w:val="13FAD98E"/>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1DFFFF01"/>
    <w:rsid w:val="1F3FCA6B"/>
    <w:rsid w:val="1FBFE2A8"/>
    <w:rsid w:val="24FEEFC5"/>
    <w:rsid w:val="297C670F"/>
    <w:rsid w:val="3A7FE6D2"/>
    <w:rsid w:val="3BFCF0CA"/>
    <w:rsid w:val="3CFDD464"/>
    <w:rsid w:val="44AFE3B9"/>
    <w:rsid w:val="4B97E6BA"/>
    <w:rsid w:val="66F55DAC"/>
    <w:rsid w:val="69DDD617"/>
    <w:rsid w:val="6DD5F94F"/>
    <w:rsid w:val="6FBD774C"/>
    <w:rsid w:val="777AFA31"/>
    <w:rsid w:val="7BBCA596"/>
    <w:rsid w:val="7BFF2357"/>
    <w:rsid w:val="7BFFFAE9"/>
    <w:rsid w:val="7CB763ED"/>
    <w:rsid w:val="7D2F7140"/>
    <w:rsid w:val="7DDF92D0"/>
    <w:rsid w:val="7DFEBF12"/>
    <w:rsid w:val="7E7DB4FA"/>
    <w:rsid w:val="7EEA7CBA"/>
    <w:rsid w:val="7FBF3E33"/>
    <w:rsid w:val="7FCB17D6"/>
    <w:rsid w:val="7FCFE359"/>
    <w:rsid w:val="7FF6CF81"/>
    <w:rsid w:val="8B7FAC30"/>
    <w:rsid w:val="8FFF34B8"/>
    <w:rsid w:val="975F4980"/>
    <w:rsid w:val="9BBF938A"/>
    <w:rsid w:val="9BF90647"/>
    <w:rsid w:val="ABF489FA"/>
    <w:rsid w:val="AFBB34BD"/>
    <w:rsid w:val="B3BBCC24"/>
    <w:rsid w:val="B7FF34C8"/>
    <w:rsid w:val="B8D776FE"/>
    <w:rsid w:val="BB3B3536"/>
    <w:rsid w:val="BF74D458"/>
    <w:rsid w:val="CDC9F35D"/>
    <w:rsid w:val="DDB94365"/>
    <w:rsid w:val="DDFFAA26"/>
    <w:rsid w:val="E5EF5D31"/>
    <w:rsid w:val="E5EF9747"/>
    <w:rsid w:val="ED79C5F9"/>
    <w:rsid w:val="EDFD365C"/>
    <w:rsid w:val="EF995F0C"/>
    <w:rsid w:val="F4BA6AE0"/>
    <w:rsid w:val="F53F6D78"/>
    <w:rsid w:val="F59C421F"/>
    <w:rsid w:val="F7BF1FFC"/>
    <w:rsid w:val="F7E55603"/>
    <w:rsid w:val="FBFFC4A3"/>
    <w:rsid w:val="FF6F9939"/>
    <w:rsid w:val="FFFAB7E3"/>
    <w:rsid w:val="FFFBD055"/>
    <w:rsid w:val="FFFD5ED9"/>
    <w:rsid w:val="FFFE8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18</TotalTime>
  <ScaleCrop>false</ScaleCrop>
  <LinksUpToDate>false</LinksUpToDate>
  <CharactersWithSpaces>3325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2018-08-19T08:58:00Z</dcterms:created>
  <dc:creator>哈哈Forge</dc:creator>
  <cp:lastModifiedBy>哈哈Forge</cp:lastModifiedBy>
  <dcterms:modified xsi:type="dcterms:W3CDTF">2018-08-19T10:02:41Z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