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7B1DD" w14:textId="7D613119" w:rsidR="006D594D" w:rsidRDefault="00211324" w:rsidP="00444B8F">
      <w:pPr>
        <w:spacing w:before="120" w:after="120" w:line="360" w:lineRule="auto"/>
        <w:jc w:val="center"/>
        <w:rPr>
          <w:rFonts w:ascii="宋体" w:hAnsi="宋体" w:cs="宋体"/>
          <w:color w:val="000000"/>
          <w:sz w:val="36"/>
          <w:szCs w:val="36"/>
        </w:rPr>
      </w:pPr>
      <w:r>
        <w:rPr>
          <w:rFonts w:ascii="宋体" w:hAnsi="宋体" w:cs="宋体" w:hint="eastAsia"/>
          <w:sz w:val="36"/>
          <w:szCs w:val="36"/>
        </w:rPr>
        <w:t>富友综合支付协议补充协议</w:t>
      </w:r>
    </w:p>
    <w:p w14:paraId="0A7F47FA" w14:textId="77777777" w:rsidR="006D594D" w:rsidRDefault="00211324">
      <w:pPr>
        <w:spacing w:before="120" w:after="120" w:line="360" w:lineRule="auto"/>
        <w:rPr>
          <w:rFonts w:ascii="宋体" w:hAnsi="宋体" w:cs="宋体"/>
          <w:color w:val="000000"/>
          <w:szCs w:val="21"/>
        </w:rPr>
      </w:pPr>
      <w:r>
        <w:rPr>
          <w:rFonts w:ascii="宋体" w:hAnsi="宋体" w:cs="宋体" w:hint="eastAsia"/>
          <w:color w:val="000000"/>
          <w:szCs w:val="21"/>
        </w:rPr>
        <w:t>甲方：                             乙方：上海富友支付服务有限公司</w:t>
      </w:r>
    </w:p>
    <w:p w14:paraId="4FF8E962" w14:textId="77777777" w:rsidR="006D594D" w:rsidRDefault="00211324">
      <w:pPr>
        <w:spacing w:before="120" w:after="120" w:line="360" w:lineRule="auto"/>
        <w:rPr>
          <w:rFonts w:ascii="宋体" w:hAnsi="宋体" w:cs="宋体"/>
          <w:color w:val="000000"/>
          <w:szCs w:val="21"/>
        </w:rPr>
      </w:pPr>
      <w:r>
        <w:rPr>
          <w:rFonts w:ascii="宋体" w:hAnsi="宋体" w:cs="宋体" w:hint="eastAsia"/>
          <w:color w:val="000000"/>
          <w:szCs w:val="21"/>
        </w:rPr>
        <w:t>地址：                             地址：上海浦东民生路1399号18层</w:t>
      </w:r>
    </w:p>
    <w:p w14:paraId="6F5E7CED" w14:textId="14A5889E" w:rsidR="006D594D" w:rsidRDefault="00211324" w:rsidP="00444B8F">
      <w:pPr>
        <w:adjustRightInd w:val="0"/>
        <w:snapToGrid w:val="0"/>
        <w:spacing w:before="120" w:after="120" w:line="360" w:lineRule="auto"/>
        <w:rPr>
          <w:rFonts w:ascii="宋体" w:hAnsi="宋体" w:cs="宋体"/>
          <w:color w:val="000000"/>
          <w:szCs w:val="21"/>
        </w:rPr>
      </w:pPr>
      <w:r>
        <w:rPr>
          <w:rFonts w:ascii="宋体" w:hAnsi="宋体" w:cs="宋体" w:hint="eastAsia"/>
          <w:color w:val="000000"/>
          <w:szCs w:val="21"/>
        </w:rPr>
        <w:t>电话：                             电话：021-68547333</w:t>
      </w:r>
    </w:p>
    <w:p w14:paraId="16EB95D9" w14:textId="573D7674" w:rsidR="006D594D" w:rsidRPr="0078220F" w:rsidRDefault="00211324" w:rsidP="0078220F">
      <w:pPr>
        <w:spacing w:before="120" w:after="120" w:line="360" w:lineRule="auto"/>
        <w:rPr>
          <w:rFonts w:ascii="宋体" w:hAnsi="宋体" w:cs="宋体"/>
          <w:color w:val="000000"/>
          <w:sz w:val="36"/>
          <w:szCs w:val="36"/>
        </w:rPr>
      </w:pPr>
      <w:r>
        <w:rPr>
          <w:rFonts w:ascii="宋体" w:hAnsi="宋体" w:cs="宋体" w:hint="eastAsia"/>
          <w:color w:val="000000"/>
          <w:szCs w:val="21"/>
        </w:rPr>
        <w:t>鉴于双方已于</w:t>
      </w:r>
      <w:r w:rsidR="00C47400">
        <w:rPr>
          <w:rFonts w:ascii="宋体" w:hAnsi="宋体" w:cs="宋体" w:hint="eastAsia"/>
          <w:color w:val="000000"/>
          <w:szCs w:val="21"/>
        </w:rPr>
        <w:t xml:space="preserve">   </w:t>
      </w:r>
      <w:r>
        <w:rPr>
          <w:rFonts w:ascii="宋体" w:hAnsi="宋体" w:cs="宋体" w:hint="eastAsia"/>
          <w:color w:val="000000"/>
          <w:szCs w:val="21"/>
        </w:rPr>
        <w:t>年</w:t>
      </w:r>
      <w:r w:rsidR="00C47400">
        <w:rPr>
          <w:rFonts w:ascii="宋体" w:hAnsi="宋体" w:cs="宋体" w:hint="eastAsia"/>
          <w:color w:val="000000"/>
          <w:szCs w:val="21"/>
        </w:rPr>
        <w:t xml:space="preserve">   </w:t>
      </w:r>
      <w:r>
        <w:rPr>
          <w:rFonts w:ascii="宋体" w:hAnsi="宋体" w:cs="宋体" w:hint="eastAsia"/>
          <w:color w:val="000000"/>
          <w:szCs w:val="21"/>
        </w:rPr>
        <w:t>月</w:t>
      </w:r>
      <w:r w:rsidR="00C47400">
        <w:rPr>
          <w:rFonts w:ascii="宋体" w:hAnsi="宋体" w:cs="宋体" w:hint="eastAsia"/>
          <w:color w:val="000000"/>
          <w:szCs w:val="21"/>
        </w:rPr>
        <w:t xml:space="preserve">   </w:t>
      </w:r>
      <w:r>
        <w:rPr>
          <w:rFonts w:ascii="宋体" w:hAnsi="宋体" w:cs="宋体" w:hint="eastAsia"/>
          <w:color w:val="000000"/>
          <w:szCs w:val="21"/>
        </w:rPr>
        <w:t>日签署</w:t>
      </w:r>
      <w:r>
        <w:rPr>
          <w:rFonts w:ascii="宋体" w:hAnsi="宋体" w:cs="宋体" w:hint="eastAsia"/>
          <w:szCs w:val="21"/>
        </w:rPr>
        <w:t>《</w:t>
      </w:r>
      <w:r w:rsidR="0078220F" w:rsidRPr="0078220F">
        <w:rPr>
          <w:rFonts w:ascii="宋体" w:hAnsi="宋体" w:cs="宋体" w:hint="eastAsia"/>
          <w:color w:val="000000"/>
          <w:szCs w:val="21"/>
        </w:rPr>
        <w:t>富友综合支付协议补充协议</w:t>
      </w:r>
      <w:r>
        <w:rPr>
          <w:rFonts w:ascii="宋体" w:hAnsi="宋体" w:cs="宋体" w:hint="eastAsia"/>
          <w:szCs w:val="21"/>
        </w:rPr>
        <w:t>》</w:t>
      </w:r>
      <w:r w:rsidR="0070368B">
        <w:rPr>
          <w:rFonts w:ascii="宋体" w:hAnsi="宋体" w:cs="宋体" w:hint="eastAsia"/>
          <w:szCs w:val="21"/>
        </w:rPr>
        <w:t>（以下简称“主协议”）</w:t>
      </w:r>
      <w:r>
        <w:rPr>
          <w:rFonts w:ascii="宋体" w:hAnsi="宋体" w:cs="宋体" w:hint="eastAsia"/>
          <w:color w:val="000000"/>
          <w:szCs w:val="21"/>
        </w:rPr>
        <w:t>，现双方就关于手机支付产品，达成如下补充协议：</w:t>
      </w:r>
    </w:p>
    <w:p w14:paraId="66E06226" w14:textId="77777777" w:rsidR="006D594D" w:rsidRDefault="00211324">
      <w:pPr>
        <w:pStyle w:val="1"/>
        <w:numPr>
          <w:ilvl w:val="0"/>
          <w:numId w:val="1"/>
        </w:numPr>
        <w:spacing w:before="120" w:after="120" w:line="360" w:lineRule="auto"/>
        <w:ind w:firstLineChars="0"/>
        <w:rPr>
          <w:rFonts w:ascii="宋体" w:hAnsi="宋体" w:cs="宋体"/>
          <w:b/>
          <w:color w:val="000000"/>
          <w:szCs w:val="21"/>
        </w:rPr>
      </w:pPr>
      <w:r>
        <w:rPr>
          <w:rFonts w:ascii="宋体" w:hAnsi="宋体" w:cs="宋体" w:hint="eastAsia"/>
          <w:b/>
          <w:color w:val="000000"/>
          <w:szCs w:val="21"/>
        </w:rPr>
        <w:t>合作内容</w:t>
      </w:r>
      <w:bookmarkStart w:id="0" w:name="_GoBack"/>
      <w:bookmarkEnd w:id="0"/>
    </w:p>
    <w:p w14:paraId="49222E1C" w14:textId="77777777" w:rsidR="006D594D" w:rsidRDefault="00211324">
      <w:pPr>
        <w:pStyle w:val="1"/>
        <w:numPr>
          <w:ilvl w:val="0"/>
          <w:numId w:val="2"/>
        </w:numPr>
        <w:spacing w:before="120" w:after="120" w:line="360" w:lineRule="auto"/>
        <w:ind w:firstLineChars="0"/>
        <w:rPr>
          <w:rFonts w:ascii="宋体" w:hAnsi="宋体" w:cs="宋体"/>
          <w:color w:val="000000"/>
          <w:szCs w:val="21"/>
        </w:rPr>
      </w:pPr>
      <w:r>
        <w:rPr>
          <w:rFonts w:ascii="宋体" w:hAnsi="宋体" w:cs="宋体" w:hint="eastAsia"/>
          <w:color w:val="000000"/>
          <w:szCs w:val="21"/>
        </w:rPr>
        <w:t>乙方为甲方提供进行交易所需的</w:t>
      </w:r>
      <w:r>
        <w:rPr>
          <w:rFonts w:ascii="宋体" w:hAnsi="宋体" w:cs="宋体" w:hint="eastAsia"/>
          <w:szCs w:val="21"/>
        </w:rPr>
        <w:t>综合支付</w:t>
      </w:r>
      <w:r>
        <w:rPr>
          <w:rFonts w:ascii="宋体" w:hAnsi="宋体" w:cs="宋体" w:hint="eastAsia"/>
          <w:color w:val="000000"/>
          <w:szCs w:val="21"/>
        </w:rPr>
        <w:t>服务，且为了更好的维护与甲方的合作关系，乙方拟为甲方提供手机支付产品</w:t>
      </w:r>
      <w:r w:rsidR="0070368B">
        <w:rPr>
          <w:rFonts w:ascii="宋体" w:hAnsi="宋体" w:cs="宋体" w:hint="eastAsia"/>
          <w:color w:val="000000"/>
          <w:szCs w:val="21"/>
        </w:rPr>
        <w:t>，甲方同意按照主协议的约定交纳履约保证金和遵守主协议中约定的关于履约保证金的条款</w:t>
      </w:r>
      <w:r>
        <w:rPr>
          <w:rFonts w:ascii="宋体" w:hAnsi="宋体" w:cs="宋体" w:hint="eastAsia"/>
          <w:color w:val="000000"/>
          <w:szCs w:val="21"/>
        </w:rPr>
        <w:t>。</w:t>
      </w:r>
    </w:p>
    <w:p w14:paraId="3F4FCE00" w14:textId="77777777" w:rsidR="006D594D" w:rsidRDefault="00211324">
      <w:pPr>
        <w:pStyle w:val="1"/>
        <w:numPr>
          <w:ilvl w:val="0"/>
          <w:numId w:val="3"/>
        </w:numPr>
        <w:spacing w:before="120" w:after="120" w:line="360" w:lineRule="auto"/>
        <w:ind w:firstLineChars="0"/>
        <w:rPr>
          <w:rFonts w:ascii="宋体" w:hAnsi="宋体" w:cs="宋体"/>
          <w:b/>
          <w:color w:val="000000"/>
          <w:szCs w:val="21"/>
        </w:rPr>
      </w:pPr>
      <w:r>
        <w:rPr>
          <w:rFonts w:ascii="宋体" w:hAnsi="宋体" w:cs="宋体" w:hint="eastAsia"/>
          <w:b/>
          <w:color w:val="000000"/>
          <w:szCs w:val="21"/>
        </w:rPr>
        <w:t>乙方提供产品的手续费标准</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3402"/>
        <w:gridCol w:w="2693"/>
        <w:gridCol w:w="1134"/>
      </w:tblGrid>
      <w:tr w:rsidR="00444B8F" w14:paraId="45BD0795" w14:textId="77777777" w:rsidTr="00645478">
        <w:trPr>
          <w:trHeight w:val="402"/>
        </w:trPr>
        <w:tc>
          <w:tcPr>
            <w:tcW w:w="1291" w:type="dxa"/>
            <w:vAlign w:val="center"/>
          </w:tcPr>
          <w:p w14:paraId="444A5BCE" w14:textId="77777777" w:rsidR="00444B8F" w:rsidRPr="00444B8F" w:rsidRDefault="00444B8F" w:rsidP="00444B8F">
            <w:pPr>
              <w:pStyle w:val="ae"/>
              <w:widowControl/>
              <w:numPr>
                <w:ilvl w:val="0"/>
                <w:numId w:val="3"/>
              </w:numPr>
              <w:spacing w:line="360" w:lineRule="auto"/>
              <w:ind w:firstLineChars="0"/>
              <w:jc w:val="center"/>
              <w:rPr>
                <w:rFonts w:ascii="宋体" w:hAnsi="宋体" w:cs="宋体"/>
                <w:color w:val="000000"/>
                <w:kern w:val="0"/>
                <w:sz w:val="22"/>
              </w:rPr>
            </w:pPr>
            <w:r w:rsidRPr="00444B8F">
              <w:rPr>
                <w:rFonts w:ascii="宋体" w:hAnsi="宋体" w:cs="宋体" w:hint="eastAsia"/>
                <w:color w:val="000000"/>
                <w:kern w:val="0"/>
                <w:sz w:val="22"/>
                <w:szCs w:val="22"/>
              </w:rPr>
              <w:t>项目</w:t>
            </w:r>
          </w:p>
        </w:tc>
        <w:tc>
          <w:tcPr>
            <w:tcW w:w="3402" w:type="dxa"/>
            <w:vAlign w:val="center"/>
          </w:tcPr>
          <w:p w14:paraId="73B0D29D" w14:textId="77777777" w:rsidR="00444B8F" w:rsidRDefault="00444B8F" w:rsidP="004A596B">
            <w:pPr>
              <w:widowControl/>
              <w:spacing w:line="360" w:lineRule="auto"/>
              <w:jc w:val="center"/>
              <w:rPr>
                <w:rFonts w:ascii="宋体" w:hAnsi="宋体" w:cs="宋体"/>
                <w:color w:val="000000"/>
                <w:kern w:val="0"/>
                <w:sz w:val="22"/>
              </w:rPr>
            </w:pPr>
            <w:r>
              <w:rPr>
                <w:rFonts w:ascii="宋体" w:hAnsi="宋体" w:cs="宋体" w:hint="eastAsia"/>
                <w:color w:val="000000"/>
                <w:kern w:val="0"/>
                <w:sz w:val="22"/>
                <w:szCs w:val="22"/>
              </w:rPr>
              <w:t>内容</w:t>
            </w:r>
          </w:p>
        </w:tc>
        <w:tc>
          <w:tcPr>
            <w:tcW w:w="2693" w:type="dxa"/>
            <w:vAlign w:val="center"/>
          </w:tcPr>
          <w:p w14:paraId="618CB6A3" w14:textId="77777777" w:rsidR="00444B8F" w:rsidRDefault="00444B8F" w:rsidP="004A596B">
            <w:pPr>
              <w:widowControl/>
              <w:spacing w:line="360" w:lineRule="auto"/>
              <w:jc w:val="center"/>
              <w:rPr>
                <w:rFonts w:ascii="宋体" w:hAnsi="宋体" w:cs="宋体"/>
                <w:color w:val="000000"/>
                <w:kern w:val="0"/>
                <w:sz w:val="22"/>
              </w:rPr>
            </w:pPr>
            <w:r>
              <w:rPr>
                <w:rFonts w:ascii="宋体" w:hAnsi="宋体" w:cs="宋体" w:hint="eastAsia"/>
                <w:color w:val="000000"/>
                <w:kern w:val="0"/>
                <w:sz w:val="22"/>
                <w:szCs w:val="22"/>
              </w:rPr>
              <w:t>费用</w:t>
            </w:r>
          </w:p>
        </w:tc>
        <w:tc>
          <w:tcPr>
            <w:tcW w:w="1134" w:type="dxa"/>
            <w:vAlign w:val="center"/>
          </w:tcPr>
          <w:p w14:paraId="6E4770BD" w14:textId="77777777" w:rsidR="00444B8F" w:rsidRDefault="00444B8F" w:rsidP="004A596B">
            <w:pPr>
              <w:widowControl/>
              <w:spacing w:line="360" w:lineRule="auto"/>
              <w:jc w:val="center"/>
              <w:rPr>
                <w:rFonts w:ascii="宋体" w:hAnsi="宋体" w:cs="宋体"/>
                <w:color w:val="000000"/>
                <w:kern w:val="0"/>
                <w:sz w:val="22"/>
              </w:rPr>
            </w:pPr>
            <w:r>
              <w:rPr>
                <w:rFonts w:ascii="宋体" w:hAnsi="宋体" w:cs="宋体" w:hint="eastAsia"/>
                <w:color w:val="000000"/>
                <w:kern w:val="0"/>
                <w:sz w:val="22"/>
                <w:szCs w:val="22"/>
              </w:rPr>
              <w:t>是否开通</w:t>
            </w:r>
          </w:p>
        </w:tc>
      </w:tr>
      <w:tr w:rsidR="00444B8F" w14:paraId="05A0E13B" w14:textId="77777777" w:rsidTr="00645478">
        <w:trPr>
          <w:trHeight w:val="402"/>
        </w:trPr>
        <w:tc>
          <w:tcPr>
            <w:tcW w:w="1291" w:type="dxa"/>
            <w:vMerge w:val="restart"/>
            <w:vAlign w:val="center"/>
          </w:tcPr>
          <w:p w14:paraId="7FD8C1F5" w14:textId="77777777" w:rsidR="00444B8F" w:rsidRDefault="00444B8F" w:rsidP="004A596B">
            <w:pPr>
              <w:spacing w:line="360" w:lineRule="auto"/>
              <w:jc w:val="center"/>
              <w:rPr>
                <w:rFonts w:ascii="宋体" w:hAnsi="宋体" w:cs="宋体"/>
                <w:color w:val="000000"/>
                <w:kern w:val="0"/>
                <w:sz w:val="22"/>
              </w:rPr>
            </w:pPr>
            <w:r>
              <w:rPr>
                <w:rFonts w:ascii="宋体" w:hAnsi="宋体" w:cs="宋体" w:hint="eastAsia"/>
                <w:color w:val="000000"/>
                <w:kern w:val="0"/>
                <w:sz w:val="22"/>
                <w:szCs w:val="22"/>
              </w:rPr>
              <w:t>支付服务</w:t>
            </w:r>
          </w:p>
        </w:tc>
        <w:tc>
          <w:tcPr>
            <w:tcW w:w="3402" w:type="dxa"/>
            <w:vAlign w:val="center"/>
          </w:tcPr>
          <w:p w14:paraId="3995C43F" w14:textId="77777777"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APP认证支付</w:t>
            </w:r>
          </w:p>
        </w:tc>
        <w:tc>
          <w:tcPr>
            <w:tcW w:w="2693" w:type="dxa"/>
            <w:vAlign w:val="center"/>
          </w:tcPr>
          <w:p w14:paraId="4196829F" w14:textId="4DA89D0B"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 xml:space="preserve"> 0.2%，</w:t>
            </w:r>
            <w:r w:rsidR="00645478">
              <w:rPr>
                <w:rFonts w:ascii="宋体" w:hAnsi="宋体" w:cs="宋体"/>
                <w:color w:val="000000"/>
                <w:kern w:val="0"/>
                <w:sz w:val="22"/>
                <w:szCs w:val="22"/>
              </w:rPr>
              <w:t>2</w:t>
            </w:r>
            <w:r>
              <w:rPr>
                <w:rFonts w:ascii="宋体" w:hAnsi="宋体" w:cs="宋体" w:hint="eastAsia"/>
                <w:color w:val="000000"/>
                <w:kern w:val="0"/>
                <w:sz w:val="22"/>
                <w:szCs w:val="22"/>
              </w:rPr>
              <w:t>元起（初始费率）</w:t>
            </w:r>
          </w:p>
        </w:tc>
        <w:tc>
          <w:tcPr>
            <w:tcW w:w="1134" w:type="dxa"/>
            <w:vMerge w:val="restart"/>
            <w:vAlign w:val="center"/>
          </w:tcPr>
          <w:p w14:paraId="461DF084" w14:textId="19A8E938" w:rsidR="00444B8F" w:rsidRDefault="00645478" w:rsidP="004A596B">
            <w:pPr>
              <w:spacing w:line="360" w:lineRule="auto"/>
              <w:jc w:val="center"/>
              <w:rPr>
                <w:rFonts w:ascii="宋体" w:hAnsi="宋体" w:cs="宋体"/>
                <w:color w:val="000000"/>
                <w:szCs w:val="21"/>
              </w:rPr>
            </w:pPr>
            <w:r w:rsidRPr="00DC5FCD">
              <w:rPr>
                <w:rFonts w:ascii="宋体" w:hAnsi="宋体" w:hint="eastAsia"/>
                <w:color w:val="000000"/>
                <w:szCs w:val="21"/>
              </w:rPr>
              <w:sym w:font="Wingdings" w:char="F0FE"/>
            </w:r>
          </w:p>
        </w:tc>
      </w:tr>
      <w:tr w:rsidR="00444B8F" w14:paraId="302614E4" w14:textId="77777777" w:rsidTr="00645478">
        <w:trPr>
          <w:trHeight w:val="802"/>
        </w:trPr>
        <w:tc>
          <w:tcPr>
            <w:tcW w:w="1291" w:type="dxa"/>
            <w:vMerge/>
            <w:vAlign w:val="center"/>
          </w:tcPr>
          <w:p w14:paraId="07ED4FC8" w14:textId="77777777" w:rsidR="00444B8F" w:rsidRDefault="00444B8F" w:rsidP="004A596B">
            <w:pPr>
              <w:spacing w:line="360" w:lineRule="auto"/>
              <w:jc w:val="center"/>
              <w:rPr>
                <w:rFonts w:ascii="宋体" w:hAnsi="宋体" w:cs="宋体"/>
                <w:color w:val="000000"/>
                <w:kern w:val="0"/>
                <w:sz w:val="22"/>
              </w:rPr>
            </w:pPr>
          </w:p>
        </w:tc>
        <w:tc>
          <w:tcPr>
            <w:tcW w:w="3402" w:type="dxa"/>
            <w:vAlign w:val="center"/>
          </w:tcPr>
          <w:p w14:paraId="361A59BD" w14:textId="77777777"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APP认证支付</w:t>
            </w:r>
          </w:p>
          <w:p w14:paraId="2BF17656" w14:textId="47B7C9DC" w:rsidR="00444B8F" w:rsidRDefault="00444B8F" w:rsidP="00645478">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（T月交易量＜1000万</w:t>
            </w:r>
          </w:p>
        </w:tc>
        <w:tc>
          <w:tcPr>
            <w:tcW w:w="2693" w:type="dxa"/>
            <w:vAlign w:val="center"/>
          </w:tcPr>
          <w:p w14:paraId="69559070" w14:textId="2FB99E5A"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0.2%，</w:t>
            </w:r>
            <w:r w:rsidR="00645478">
              <w:rPr>
                <w:rFonts w:ascii="宋体" w:hAnsi="宋体" w:cs="宋体"/>
                <w:color w:val="000000"/>
                <w:kern w:val="0"/>
                <w:sz w:val="22"/>
                <w:szCs w:val="22"/>
              </w:rPr>
              <w:t>2</w:t>
            </w:r>
            <w:r>
              <w:rPr>
                <w:rFonts w:ascii="宋体" w:hAnsi="宋体" w:cs="宋体" w:hint="eastAsia"/>
                <w:color w:val="000000"/>
                <w:kern w:val="0"/>
                <w:sz w:val="22"/>
                <w:szCs w:val="22"/>
              </w:rPr>
              <w:t>元起（T+1月）</w:t>
            </w:r>
          </w:p>
        </w:tc>
        <w:tc>
          <w:tcPr>
            <w:tcW w:w="1134" w:type="dxa"/>
            <w:vMerge/>
            <w:vAlign w:val="center"/>
          </w:tcPr>
          <w:p w14:paraId="129318AB" w14:textId="77777777" w:rsidR="00444B8F" w:rsidRDefault="00444B8F" w:rsidP="004A596B">
            <w:pPr>
              <w:spacing w:line="360" w:lineRule="auto"/>
              <w:jc w:val="center"/>
              <w:rPr>
                <w:rFonts w:ascii="宋体" w:hAnsi="宋体" w:cs="宋体"/>
                <w:color w:val="000000"/>
                <w:szCs w:val="21"/>
              </w:rPr>
            </w:pPr>
          </w:p>
        </w:tc>
      </w:tr>
      <w:tr w:rsidR="00444B8F" w14:paraId="59808D57" w14:textId="77777777" w:rsidTr="00645478">
        <w:trPr>
          <w:trHeight w:val="402"/>
        </w:trPr>
        <w:tc>
          <w:tcPr>
            <w:tcW w:w="1291" w:type="dxa"/>
            <w:vMerge/>
            <w:vAlign w:val="center"/>
          </w:tcPr>
          <w:p w14:paraId="3FFC2E38" w14:textId="77777777" w:rsidR="00444B8F" w:rsidRDefault="00444B8F" w:rsidP="004A596B">
            <w:pPr>
              <w:spacing w:line="360" w:lineRule="auto"/>
              <w:jc w:val="center"/>
              <w:rPr>
                <w:rFonts w:ascii="宋体" w:hAnsi="宋体" w:cs="宋体"/>
                <w:color w:val="000000"/>
                <w:kern w:val="0"/>
                <w:sz w:val="22"/>
              </w:rPr>
            </w:pPr>
          </w:p>
        </w:tc>
        <w:tc>
          <w:tcPr>
            <w:tcW w:w="3402" w:type="dxa"/>
            <w:vAlign w:val="center"/>
          </w:tcPr>
          <w:p w14:paraId="4885E772" w14:textId="77777777"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APP认证支付</w:t>
            </w:r>
          </w:p>
          <w:p w14:paraId="540CD6BB" w14:textId="0007D660" w:rsidR="00444B8F" w:rsidRDefault="00444B8F" w:rsidP="00645478">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（1000万≤T月交易量＜5000万</w:t>
            </w:r>
          </w:p>
        </w:tc>
        <w:tc>
          <w:tcPr>
            <w:tcW w:w="2693" w:type="dxa"/>
            <w:vAlign w:val="center"/>
          </w:tcPr>
          <w:p w14:paraId="0B96A75E" w14:textId="41A5BC42"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0.18%，</w:t>
            </w:r>
            <w:r w:rsidR="00645478">
              <w:rPr>
                <w:rFonts w:ascii="宋体" w:hAnsi="宋体" w:cs="宋体"/>
                <w:color w:val="000000"/>
                <w:kern w:val="0"/>
                <w:sz w:val="22"/>
                <w:szCs w:val="22"/>
              </w:rPr>
              <w:t>2</w:t>
            </w:r>
            <w:r>
              <w:rPr>
                <w:rFonts w:ascii="宋体" w:hAnsi="宋体" w:cs="宋体" w:hint="eastAsia"/>
                <w:color w:val="000000"/>
                <w:kern w:val="0"/>
                <w:sz w:val="22"/>
                <w:szCs w:val="22"/>
              </w:rPr>
              <w:t>元起（T+1月）</w:t>
            </w:r>
          </w:p>
        </w:tc>
        <w:tc>
          <w:tcPr>
            <w:tcW w:w="1134" w:type="dxa"/>
            <w:vMerge/>
            <w:vAlign w:val="center"/>
          </w:tcPr>
          <w:p w14:paraId="2D9F760D" w14:textId="77777777" w:rsidR="00444B8F" w:rsidRDefault="00444B8F" w:rsidP="004A596B">
            <w:pPr>
              <w:spacing w:line="360" w:lineRule="auto"/>
              <w:jc w:val="center"/>
              <w:rPr>
                <w:rFonts w:ascii="宋体" w:hAnsi="宋体" w:cs="宋体"/>
                <w:color w:val="000000"/>
                <w:szCs w:val="21"/>
              </w:rPr>
            </w:pPr>
          </w:p>
        </w:tc>
      </w:tr>
      <w:tr w:rsidR="00444B8F" w14:paraId="4F2BF412" w14:textId="77777777" w:rsidTr="00645478">
        <w:trPr>
          <w:trHeight w:val="575"/>
        </w:trPr>
        <w:tc>
          <w:tcPr>
            <w:tcW w:w="1291" w:type="dxa"/>
            <w:vMerge/>
            <w:vAlign w:val="center"/>
          </w:tcPr>
          <w:p w14:paraId="33BB1A6C" w14:textId="77777777" w:rsidR="00444B8F" w:rsidRDefault="00444B8F" w:rsidP="004A596B">
            <w:pPr>
              <w:widowControl/>
              <w:spacing w:line="360" w:lineRule="auto"/>
              <w:jc w:val="center"/>
              <w:rPr>
                <w:rFonts w:ascii="宋体" w:hAnsi="宋体" w:cs="宋体"/>
                <w:color w:val="000000"/>
                <w:kern w:val="0"/>
                <w:sz w:val="22"/>
              </w:rPr>
            </w:pPr>
          </w:p>
        </w:tc>
        <w:tc>
          <w:tcPr>
            <w:tcW w:w="3402" w:type="dxa"/>
            <w:vAlign w:val="center"/>
          </w:tcPr>
          <w:p w14:paraId="2BF17694" w14:textId="77777777"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APP认证支付</w:t>
            </w:r>
          </w:p>
          <w:p w14:paraId="695EE155" w14:textId="77777777"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（T月交易量≥5000万）</w:t>
            </w:r>
          </w:p>
        </w:tc>
        <w:tc>
          <w:tcPr>
            <w:tcW w:w="2693" w:type="dxa"/>
            <w:vAlign w:val="center"/>
          </w:tcPr>
          <w:p w14:paraId="77F76459" w14:textId="2BB158CE" w:rsidR="00444B8F" w:rsidRDefault="00444B8F" w:rsidP="004A596B">
            <w:pPr>
              <w:spacing w:line="360" w:lineRule="auto"/>
              <w:ind w:left="15"/>
              <w:jc w:val="center"/>
              <w:rPr>
                <w:rFonts w:ascii="宋体" w:hAnsi="宋体" w:cs="宋体"/>
                <w:color w:val="000000"/>
                <w:kern w:val="0"/>
                <w:sz w:val="22"/>
              </w:rPr>
            </w:pPr>
            <w:r>
              <w:rPr>
                <w:rFonts w:ascii="宋体" w:hAnsi="宋体" w:cs="宋体" w:hint="eastAsia"/>
                <w:color w:val="000000"/>
                <w:kern w:val="0"/>
                <w:sz w:val="22"/>
                <w:szCs w:val="22"/>
              </w:rPr>
              <w:t>0.15%，</w:t>
            </w:r>
            <w:r w:rsidR="00645478">
              <w:rPr>
                <w:rFonts w:ascii="宋体" w:hAnsi="宋体" w:cs="宋体"/>
                <w:color w:val="000000"/>
                <w:kern w:val="0"/>
                <w:sz w:val="22"/>
                <w:szCs w:val="22"/>
              </w:rPr>
              <w:t>2</w:t>
            </w:r>
            <w:r>
              <w:rPr>
                <w:rFonts w:ascii="宋体" w:hAnsi="宋体" w:cs="宋体" w:hint="eastAsia"/>
                <w:color w:val="000000"/>
                <w:kern w:val="0"/>
                <w:sz w:val="22"/>
                <w:szCs w:val="22"/>
              </w:rPr>
              <w:t>元起（T+1月）</w:t>
            </w:r>
          </w:p>
        </w:tc>
        <w:tc>
          <w:tcPr>
            <w:tcW w:w="1134" w:type="dxa"/>
            <w:vMerge/>
            <w:vAlign w:val="center"/>
          </w:tcPr>
          <w:p w14:paraId="68D1AECE" w14:textId="77777777" w:rsidR="00444B8F" w:rsidRDefault="00444B8F" w:rsidP="004A596B">
            <w:pPr>
              <w:widowControl/>
              <w:spacing w:line="360" w:lineRule="auto"/>
              <w:jc w:val="center"/>
              <w:rPr>
                <w:rFonts w:ascii="宋体" w:hAnsi="宋体" w:cs="宋体"/>
                <w:color w:val="000000"/>
                <w:kern w:val="0"/>
                <w:sz w:val="22"/>
              </w:rPr>
            </w:pPr>
          </w:p>
        </w:tc>
      </w:tr>
      <w:tr w:rsidR="00645478" w14:paraId="7F35A8C5" w14:textId="77777777" w:rsidTr="00645478">
        <w:trPr>
          <w:trHeight w:val="575"/>
        </w:trPr>
        <w:tc>
          <w:tcPr>
            <w:tcW w:w="1291" w:type="dxa"/>
            <w:vMerge w:val="restart"/>
            <w:vAlign w:val="center"/>
          </w:tcPr>
          <w:p w14:paraId="665AE298" w14:textId="365D254D" w:rsidR="00645478" w:rsidRDefault="00645478" w:rsidP="004A596B">
            <w:pPr>
              <w:widowControl/>
              <w:spacing w:line="360" w:lineRule="auto"/>
              <w:jc w:val="center"/>
              <w:rPr>
                <w:rFonts w:ascii="宋体" w:hAnsi="宋体" w:cs="宋体"/>
                <w:color w:val="000000"/>
                <w:kern w:val="0"/>
                <w:sz w:val="22"/>
              </w:rPr>
            </w:pPr>
            <w:r w:rsidRPr="00DC5FCD">
              <w:rPr>
                <w:rFonts w:ascii="宋体" w:hAnsi="宋体" w:cs="宋体" w:hint="eastAsia"/>
                <w:color w:val="000000"/>
                <w:kern w:val="0"/>
                <w:szCs w:val="21"/>
              </w:rPr>
              <w:t>WEB支付服务</w:t>
            </w:r>
          </w:p>
        </w:tc>
        <w:tc>
          <w:tcPr>
            <w:tcW w:w="3402" w:type="dxa"/>
            <w:vAlign w:val="center"/>
          </w:tcPr>
          <w:p w14:paraId="47B3DDC0" w14:textId="2E6CCB72" w:rsidR="00645478" w:rsidRDefault="00645478" w:rsidP="004A596B">
            <w:pPr>
              <w:spacing w:line="360" w:lineRule="auto"/>
              <w:ind w:left="15"/>
              <w:jc w:val="center"/>
              <w:rPr>
                <w:rFonts w:ascii="宋体" w:hAnsi="宋体" w:cs="宋体" w:hint="eastAsia"/>
                <w:color w:val="000000"/>
                <w:kern w:val="0"/>
                <w:sz w:val="22"/>
                <w:szCs w:val="22"/>
              </w:rPr>
            </w:pPr>
            <w:r w:rsidRPr="00DC5FCD">
              <w:rPr>
                <w:rFonts w:ascii="宋体" w:hAnsi="宋体" w:cs="宋体" w:hint="eastAsia"/>
                <w:color w:val="000000"/>
                <w:kern w:val="0"/>
                <w:szCs w:val="21"/>
              </w:rPr>
              <w:t xml:space="preserve">个人网银-借记卡                </w:t>
            </w:r>
          </w:p>
        </w:tc>
        <w:tc>
          <w:tcPr>
            <w:tcW w:w="2693" w:type="dxa"/>
            <w:vAlign w:val="center"/>
          </w:tcPr>
          <w:p w14:paraId="5A4EE43E" w14:textId="1EC5B167" w:rsidR="00645478" w:rsidRDefault="00645478" w:rsidP="004A596B">
            <w:pPr>
              <w:spacing w:line="360" w:lineRule="auto"/>
              <w:ind w:left="15"/>
              <w:jc w:val="center"/>
              <w:rPr>
                <w:rFonts w:ascii="宋体" w:hAnsi="宋体" w:cs="宋体" w:hint="eastAsia"/>
                <w:color w:val="000000"/>
                <w:kern w:val="0"/>
                <w:sz w:val="22"/>
                <w:szCs w:val="22"/>
              </w:rPr>
            </w:pPr>
            <w:r w:rsidRPr="00DC5FCD">
              <w:rPr>
                <w:rFonts w:ascii="宋体" w:hAnsi="宋体" w:cs="宋体" w:hint="eastAsia"/>
                <w:color w:val="000000"/>
                <w:kern w:val="0"/>
                <w:szCs w:val="21"/>
              </w:rPr>
              <w:t xml:space="preserve">  0.18%（初始费率）</w:t>
            </w:r>
          </w:p>
        </w:tc>
        <w:tc>
          <w:tcPr>
            <w:tcW w:w="1134" w:type="dxa"/>
            <w:vAlign w:val="center"/>
          </w:tcPr>
          <w:p w14:paraId="1F970208" w14:textId="21337FDB" w:rsidR="00645478" w:rsidRDefault="00645478" w:rsidP="004A596B">
            <w:pPr>
              <w:widowControl/>
              <w:spacing w:line="360" w:lineRule="auto"/>
              <w:jc w:val="center"/>
              <w:rPr>
                <w:rFonts w:ascii="宋体" w:hAnsi="宋体" w:cs="宋体"/>
                <w:color w:val="000000"/>
                <w:kern w:val="0"/>
                <w:sz w:val="22"/>
              </w:rPr>
            </w:pPr>
            <w:r w:rsidRPr="00DC5FCD">
              <w:rPr>
                <w:rFonts w:ascii="宋体" w:hAnsi="宋体" w:hint="eastAsia"/>
                <w:color w:val="000000"/>
                <w:szCs w:val="21"/>
              </w:rPr>
              <w:sym w:font="Wingdings" w:char="F0FE"/>
            </w:r>
          </w:p>
        </w:tc>
      </w:tr>
      <w:tr w:rsidR="00645478" w14:paraId="7C2410C0" w14:textId="77777777" w:rsidTr="00645478">
        <w:trPr>
          <w:trHeight w:val="575"/>
        </w:trPr>
        <w:tc>
          <w:tcPr>
            <w:tcW w:w="1291" w:type="dxa"/>
            <w:vMerge/>
            <w:vAlign w:val="center"/>
          </w:tcPr>
          <w:p w14:paraId="4FE26314" w14:textId="77777777" w:rsidR="00645478" w:rsidRPr="00DC5FCD" w:rsidRDefault="00645478" w:rsidP="004A596B">
            <w:pPr>
              <w:widowControl/>
              <w:spacing w:line="360" w:lineRule="auto"/>
              <w:jc w:val="center"/>
              <w:rPr>
                <w:rFonts w:ascii="宋体" w:hAnsi="宋体" w:cs="宋体" w:hint="eastAsia"/>
                <w:color w:val="000000"/>
                <w:kern w:val="0"/>
                <w:szCs w:val="21"/>
              </w:rPr>
            </w:pPr>
          </w:p>
        </w:tc>
        <w:tc>
          <w:tcPr>
            <w:tcW w:w="3402" w:type="dxa"/>
            <w:vAlign w:val="center"/>
          </w:tcPr>
          <w:p w14:paraId="3AFFE682" w14:textId="0EA39D13"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个人网银-借记卡                  （T月交易量＜500万）</w:t>
            </w:r>
          </w:p>
        </w:tc>
        <w:tc>
          <w:tcPr>
            <w:tcW w:w="2693" w:type="dxa"/>
            <w:vAlign w:val="center"/>
          </w:tcPr>
          <w:p w14:paraId="063AE6D1" w14:textId="35CD972D"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0.18%（T+1月）</w:t>
            </w:r>
          </w:p>
        </w:tc>
        <w:tc>
          <w:tcPr>
            <w:tcW w:w="1134" w:type="dxa"/>
            <w:vMerge w:val="restart"/>
            <w:vAlign w:val="center"/>
          </w:tcPr>
          <w:p w14:paraId="1CB58E62" w14:textId="57BA1AF4" w:rsidR="00645478" w:rsidRPr="00DC5FCD" w:rsidRDefault="00645478" w:rsidP="004A596B">
            <w:pPr>
              <w:widowControl/>
              <w:spacing w:line="360" w:lineRule="auto"/>
              <w:jc w:val="center"/>
              <w:rPr>
                <w:rFonts w:ascii="宋体" w:hAnsi="宋体" w:hint="eastAsia"/>
                <w:color w:val="000000"/>
                <w:szCs w:val="21"/>
              </w:rPr>
            </w:pPr>
            <w:r w:rsidRPr="00DC5FCD">
              <w:rPr>
                <w:rFonts w:ascii="宋体" w:hAnsi="宋体" w:hint="eastAsia"/>
                <w:color w:val="000000"/>
                <w:szCs w:val="21"/>
              </w:rPr>
              <w:sym w:font="Wingdings" w:char="F0FE"/>
            </w:r>
          </w:p>
        </w:tc>
      </w:tr>
      <w:tr w:rsidR="00645478" w14:paraId="7458DFD1" w14:textId="77777777" w:rsidTr="00645478">
        <w:trPr>
          <w:trHeight w:val="575"/>
        </w:trPr>
        <w:tc>
          <w:tcPr>
            <w:tcW w:w="1291" w:type="dxa"/>
            <w:vMerge/>
            <w:vAlign w:val="center"/>
          </w:tcPr>
          <w:p w14:paraId="18E6C1A3" w14:textId="77777777" w:rsidR="00645478" w:rsidRPr="00DC5FCD" w:rsidRDefault="00645478" w:rsidP="004A596B">
            <w:pPr>
              <w:widowControl/>
              <w:spacing w:line="360" w:lineRule="auto"/>
              <w:jc w:val="center"/>
              <w:rPr>
                <w:rFonts w:ascii="宋体" w:hAnsi="宋体" w:cs="宋体" w:hint="eastAsia"/>
                <w:color w:val="000000"/>
                <w:kern w:val="0"/>
                <w:szCs w:val="21"/>
              </w:rPr>
            </w:pPr>
          </w:p>
        </w:tc>
        <w:tc>
          <w:tcPr>
            <w:tcW w:w="3402" w:type="dxa"/>
            <w:vAlign w:val="center"/>
          </w:tcPr>
          <w:p w14:paraId="679F524B" w14:textId="108F3DAE"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个人网银-借记卡                  （500万≤T月交易量＜2000万）</w:t>
            </w:r>
          </w:p>
        </w:tc>
        <w:tc>
          <w:tcPr>
            <w:tcW w:w="2693" w:type="dxa"/>
            <w:vAlign w:val="center"/>
          </w:tcPr>
          <w:p w14:paraId="6624FD68" w14:textId="623DED4A"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0.15%（T+1月）</w:t>
            </w:r>
          </w:p>
        </w:tc>
        <w:tc>
          <w:tcPr>
            <w:tcW w:w="1134" w:type="dxa"/>
            <w:vMerge/>
            <w:vAlign w:val="center"/>
          </w:tcPr>
          <w:p w14:paraId="341A69C8" w14:textId="77777777" w:rsidR="00645478" w:rsidRPr="00DC5FCD" w:rsidRDefault="00645478" w:rsidP="004A596B">
            <w:pPr>
              <w:widowControl/>
              <w:spacing w:line="360" w:lineRule="auto"/>
              <w:jc w:val="center"/>
              <w:rPr>
                <w:rFonts w:ascii="宋体" w:hAnsi="宋体" w:hint="eastAsia"/>
                <w:color w:val="000000"/>
                <w:szCs w:val="21"/>
              </w:rPr>
            </w:pPr>
          </w:p>
        </w:tc>
      </w:tr>
      <w:tr w:rsidR="00645478" w14:paraId="2CDAEE6D" w14:textId="77777777" w:rsidTr="00645478">
        <w:trPr>
          <w:trHeight w:val="888"/>
        </w:trPr>
        <w:tc>
          <w:tcPr>
            <w:tcW w:w="1291" w:type="dxa"/>
            <w:vMerge/>
            <w:vAlign w:val="center"/>
          </w:tcPr>
          <w:p w14:paraId="47D627D4" w14:textId="77777777" w:rsidR="00645478" w:rsidRPr="00DC5FCD" w:rsidRDefault="00645478" w:rsidP="004A596B">
            <w:pPr>
              <w:widowControl/>
              <w:spacing w:line="360" w:lineRule="auto"/>
              <w:jc w:val="center"/>
              <w:rPr>
                <w:rFonts w:ascii="宋体" w:hAnsi="宋体" w:cs="宋体" w:hint="eastAsia"/>
                <w:color w:val="000000"/>
                <w:kern w:val="0"/>
                <w:szCs w:val="21"/>
              </w:rPr>
            </w:pPr>
          </w:p>
        </w:tc>
        <w:tc>
          <w:tcPr>
            <w:tcW w:w="3402" w:type="dxa"/>
            <w:vAlign w:val="center"/>
          </w:tcPr>
          <w:p w14:paraId="7DC2BBB1" w14:textId="65F9A0A4"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个人网银-借记卡                      （T月交易量≥2000万）</w:t>
            </w:r>
          </w:p>
        </w:tc>
        <w:tc>
          <w:tcPr>
            <w:tcW w:w="2693" w:type="dxa"/>
            <w:vAlign w:val="center"/>
          </w:tcPr>
          <w:p w14:paraId="32A760AD" w14:textId="349493A3" w:rsidR="00645478" w:rsidRPr="00DC5FCD" w:rsidRDefault="00645478" w:rsidP="004A596B">
            <w:pPr>
              <w:spacing w:line="360" w:lineRule="auto"/>
              <w:ind w:left="15"/>
              <w:jc w:val="center"/>
              <w:rPr>
                <w:rFonts w:ascii="宋体" w:hAnsi="宋体" w:cs="宋体" w:hint="eastAsia"/>
                <w:color w:val="000000"/>
                <w:kern w:val="0"/>
                <w:szCs w:val="21"/>
              </w:rPr>
            </w:pPr>
            <w:r w:rsidRPr="00DC5FCD">
              <w:rPr>
                <w:rFonts w:ascii="宋体" w:hAnsi="宋体" w:cs="宋体" w:hint="eastAsia"/>
                <w:color w:val="000000"/>
                <w:kern w:val="0"/>
                <w:szCs w:val="21"/>
              </w:rPr>
              <w:t>0.12%（T+1月）</w:t>
            </w:r>
          </w:p>
        </w:tc>
        <w:tc>
          <w:tcPr>
            <w:tcW w:w="1134" w:type="dxa"/>
            <w:vMerge/>
            <w:vAlign w:val="center"/>
          </w:tcPr>
          <w:p w14:paraId="5A348B90" w14:textId="77777777" w:rsidR="00645478" w:rsidRPr="00DC5FCD" w:rsidRDefault="00645478" w:rsidP="004A596B">
            <w:pPr>
              <w:widowControl/>
              <w:spacing w:line="360" w:lineRule="auto"/>
              <w:jc w:val="center"/>
              <w:rPr>
                <w:rFonts w:ascii="宋体" w:hAnsi="宋体" w:hint="eastAsia"/>
                <w:color w:val="000000"/>
                <w:szCs w:val="21"/>
              </w:rPr>
            </w:pPr>
          </w:p>
        </w:tc>
      </w:tr>
    </w:tbl>
    <w:p w14:paraId="4812D374" w14:textId="77777777" w:rsidR="006D594D" w:rsidRDefault="00211324" w:rsidP="00444B8F">
      <w:pPr>
        <w:spacing w:line="360" w:lineRule="auto"/>
        <w:rPr>
          <w:rFonts w:ascii="宋体" w:hAnsi="宋体" w:cs="宋体"/>
          <w:color w:val="000000"/>
          <w:szCs w:val="21"/>
        </w:rPr>
      </w:pPr>
      <w:r>
        <w:rPr>
          <w:rFonts w:ascii="宋体" w:hAnsi="宋体" w:cs="宋体" w:hint="eastAsia"/>
          <w:color w:val="000000"/>
          <w:szCs w:val="21"/>
        </w:rPr>
        <w:t>本合同一式二份，双方各执一份，自双方签署之日起生效。本补充协议为主协议的有效组成</w:t>
      </w:r>
      <w:r>
        <w:rPr>
          <w:rFonts w:ascii="宋体" w:hAnsi="宋体" w:cs="宋体" w:hint="eastAsia"/>
          <w:color w:val="000000"/>
          <w:szCs w:val="21"/>
        </w:rPr>
        <w:lastRenderedPageBreak/>
        <w:t xml:space="preserve">部分与主协议具有同等法律效力，主协议未约定的以本补充协议为准。  </w:t>
      </w:r>
    </w:p>
    <w:tbl>
      <w:tblPr>
        <w:tblW w:w="8522" w:type="dxa"/>
        <w:jc w:val="center"/>
        <w:tblLayout w:type="fixed"/>
        <w:tblLook w:val="04A0" w:firstRow="1" w:lastRow="0" w:firstColumn="1" w:lastColumn="0" w:noHBand="0" w:noVBand="1"/>
      </w:tblPr>
      <w:tblGrid>
        <w:gridCol w:w="4068"/>
        <w:gridCol w:w="4454"/>
      </w:tblGrid>
      <w:tr w:rsidR="006D594D" w14:paraId="5B17645C" w14:textId="77777777">
        <w:trPr>
          <w:jc w:val="center"/>
        </w:trPr>
        <w:tc>
          <w:tcPr>
            <w:tcW w:w="4068" w:type="dxa"/>
          </w:tcPr>
          <w:p w14:paraId="1546EFB8" w14:textId="77777777" w:rsidR="006D594D" w:rsidRDefault="00211324">
            <w:pPr>
              <w:spacing w:before="120" w:after="120" w:line="360" w:lineRule="auto"/>
              <w:rPr>
                <w:rFonts w:ascii="宋体" w:hAnsi="宋体" w:cs="宋体"/>
                <w:b/>
                <w:color w:val="000000"/>
                <w:szCs w:val="21"/>
              </w:rPr>
            </w:pPr>
            <w:r>
              <w:rPr>
                <w:rFonts w:ascii="宋体" w:hAnsi="宋体" w:cs="宋体" w:hint="eastAsia"/>
                <w:b/>
                <w:color w:val="000000"/>
                <w:szCs w:val="21"/>
              </w:rPr>
              <w:t>甲方：</w:t>
            </w:r>
          </w:p>
        </w:tc>
        <w:tc>
          <w:tcPr>
            <w:tcW w:w="4454" w:type="dxa"/>
          </w:tcPr>
          <w:p w14:paraId="5D6732DE" w14:textId="77777777" w:rsidR="006D594D" w:rsidRDefault="00211324" w:rsidP="00F84152">
            <w:pPr>
              <w:spacing w:before="120" w:after="120" w:line="360" w:lineRule="auto"/>
              <w:ind w:firstLineChars="150" w:firstLine="315"/>
              <w:rPr>
                <w:rFonts w:ascii="宋体" w:hAnsi="宋体" w:cs="宋体"/>
                <w:b/>
                <w:color w:val="000000"/>
                <w:szCs w:val="21"/>
              </w:rPr>
            </w:pPr>
            <w:r>
              <w:rPr>
                <w:rFonts w:ascii="宋体" w:hAnsi="宋体" w:cs="宋体" w:hint="eastAsia"/>
                <w:b/>
                <w:color w:val="000000"/>
                <w:szCs w:val="21"/>
              </w:rPr>
              <w:t>乙方：上海富友支付服务有限公司</w:t>
            </w:r>
          </w:p>
        </w:tc>
      </w:tr>
      <w:tr w:rsidR="006D594D" w14:paraId="342ED979" w14:textId="77777777">
        <w:trPr>
          <w:jc w:val="center"/>
        </w:trPr>
        <w:tc>
          <w:tcPr>
            <w:tcW w:w="4068" w:type="dxa"/>
          </w:tcPr>
          <w:p w14:paraId="2B7204F9" w14:textId="77777777" w:rsidR="006D594D" w:rsidRDefault="00211324">
            <w:pPr>
              <w:spacing w:before="120" w:after="120" w:line="360" w:lineRule="auto"/>
              <w:rPr>
                <w:rFonts w:ascii="宋体" w:hAnsi="宋体" w:cs="宋体"/>
                <w:color w:val="000000"/>
                <w:szCs w:val="21"/>
              </w:rPr>
            </w:pPr>
            <w:r>
              <w:rPr>
                <w:rFonts w:ascii="宋体" w:hAnsi="宋体" w:cs="宋体" w:hint="eastAsia"/>
                <w:color w:val="000000"/>
                <w:szCs w:val="21"/>
              </w:rPr>
              <w:t>（盖章）</w:t>
            </w:r>
          </w:p>
        </w:tc>
        <w:tc>
          <w:tcPr>
            <w:tcW w:w="4454" w:type="dxa"/>
          </w:tcPr>
          <w:p w14:paraId="50359F58" w14:textId="77777777" w:rsidR="006D594D" w:rsidRDefault="00211324" w:rsidP="0070368B">
            <w:pPr>
              <w:spacing w:before="120" w:after="120" w:line="360" w:lineRule="auto"/>
              <w:ind w:firstLineChars="100" w:firstLine="210"/>
              <w:rPr>
                <w:rFonts w:ascii="宋体" w:hAnsi="宋体" w:cs="宋体"/>
                <w:color w:val="000000"/>
                <w:szCs w:val="21"/>
              </w:rPr>
            </w:pPr>
            <w:r>
              <w:rPr>
                <w:rFonts w:ascii="宋体" w:hAnsi="宋体" w:cs="宋体" w:hint="eastAsia"/>
                <w:color w:val="000000"/>
                <w:szCs w:val="21"/>
              </w:rPr>
              <w:t>（盖章）</w:t>
            </w:r>
          </w:p>
        </w:tc>
      </w:tr>
      <w:tr w:rsidR="006D594D" w14:paraId="1B16E5EA" w14:textId="77777777">
        <w:trPr>
          <w:jc w:val="center"/>
        </w:trPr>
        <w:tc>
          <w:tcPr>
            <w:tcW w:w="4068" w:type="dxa"/>
          </w:tcPr>
          <w:p w14:paraId="0459BD05" w14:textId="77777777" w:rsidR="006D594D" w:rsidRDefault="00211324">
            <w:pPr>
              <w:spacing w:before="120" w:after="120" w:line="360" w:lineRule="auto"/>
              <w:rPr>
                <w:rFonts w:ascii="宋体" w:hAnsi="宋体" w:cs="宋体"/>
                <w:b/>
                <w:color w:val="000000"/>
                <w:szCs w:val="21"/>
              </w:rPr>
            </w:pPr>
            <w:r>
              <w:rPr>
                <w:rFonts w:ascii="宋体" w:hAnsi="宋体" w:cs="宋体" w:hint="eastAsia"/>
                <w:b/>
                <w:color w:val="000000"/>
                <w:szCs w:val="21"/>
              </w:rPr>
              <w:t>授权代表：</w:t>
            </w:r>
            <w:r>
              <w:rPr>
                <w:rFonts w:ascii="宋体" w:hAnsi="宋体" w:cs="宋体" w:hint="eastAsia"/>
                <w:b/>
                <w:color w:val="000000"/>
                <w:szCs w:val="21"/>
              </w:rPr>
              <w:tab/>
            </w:r>
            <w:r>
              <w:rPr>
                <w:rFonts w:ascii="宋体" w:hAnsi="宋体" w:cs="宋体" w:hint="eastAsia"/>
                <w:b/>
                <w:color w:val="000000"/>
                <w:szCs w:val="21"/>
              </w:rPr>
              <w:tab/>
            </w:r>
            <w:r>
              <w:rPr>
                <w:rFonts w:ascii="宋体" w:hAnsi="宋体" w:cs="宋体" w:hint="eastAsia"/>
                <w:b/>
                <w:color w:val="000000"/>
                <w:szCs w:val="21"/>
              </w:rPr>
              <w:tab/>
            </w:r>
            <w:r>
              <w:rPr>
                <w:rFonts w:ascii="宋体" w:hAnsi="宋体" w:cs="宋体" w:hint="eastAsia"/>
                <w:b/>
                <w:color w:val="000000"/>
                <w:szCs w:val="21"/>
              </w:rPr>
              <w:tab/>
            </w:r>
            <w:r>
              <w:rPr>
                <w:rFonts w:ascii="宋体" w:hAnsi="宋体" w:cs="宋体" w:hint="eastAsia"/>
                <w:b/>
                <w:color w:val="000000"/>
                <w:szCs w:val="21"/>
              </w:rPr>
              <w:tab/>
            </w:r>
          </w:p>
        </w:tc>
        <w:tc>
          <w:tcPr>
            <w:tcW w:w="4454" w:type="dxa"/>
          </w:tcPr>
          <w:p w14:paraId="01B515ED" w14:textId="77777777" w:rsidR="006D594D" w:rsidRDefault="00211324" w:rsidP="00F84152">
            <w:pPr>
              <w:spacing w:before="120" w:after="120" w:line="360" w:lineRule="auto"/>
              <w:ind w:firstLineChars="150" w:firstLine="315"/>
              <w:rPr>
                <w:rFonts w:ascii="宋体" w:hAnsi="宋体" w:cs="宋体"/>
                <w:b/>
                <w:color w:val="000000"/>
                <w:szCs w:val="21"/>
              </w:rPr>
            </w:pPr>
            <w:r>
              <w:rPr>
                <w:rFonts w:ascii="宋体" w:hAnsi="宋体" w:cs="宋体" w:hint="eastAsia"/>
                <w:b/>
                <w:color w:val="000000"/>
                <w:szCs w:val="21"/>
              </w:rPr>
              <w:t>授权代表：</w:t>
            </w:r>
          </w:p>
        </w:tc>
      </w:tr>
      <w:tr w:rsidR="006D594D" w14:paraId="6D44FFD2" w14:textId="77777777">
        <w:trPr>
          <w:jc w:val="center"/>
        </w:trPr>
        <w:tc>
          <w:tcPr>
            <w:tcW w:w="4068" w:type="dxa"/>
          </w:tcPr>
          <w:p w14:paraId="587EFA0E" w14:textId="77777777" w:rsidR="006D594D" w:rsidRDefault="00211324">
            <w:pPr>
              <w:spacing w:before="120" w:after="120" w:line="360" w:lineRule="auto"/>
              <w:rPr>
                <w:rFonts w:ascii="宋体" w:hAnsi="宋体" w:cs="宋体"/>
                <w:b/>
                <w:color w:val="000000"/>
                <w:szCs w:val="21"/>
              </w:rPr>
            </w:pPr>
            <w:r>
              <w:rPr>
                <w:rFonts w:ascii="宋体" w:hAnsi="宋体" w:cs="宋体" w:hint="eastAsia"/>
                <w:b/>
                <w:color w:val="000000"/>
                <w:szCs w:val="21"/>
              </w:rPr>
              <w:t>日期：</w:t>
            </w:r>
          </w:p>
        </w:tc>
        <w:tc>
          <w:tcPr>
            <w:tcW w:w="4454" w:type="dxa"/>
          </w:tcPr>
          <w:p w14:paraId="6A7D8ADC" w14:textId="2D76C4AE" w:rsidR="006D594D" w:rsidRDefault="00211324" w:rsidP="00444B8F">
            <w:pPr>
              <w:spacing w:before="120" w:after="120" w:line="360" w:lineRule="auto"/>
              <w:ind w:firstLineChars="150" w:firstLine="315"/>
              <w:rPr>
                <w:rFonts w:ascii="宋体" w:hAnsi="宋体" w:cs="宋体"/>
                <w:b/>
                <w:color w:val="000000"/>
                <w:szCs w:val="21"/>
              </w:rPr>
            </w:pPr>
            <w:r>
              <w:rPr>
                <w:rFonts w:ascii="宋体" w:hAnsi="宋体" w:cs="宋体" w:hint="eastAsia"/>
                <w:b/>
                <w:color w:val="000000"/>
                <w:szCs w:val="21"/>
              </w:rPr>
              <w:t xml:space="preserve">日期：  </w:t>
            </w:r>
          </w:p>
        </w:tc>
      </w:tr>
    </w:tbl>
    <w:p w14:paraId="0B171CB2" w14:textId="77777777" w:rsidR="006D594D" w:rsidRDefault="006D594D"/>
    <w:sectPr w:rsidR="006D594D" w:rsidSect="006D59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4E781" w14:textId="77777777" w:rsidR="007615B1" w:rsidRDefault="007615B1" w:rsidP="0070368B">
      <w:r>
        <w:separator/>
      </w:r>
    </w:p>
  </w:endnote>
  <w:endnote w:type="continuationSeparator" w:id="0">
    <w:p w14:paraId="26DFD8A8" w14:textId="77777777" w:rsidR="007615B1" w:rsidRDefault="007615B1" w:rsidP="0070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33024" w14:textId="77777777" w:rsidR="007615B1" w:rsidRDefault="007615B1" w:rsidP="0070368B">
      <w:r>
        <w:separator/>
      </w:r>
    </w:p>
  </w:footnote>
  <w:footnote w:type="continuationSeparator" w:id="0">
    <w:p w14:paraId="10266350" w14:textId="77777777" w:rsidR="007615B1" w:rsidRDefault="007615B1" w:rsidP="00703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8DA"/>
    <w:multiLevelType w:val="multilevel"/>
    <w:tmpl w:val="074A58DA"/>
    <w:lvl w:ilvl="0">
      <w:start w:val="1"/>
      <w:numFmt w:val="decimal"/>
      <w:lvlText w:val="%1."/>
      <w:lvlJc w:val="left"/>
      <w:pPr>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686544AF"/>
    <w:multiLevelType w:val="multilevel"/>
    <w:tmpl w:val="686544AF"/>
    <w:lvl w:ilvl="0">
      <w:start w:val="1"/>
      <w:numFmt w:val="japaneseCounting"/>
      <w:lvlText w:val="%1、"/>
      <w:lvlJc w:val="left"/>
      <w:pPr>
        <w:ind w:left="42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6D2021FA"/>
    <w:multiLevelType w:val="multilevel"/>
    <w:tmpl w:val="6D2021FA"/>
    <w:lvl w:ilvl="0">
      <w:start w:val="2"/>
      <w:numFmt w:val="japaneseCounting"/>
      <w:lvlText w:val="%1、"/>
      <w:lvlJc w:val="left"/>
      <w:pPr>
        <w:ind w:left="450" w:hanging="45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AEC"/>
    <w:rsid w:val="000202D3"/>
    <w:rsid w:val="00053269"/>
    <w:rsid w:val="00086AEC"/>
    <w:rsid w:val="000B0D71"/>
    <w:rsid w:val="000F2D08"/>
    <w:rsid w:val="000F4159"/>
    <w:rsid w:val="00150656"/>
    <w:rsid w:val="00195DEC"/>
    <w:rsid w:val="001E73B2"/>
    <w:rsid w:val="00211324"/>
    <w:rsid w:val="00282535"/>
    <w:rsid w:val="002F6449"/>
    <w:rsid w:val="00307D86"/>
    <w:rsid w:val="00315183"/>
    <w:rsid w:val="0036263D"/>
    <w:rsid w:val="00375D92"/>
    <w:rsid w:val="003C5384"/>
    <w:rsid w:val="00444B8F"/>
    <w:rsid w:val="004D73E8"/>
    <w:rsid w:val="005519FC"/>
    <w:rsid w:val="005967AE"/>
    <w:rsid w:val="005B07DC"/>
    <w:rsid w:val="005D6FE3"/>
    <w:rsid w:val="00645478"/>
    <w:rsid w:val="006B500C"/>
    <w:rsid w:val="006D594D"/>
    <w:rsid w:val="0070368B"/>
    <w:rsid w:val="0071411C"/>
    <w:rsid w:val="00725BA0"/>
    <w:rsid w:val="007615B1"/>
    <w:rsid w:val="0078220F"/>
    <w:rsid w:val="008D2784"/>
    <w:rsid w:val="008F29C9"/>
    <w:rsid w:val="00924BEF"/>
    <w:rsid w:val="009405C0"/>
    <w:rsid w:val="00957C3C"/>
    <w:rsid w:val="00981A21"/>
    <w:rsid w:val="00997CBD"/>
    <w:rsid w:val="009B6E8C"/>
    <w:rsid w:val="009B79F7"/>
    <w:rsid w:val="00A47624"/>
    <w:rsid w:val="00A54D41"/>
    <w:rsid w:val="00B42675"/>
    <w:rsid w:val="00BB01C4"/>
    <w:rsid w:val="00BB3974"/>
    <w:rsid w:val="00C216BC"/>
    <w:rsid w:val="00C21A44"/>
    <w:rsid w:val="00C47400"/>
    <w:rsid w:val="00CE47C7"/>
    <w:rsid w:val="00D603B4"/>
    <w:rsid w:val="00DD4374"/>
    <w:rsid w:val="00DF5DE7"/>
    <w:rsid w:val="00E40988"/>
    <w:rsid w:val="00EB1995"/>
    <w:rsid w:val="00F84152"/>
    <w:rsid w:val="00FB2DD1"/>
    <w:rsid w:val="095D32ED"/>
    <w:rsid w:val="0C815114"/>
    <w:rsid w:val="16BE5EF8"/>
    <w:rsid w:val="2A031B7E"/>
    <w:rsid w:val="350D0DB1"/>
    <w:rsid w:val="353436DA"/>
    <w:rsid w:val="37F66761"/>
    <w:rsid w:val="39F407A5"/>
    <w:rsid w:val="3D2D6CED"/>
    <w:rsid w:val="4B2A1C61"/>
    <w:rsid w:val="4B812670"/>
    <w:rsid w:val="55797948"/>
    <w:rsid w:val="658948A5"/>
    <w:rsid w:val="65E052B4"/>
    <w:rsid w:val="667B6071"/>
    <w:rsid w:val="677221C7"/>
    <w:rsid w:val="6DCE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2959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94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6D594D"/>
    <w:rPr>
      <w:b/>
      <w:bCs/>
    </w:rPr>
  </w:style>
  <w:style w:type="paragraph" w:styleId="a4">
    <w:name w:val="annotation text"/>
    <w:basedOn w:val="a"/>
    <w:link w:val="a6"/>
    <w:uiPriority w:val="99"/>
    <w:unhideWhenUsed/>
    <w:rsid w:val="006D594D"/>
    <w:pPr>
      <w:jc w:val="left"/>
    </w:pPr>
  </w:style>
  <w:style w:type="paragraph" w:styleId="a7">
    <w:name w:val="Balloon Text"/>
    <w:basedOn w:val="a"/>
    <w:link w:val="a8"/>
    <w:uiPriority w:val="99"/>
    <w:unhideWhenUsed/>
    <w:rsid w:val="006D594D"/>
    <w:rPr>
      <w:sz w:val="18"/>
      <w:szCs w:val="18"/>
    </w:rPr>
  </w:style>
  <w:style w:type="paragraph" w:styleId="a9">
    <w:name w:val="footer"/>
    <w:basedOn w:val="a"/>
    <w:link w:val="aa"/>
    <w:uiPriority w:val="99"/>
    <w:unhideWhenUsed/>
    <w:rsid w:val="006D594D"/>
    <w:pPr>
      <w:tabs>
        <w:tab w:val="center" w:pos="4153"/>
        <w:tab w:val="right" w:pos="8306"/>
      </w:tabs>
      <w:snapToGrid w:val="0"/>
      <w:jc w:val="left"/>
    </w:pPr>
    <w:rPr>
      <w:sz w:val="18"/>
      <w:szCs w:val="18"/>
    </w:rPr>
  </w:style>
  <w:style w:type="paragraph" w:styleId="ab">
    <w:name w:val="header"/>
    <w:basedOn w:val="a"/>
    <w:link w:val="ac"/>
    <w:uiPriority w:val="99"/>
    <w:unhideWhenUsed/>
    <w:rsid w:val="006D594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sid w:val="006D594D"/>
    <w:rPr>
      <w:sz w:val="21"/>
      <w:szCs w:val="21"/>
    </w:rPr>
  </w:style>
  <w:style w:type="paragraph" w:customStyle="1" w:styleId="1">
    <w:name w:val="列出段落1"/>
    <w:basedOn w:val="a"/>
    <w:uiPriority w:val="34"/>
    <w:qFormat/>
    <w:rsid w:val="006D594D"/>
    <w:pPr>
      <w:ind w:firstLineChars="200" w:firstLine="420"/>
    </w:pPr>
  </w:style>
  <w:style w:type="character" w:customStyle="1" w:styleId="ac">
    <w:name w:val="页眉字符"/>
    <w:basedOn w:val="a0"/>
    <w:link w:val="ab"/>
    <w:uiPriority w:val="99"/>
    <w:rsid w:val="006D594D"/>
    <w:rPr>
      <w:sz w:val="18"/>
      <w:szCs w:val="18"/>
    </w:rPr>
  </w:style>
  <w:style w:type="character" w:customStyle="1" w:styleId="aa">
    <w:name w:val="页脚字符"/>
    <w:basedOn w:val="a0"/>
    <w:link w:val="a9"/>
    <w:uiPriority w:val="99"/>
    <w:rsid w:val="006D594D"/>
    <w:rPr>
      <w:sz w:val="18"/>
      <w:szCs w:val="18"/>
    </w:rPr>
  </w:style>
  <w:style w:type="character" w:customStyle="1" w:styleId="a6">
    <w:name w:val="批注文字字符"/>
    <w:basedOn w:val="a0"/>
    <w:link w:val="a4"/>
    <w:uiPriority w:val="99"/>
    <w:semiHidden/>
    <w:rsid w:val="006D594D"/>
    <w:rPr>
      <w:rFonts w:ascii="Times New Roman" w:eastAsia="宋体" w:hAnsi="Times New Roman" w:cs="Times New Roman"/>
      <w:szCs w:val="24"/>
    </w:rPr>
  </w:style>
  <w:style w:type="character" w:customStyle="1" w:styleId="a5">
    <w:name w:val="批注主题字符"/>
    <w:basedOn w:val="a6"/>
    <w:link w:val="a3"/>
    <w:uiPriority w:val="99"/>
    <w:semiHidden/>
    <w:rsid w:val="006D594D"/>
    <w:rPr>
      <w:rFonts w:ascii="Times New Roman" w:eastAsia="宋体" w:hAnsi="Times New Roman" w:cs="Times New Roman"/>
      <w:b/>
      <w:bCs/>
      <w:szCs w:val="24"/>
    </w:rPr>
  </w:style>
  <w:style w:type="character" w:customStyle="1" w:styleId="a8">
    <w:name w:val="批注框文本字符"/>
    <w:basedOn w:val="a0"/>
    <w:link w:val="a7"/>
    <w:uiPriority w:val="99"/>
    <w:semiHidden/>
    <w:rsid w:val="006D594D"/>
    <w:rPr>
      <w:rFonts w:ascii="Times New Roman" w:eastAsia="宋体" w:hAnsi="Times New Roman" w:cs="Times New Roman"/>
      <w:sz w:val="18"/>
      <w:szCs w:val="18"/>
    </w:rPr>
  </w:style>
  <w:style w:type="paragraph" w:styleId="ae">
    <w:name w:val="List Paragraph"/>
    <w:basedOn w:val="a"/>
    <w:uiPriority w:val="99"/>
    <w:unhideWhenUsed/>
    <w:rsid w:val="00444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130</Words>
  <Characters>744</Characters>
  <Application>Microsoft Macintosh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富友金账户及支付服务协议补充协议</dc:title>
  <dc:creator>user</dc:creator>
  <cp:lastModifiedBy>Microsoft Office 用户</cp:lastModifiedBy>
  <cp:revision>2</cp:revision>
  <cp:lastPrinted>2015-09-06T02:17:00Z</cp:lastPrinted>
  <dcterms:created xsi:type="dcterms:W3CDTF">2016-06-17T03:34:00Z</dcterms:created>
  <dcterms:modified xsi:type="dcterms:W3CDTF">2016-06-17T03:34:00Z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