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951F6">
      <w:pPr>
        <w:keepNext/>
        <w:pBdr>
          <w:bottom w:val="single" w:color="B6862D" w:sz="12" w:space="10"/>
        </w:pBdr>
        <w:spacing w:before="2320" w:after="18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56"/>
        </w:rPr>
        <w:t>LNG计量仪屏幕菜单</w:t>
      </w:r>
    </w:p>
    <w:p w14:paraId="685F7A36">
      <w:pPr>
        <w:keepNext/>
        <w:spacing w:before="0" w:after="8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CPU2 V1.21.0.0 / CPU3 V1.19.0.0 / 共享协议版本 14</w:t>
      </w:r>
    </w:p>
    <w:p w14:paraId="78B5DBAA">
      <w:pPr>
        <w:keepNext/>
        <w:pBdr>
          <w:bottom w:val="single" w:color="D9E2EA" w:sz="4" w:space="4"/>
        </w:pBdr>
        <w:spacing w:before="0" w:after="46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更新日期：2026-07-02。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338"/>
      </w:tblGrid>
      <w:tr w14:paraId="563365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34D00C58">
            <w:pPr>
              <w:spacing w:before="0" w:after="0" w:line="247" w:lineRule="auto"/>
              <w:jc w:val="righ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文档编号</w:t>
            </w:r>
          </w:p>
        </w:tc>
        <w:tc>
          <w:tcPr>
            <w:tcW w:w="73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2C9BA81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CUBE-DOC-LNG-MENU</w:t>
            </w:r>
          </w:p>
        </w:tc>
      </w:tr>
      <w:tr w14:paraId="6B2F24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16834D13">
            <w:pPr>
              <w:spacing w:before="0" w:after="0" w:line="247" w:lineRule="auto"/>
              <w:jc w:val="righ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文档名称</w:t>
            </w:r>
          </w:p>
        </w:tc>
        <w:tc>
          <w:tcPr>
            <w:tcW w:w="73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55966CA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LNG计量仪屏幕菜单</w:t>
            </w:r>
          </w:p>
        </w:tc>
      </w:tr>
      <w:tr w14:paraId="54536B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4E07A360">
            <w:pPr>
              <w:spacing w:before="0" w:after="0" w:line="247" w:lineRule="auto"/>
              <w:jc w:val="righ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适用版本</w:t>
            </w:r>
          </w:p>
        </w:tc>
        <w:tc>
          <w:tcPr>
            <w:tcW w:w="73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69172EE9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CPU2 V1.21.0.0 / CPU3 V1.19.0.0 / 共享协议版本 14</w:t>
            </w:r>
          </w:p>
        </w:tc>
      </w:tr>
      <w:tr w14:paraId="554EC63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0FFBDE1E">
            <w:pPr>
              <w:spacing w:before="0" w:after="0" w:line="247" w:lineRule="auto"/>
              <w:jc w:val="righ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页面规格</w:t>
            </w:r>
          </w:p>
        </w:tc>
        <w:tc>
          <w:tcPr>
            <w:tcW w:w="73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6AB7205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A4 竖向</w:t>
            </w:r>
          </w:p>
        </w:tc>
      </w:tr>
      <w:tr w14:paraId="35AFC5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52E04C32">
            <w:pPr>
              <w:spacing w:before="0" w:after="0" w:line="247" w:lineRule="auto"/>
              <w:jc w:val="righ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文档状态</w:t>
            </w:r>
          </w:p>
        </w:tc>
        <w:tc>
          <w:tcPr>
            <w:tcW w:w="73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5A9B5D20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协议 14 维护版</w:t>
            </w:r>
          </w:p>
        </w:tc>
      </w:tr>
      <w:tr w14:paraId="056790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0D19ECBF">
            <w:pPr>
              <w:spacing w:before="0" w:after="0" w:line="247" w:lineRule="auto"/>
              <w:jc w:val="righ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版式</w:t>
            </w:r>
          </w:p>
        </w:tc>
        <w:tc>
          <w:tcPr>
            <w:tcW w:w="73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1727B1D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技术手册（A4 竖版）</w:t>
            </w:r>
          </w:p>
        </w:tc>
      </w:tr>
      <w:tr w14:paraId="0718C5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0B9D6DE7">
            <w:pPr>
              <w:spacing w:before="0" w:after="0" w:line="247" w:lineRule="auto"/>
              <w:jc w:val="righ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用途</w:t>
            </w:r>
          </w:p>
        </w:tc>
        <w:tc>
          <w:tcPr>
            <w:tcW w:w="73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30CADA9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现场调试、参数核对、版本归档</w:t>
            </w:r>
          </w:p>
        </w:tc>
      </w:tr>
    </w:tbl>
    <w:p w14:paraId="46641A3F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08286FB5">
      <w:pPr>
        <w:keepNext/>
        <w:pBdr>
          <w:left w:val="single" w:color="B6862D" w:sz="14" w:space="5"/>
          <w:bottom w:val="single" w:color="D9E2EA" w:sz="4" w:space="2"/>
        </w:pBdr>
        <w:spacing w:before="26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修订记录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4"/>
        <w:gridCol w:w="1631"/>
        <w:gridCol w:w="4689"/>
        <w:gridCol w:w="1914"/>
      </w:tblGrid>
      <w:tr w14:paraId="45DF5B2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0E5462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版本</w:t>
            </w:r>
          </w:p>
        </w:tc>
        <w:tc>
          <w:tcPr>
            <w:tcW w:w="1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21BB71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日期</w:t>
            </w:r>
          </w:p>
        </w:tc>
        <w:tc>
          <w:tcPr>
            <w:tcW w:w="46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F5CDEE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修订说明</w:t>
            </w:r>
          </w:p>
        </w:tc>
        <w:tc>
          <w:tcPr>
            <w:tcW w:w="19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F4FC2B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备注</w:t>
            </w:r>
          </w:p>
        </w:tc>
      </w:tr>
      <w:tr w14:paraId="1A1507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9E8480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V1.0</w:t>
            </w:r>
          </w:p>
        </w:tc>
        <w:tc>
          <w:tcPr>
            <w:tcW w:w="1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04EBD7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2026-06-17</w:t>
            </w:r>
          </w:p>
        </w:tc>
        <w:tc>
          <w:tcPr>
            <w:tcW w:w="46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3C1074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按 CPU2 V1.16.0.1 / CPU3 V1.15.0.2 和共享协议版本 10 整理屏幕菜单、参数配置及显示维护说明。</w:t>
            </w:r>
          </w:p>
        </w:tc>
        <w:tc>
          <w:tcPr>
            <w:tcW w:w="19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5A1833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发布版排版稿</w:t>
            </w:r>
          </w:p>
        </w:tc>
      </w:tr>
      <w:tr w14:paraId="2FC359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4" w:type="dxa"/>
          </w:tcPr>
          <w:p w14:paraId="0D2DBB8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V1.</w:t>
            </w:r>
            <w:r>
              <w:rPr>
                <w:rFonts w:hint="eastAsia" w:cs="宋体"/>
                <w:color w:val="auto"/>
                <w:sz w:val="17"/>
                <w:lang w:val="en-US" w:eastAsia="zh-CN"/>
              </w:rPr>
              <w:t>1</w:t>
            </w:r>
          </w:p>
        </w:tc>
        <w:tc>
          <w:tcPr>
            <w:tcW w:w="1631" w:type="dxa"/>
          </w:tcPr>
          <w:p w14:paraId="795196FB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2026-07-02</w:t>
            </w:r>
          </w:p>
        </w:tc>
        <w:tc>
          <w:tcPr>
            <w:tcW w:w="4689" w:type="dxa"/>
          </w:tcPr>
          <w:p w14:paraId="4499692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同步协议 14</w:t>
            </w:r>
            <w:r>
              <w:rPr>
                <w:rFonts w:hint="eastAsia" w:cs="宋体"/>
                <w:color w:val="auto"/>
                <w:sz w:val="17"/>
                <w:lang w:val="en-US" w:eastAsia="zh-CN"/>
              </w:rPr>
              <w:t>更改</w:t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t>。</w:t>
            </w:r>
          </w:p>
        </w:tc>
        <w:tc>
          <w:tcPr>
            <w:tcW w:w="1914" w:type="dxa"/>
          </w:tcPr>
          <w:p w14:paraId="6D9EA5E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协议 14 同步版</w:t>
            </w:r>
          </w:p>
        </w:tc>
      </w:tr>
    </w:tbl>
    <w:p w14:paraId="585B6712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111B261D">
      <w:pPr>
        <w:keepNext/>
        <w:pBdr>
          <w:left w:val="single" w:color="B6862D" w:sz="14" w:space="5"/>
          <w:bottom w:val="single" w:color="D9E2EA" w:sz="4" w:space="2"/>
        </w:pBdr>
        <w:spacing w:before="26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文档说明</w:t>
      </w:r>
    </w:p>
    <w:p w14:paraId="5BBBC0FC">
      <w:pPr>
        <w:spacing w:before="0" w:after="100" w:line="259" w:lineRule="auto"/>
        <w:ind w:left="227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0"/>
        </w:rPr>
        <w:t>本文件记录 LNG 计量仪 OLED 屏幕菜单、参数配置入口、显示项和维护页。</w:t>
      </w:r>
    </w:p>
    <w:p w14:paraId="07680741">
      <w:pPr>
        <w:spacing w:before="0" w:after="100" w:line="259" w:lineRule="auto"/>
        <w:ind w:left="227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通信协议另行维护；本文件只说明屏幕侧表现。</w:t>
      </w:r>
    </w:p>
    <w:p w14:paraId="7CDDD13E">
      <w:pPr>
        <w:spacing w:before="0" w:after="100" w:line="259" w:lineRule="auto"/>
        <w:ind w:left="227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0"/>
        </w:rPr>
        <w:t>括号内为 OLED 菜单短名；未加括号的名称与屏幕显示一致。</w:t>
      </w:r>
    </w:p>
    <w:p w14:paraId="20D4457E">
      <w:pPr>
        <w:keepNext/>
        <w:pageBreakBefore/>
        <w:pBdr>
          <w:left w:val="single" w:color="B6862D" w:sz="14" w:space="5"/>
          <w:bottom w:val="single" w:color="D9E2EA" w:sz="4" w:space="2"/>
        </w:pBdr>
        <w:spacing w:before="260" w:after="100" w:line="240" w:lineRule="auto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目录</w:t>
      </w:r>
    </w:p>
    <w:p w14:paraId="23F3CCC0">
      <w:pPr>
        <w:pStyle w:val="27"/>
        <w:tabs>
          <w:tab w:val="right" w:leader="dot" w:pos="9808"/>
        </w:tabs>
      </w:pPr>
      <w:r>
        <w:rPr>
          <w:color w:val="auto"/>
        </w:rPr>
        <w:fldChar w:fldCharType="begin"/>
      </w:r>
      <w:r>
        <w:rPr>
          <w:color w:val="auto"/>
        </w:rPr>
        <w:instrText xml:space="preserve"> TOC \o "1-3" \h \z \u </w:instrText>
      </w:r>
      <w:r>
        <w:rPr>
          <w:color w:val="auto"/>
        </w:rPr>
        <w:fldChar w:fldCharType="separate"/>
      </w:r>
      <w:r>
        <w:rPr>
          <w:color w:val="auto"/>
        </w:rPr>
        <w:fldChar w:fldCharType="begin"/>
      </w:r>
      <w:r>
        <w:instrText xml:space="preserve"> HYPERLINK \l _Toc13229 </w:instrText>
      </w:r>
      <w:r>
        <w:fldChar w:fldCharType="separate"/>
      </w:r>
      <w:r>
        <w:rPr>
          <w:rFonts w:hint="eastAsia" w:ascii="宋体" w:hAnsi="宋体" w:eastAsia="宋体" w:cs="宋体"/>
        </w:rPr>
        <w:t>一、进入方式与按键逻辑</w:t>
      </w:r>
      <w:r>
        <w:tab/>
      </w:r>
      <w:r>
        <w:fldChar w:fldCharType="begin"/>
      </w:r>
      <w:r>
        <w:instrText xml:space="preserve"> PAGEREF _Toc13229 \h </w:instrText>
      </w:r>
      <w:r>
        <w:fldChar w:fldCharType="separate"/>
      </w:r>
      <w:r>
        <w:t>3</w:t>
      </w:r>
      <w:r>
        <w:fldChar w:fldCharType="end"/>
      </w:r>
      <w:r>
        <w:rPr>
          <w:color w:val="auto"/>
        </w:rPr>
        <w:fldChar w:fldCharType="end"/>
      </w:r>
    </w:p>
    <w:p w14:paraId="1584A6A8">
      <w:pPr>
        <w:pStyle w:val="30"/>
        <w:tabs>
          <w:tab w:val="right" w:leader="dot" w:pos="9808"/>
        </w:tabs>
      </w:pPr>
      <w:r>
        <w:rPr>
          <w:color w:val="auto"/>
        </w:rPr>
        <w:fldChar w:fldCharType="begin"/>
      </w:r>
      <w:r>
        <w:instrText xml:space="preserve"> HYPERLINK \l _Toc22131 </w:instrText>
      </w:r>
      <w:r>
        <w:fldChar w:fldCharType="separate"/>
      </w:r>
      <w:r>
        <w:rPr>
          <w:rFonts w:hint="eastAsia" w:ascii="宋体" w:hAnsi="宋体" w:eastAsia="宋体" w:cs="宋体"/>
        </w:rPr>
        <w:t>1.1 菜单动作术语</w:t>
      </w:r>
      <w:r>
        <w:tab/>
      </w:r>
      <w:r>
        <w:fldChar w:fldCharType="begin"/>
      </w:r>
      <w:r>
        <w:instrText xml:space="preserve"> PAGEREF _Toc22131 \h </w:instrText>
      </w:r>
      <w:r>
        <w:fldChar w:fldCharType="separate"/>
      </w:r>
      <w:r>
        <w:t>3</w:t>
      </w:r>
      <w:r>
        <w:fldChar w:fldCharType="end"/>
      </w:r>
      <w:r>
        <w:rPr>
          <w:color w:val="auto"/>
        </w:rPr>
        <w:fldChar w:fldCharType="end"/>
      </w:r>
    </w:p>
    <w:p w14:paraId="2BD36EEC">
      <w:pPr>
        <w:pStyle w:val="27"/>
        <w:tabs>
          <w:tab w:val="right" w:leader="dot" w:pos="9808"/>
        </w:tabs>
      </w:pPr>
      <w:r>
        <w:rPr>
          <w:color w:val="auto"/>
        </w:rPr>
        <w:fldChar w:fldCharType="begin"/>
      </w:r>
      <w:r>
        <w:instrText xml:space="preserve"> HYPERLINK \l _Toc14014 </w:instrText>
      </w:r>
      <w:r>
        <w:fldChar w:fldCharType="separate"/>
      </w:r>
      <w:r>
        <w:rPr>
          <w:rFonts w:hint="eastAsia" w:ascii="宋体" w:hAnsi="宋体" w:eastAsia="宋体" w:cs="宋体"/>
        </w:rPr>
        <w:t>二、主界面显示项</w:t>
      </w:r>
      <w:r>
        <w:tab/>
      </w:r>
      <w:r>
        <w:fldChar w:fldCharType="begin"/>
      </w:r>
      <w:r>
        <w:instrText xml:space="preserve"> PAGEREF _Toc14014 \h </w:instrText>
      </w:r>
      <w:r>
        <w:fldChar w:fldCharType="separate"/>
      </w:r>
      <w:r>
        <w:t>3</w:t>
      </w:r>
      <w:r>
        <w:fldChar w:fldCharType="end"/>
      </w:r>
      <w:r>
        <w:rPr>
          <w:color w:val="auto"/>
        </w:rPr>
        <w:fldChar w:fldCharType="end"/>
      </w:r>
    </w:p>
    <w:p w14:paraId="38048B56">
      <w:pPr>
        <w:pStyle w:val="27"/>
        <w:tabs>
          <w:tab w:val="right" w:leader="dot" w:pos="9808"/>
        </w:tabs>
      </w:pPr>
      <w:r>
        <w:rPr>
          <w:color w:val="auto"/>
        </w:rPr>
        <w:fldChar w:fldCharType="begin"/>
      </w:r>
      <w:r>
        <w:instrText xml:space="preserve"> HYPERLINK \l _Toc26677 </w:instrText>
      </w:r>
      <w:r>
        <w:fldChar w:fldCharType="separate"/>
      </w:r>
      <w:r>
        <w:rPr>
          <w:rFonts w:hint="eastAsia" w:ascii="宋体" w:hAnsi="宋体" w:eastAsia="宋体" w:cs="宋体"/>
        </w:rPr>
        <w:t>三、菜单总览</w:t>
      </w:r>
      <w:r>
        <w:tab/>
      </w:r>
      <w:r>
        <w:fldChar w:fldCharType="begin"/>
      </w:r>
      <w:r>
        <w:instrText xml:space="preserve"> PAGEREF _Toc26677 \h </w:instrText>
      </w:r>
      <w:r>
        <w:fldChar w:fldCharType="separate"/>
      </w:r>
      <w:r>
        <w:t>4</w:t>
      </w:r>
      <w:r>
        <w:fldChar w:fldCharType="end"/>
      </w:r>
      <w:r>
        <w:rPr>
          <w:color w:val="auto"/>
        </w:rPr>
        <w:fldChar w:fldCharType="end"/>
      </w:r>
    </w:p>
    <w:p w14:paraId="7CDD62CB">
      <w:pPr>
        <w:pStyle w:val="27"/>
        <w:tabs>
          <w:tab w:val="right" w:leader="dot" w:pos="9808"/>
        </w:tabs>
      </w:pPr>
      <w:r>
        <w:rPr>
          <w:color w:val="auto"/>
        </w:rPr>
        <w:fldChar w:fldCharType="begin"/>
      </w:r>
      <w:r>
        <w:instrText xml:space="preserve"> HYPERLINK \l _Toc6200 </w:instrText>
      </w:r>
      <w:r>
        <w:fldChar w:fldCharType="separate"/>
      </w:r>
      <w:r>
        <w:rPr>
          <w:rFonts w:hint="eastAsia" w:ascii="宋体" w:hAnsi="宋体" w:eastAsia="宋体" w:cs="宋体"/>
        </w:rPr>
        <w:t>四、测量命令菜单</w:t>
      </w:r>
      <w:r>
        <w:tab/>
      </w:r>
      <w:r>
        <w:fldChar w:fldCharType="begin"/>
      </w:r>
      <w:r>
        <w:instrText xml:space="preserve"> PAGEREF _Toc6200 \h </w:instrText>
      </w:r>
      <w:r>
        <w:fldChar w:fldCharType="separate"/>
      </w:r>
      <w:r>
        <w:t>5</w:t>
      </w:r>
      <w:r>
        <w:fldChar w:fldCharType="end"/>
      </w:r>
      <w:r>
        <w:rPr>
          <w:color w:val="auto"/>
        </w:rPr>
        <w:fldChar w:fldCharType="end"/>
      </w:r>
    </w:p>
    <w:p w14:paraId="1784C8B9">
      <w:pPr>
        <w:pStyle w:val="27"/>
        <w:tabs>
          <w:tab w:val="right" w:leader="dot" w:pos="9808"/>
        </w:tabs>
      </w:pPr>
      <w:r>
        <w:rPr>
          <w:color w:val="auto"/>
        </w:rPr>
        <w:fldChar w:fldCharType="begin"/>
      </w:r>
      <w:r>
        <w:instrText xml:space="preserve"> HYPERLINK \l _Toc18599 </w:instrText>
      </w:r>
      <w:r>
        <w:fldChar w:fldCharType="separate"/>
      </w:r>
      <w:r>
        <w:rPr>
          <w:rFonts w:hint="eastAsia" w:ascii="宋体" w:hAnsi="宋体" w:eastAsia="宋体" w:cs="宋体"/>
        </w:rPr>
        <w:t>五、调试指令菜单</w:t>
      </w:r>
      <w:r>
        <w:tab/>
      </w:r>
      <w:r>
        <w:fldChar w:fldCharType="begin"/>
      </w:r>
      <w:r>
        <w:instrText xml:space="preserve"> PAGEREF _Toc18599 \h </w:instrText>
      </w:r>
      <w:r>
        <w:fldChar w:fldCharType="separate"/>
      </w:r>
      <w:r>
        <w:t>5</w:t>
      </w:r>
      <w:r>
        <w:fldChar w:fldCharType="end"/>
      </w:r>
      <w:r>
        <w:rPr>
          <w:color w:val="auto"/>
        </w:rPr>
        <w:fldChar w:fldCharType="end"/>
      </w:r>
    </w:p>
    <w:p w14:paraId="1B506CC7">
      <w:pPr>
        <w:pStyle w:val="27"/>
        <w:tabs>
          <w:tab w:val="right" w:leader="dot" w:pos="9808"/>
        </w:tabs>
      </w:pPr>
      <w:r>
        <w:rPr>
          <w:color w:val="auto"/>
        </w:rPr>
        <w:fldChar w:fldCharType="begin"/>
      </w:r>
      <w:r>
        <w:instrText xml:space="preserve"> HYPERLINK \l _Toc3296 </w:instrText>
      </w:r>
      <w:r>
        <w:fldChar w:fldCharType="separate"/>
      </w:r>
      <w:r>
        <w:rPr>
          <w:rFonts w:hint="eastAsia" w:ascii="宋体" w:hAnsi="宋体" w:eastAsia="宋体" w:cs="宋体"/>
        </w:rPr>
        <w:t>六、参数配置菜单</w:t>
      </w:r>
      <w:r>
        <w:tab/>
      </w:r>
      <w:r>
        <w:fldChar w:fldCharType="begin"/>
      </w:r>
      <w:r>
        <w:instrText xml:space="preserve"> PAGEREF _Toc3296 \h </w:instrText>
      </w:r>
      <w:r>
        <w:fldChar w:fldCharType="separate"/>
      </w:r>
      <w:r>
        <w:t>6</w:t>
      </w:r>
      <w:r>
        <w:fldChar w:fldCharType="end"/>
      </w:r>
      <w:r>
        <w:rPr>
          <w:color w:val="auto"/>
        </w:rPr>
        <w:fldChar w:fldCharType="end"/>
      </w:r>
    </w:p>
    <w:p w14:paraId="57EA9A8C">
      <w:pPr>
        <w:pStyle w:val="30"/>
        <w:tabs>
          <w:tab w:val="right" w:leader="dot" w:pos="9808"/>
        </w:tabs>
      </w:pPr>
      <w:r>
        <w:rPr>
          <w:color w:val="auto"/>
        </w:rPr>
        <w:fldChar w:fldCharType="begin"/>
      </w:r>
      <w:r>
        <w:instrText xml:space="preserve"> HYPERLINK \l _Toc15062 </w:instrText>
      </w:r>
      <w:r>
        <w:fldChar w:fldCharType="separate"/>
      </w:r>
      <w:r>
        <w:rPr>
          <w:rFonts w:hint="eastAsia" w:ascii="宋体" w:hAnsi="宋体" w:eastAsia="宋体" w:cs="宋体"/>
        </w:rPr>
        <w:t>6.1 测量参数 / 运行设置</w:t>
      </w:r>
      <w:r>
        <w:tab/>
      </w:r>
      <w:r>
        <w:fldChar w:fldCharType="begin"/>
      </w:r>
      <w:r>
        <w:instrText xml:space="preserve"> PAGEREF _Toc15062 \h </w:instrText>
      </w:r>
      <w:r>
        <w:fldChar w:fldCharType="separate"/>
      </w:r>
      <w:r>
        <w:t>7</w:t>
      </w:r>
      <w:r>
        <w:fldChar w:fldCharType="end"/>
      </w:r>
      <w:r>
        <w:rPr>
          <w:color w:val="auto"/>
        </w:rPr>
        <w:fldChar w:fldCharType="end"/>
      </w:r>
    </w:p>
    <w:p w14:paraId="76604A6E">
      <w:pPr>
        <w:pStyle w:val="30"/>
        <w:tabs>
          <w:tab w:val="right" w:leader="dot" w:pos="9808"/>
        </w:tabs>
      </w:pPr>
      <w:r>
        <w:rPr>
          <w:color w:val="auto"/>
        </w:rPr>
        <w:fldChar w:fldCharType="begin"/>
      </w:r>
      <w:r>
        <w:instrText xml:space="preserve"> HYPERLINK \l _Toc3971 </w:instrText>
      </w:r>
      <w:r>
        <w:fldChar w:fldCharType="separate"/>
      </w:r>
      <w:r>
        <w:rPr>
          <w:rFonts w:hint="eastAsia" w:ascii="宋体" w:hAnsi="宋体" w:eastAsia="宋体" w:cs="宋体"/>
        </w:rPr>
        <w:t>6.2 测量参数 / 电机与编码参数</w:t>
      </w:r>
      <w:r>
        <w:tab/>
      </w:r>
      <w:r>
        <w:fldChar w:fldCharType="begin"/>
      </w:r>
      <w:r>
        <w:instrText xml:space="preserve"> PAGEREF _Toc3971 \h </w:instrText>
      </w:r>
      <w:r>
        <w:fldChar w:fldCharType="separate"/>
      </w:r>
      <w:r>
        <w:t>7</w:t>
      </w:r>
      <w:r>
        <w:fldChar w:fldCharType="end"/>
      </w:r>
      <w:r>
        <w:rPr>
          <w:color w:val="auto"/>
        </w:rPr>
        <w:fldChar w:fldCharType="end"/>
      </w:r>
    </w:p>
    <w:p w14:paraId="35266C63">
      <w:pPr>
        <w:pStyle w:val="30"/>
        <w:tabs>
          <w:tab w:val="right" w:leader="dot" w:pos="9808"/>
        </w:tabs>
      </w:pPr>
      <w:r>
        <w:rPr>
          <w:color w:val="auto"/>
        </w:rPr>
        <w:fldChar w:fldCharType="begin"/>
      </w:r>
      <w:r>
        <w:instrText xml:space="preserve"> HYPERLINK \l _Toc19076 </w:instrText>
      </w:r>
      <w:r>
        <w:fldChar w:fldCharType="separate"/>
      </w:r>
      <w:r>
        <w:rPr>
          <w:rFonts w:hint="eastAsia" w:ascii="宋体" w:hAnsi="宋体" w:eastAsia="宋体" w:cs="宋体"/>
        </w:rPr>
        <w:t>6.3 测量参数 / 扭力参数</w:t>
      </w:r>
      <w:r>
        <w:tab/>
      </w:r>
      <w:r>
        <w:fldChar w:fldCharType="begin"/>
      </w:r>
      <w:r>
        <w:instrText xml:space="preserve"> PAGEREF _Toc19076 \h </w:instrText>
      </w:r>
      <w:r>
        <w:fldChar w:fldCharType="separate"/>
      </w:r>
      <w:r>
        <w:t>8</w:t>
      </w:r>
      <w:r>
        <w:fldChar w:fldCharType="end"/>
      </w:r>
      <w:r>
        <w:rPr>
          <w:color w:val="auto"/>
        </w:rPr>
        <w:fldChar w:fldCharType="end"/>
      </w:r>
    </w:p>
    <w:p w14:paraId="1FE2E229">
      <w:pPr>
        <w:pStyle w:val="30"/>
        <w:tabs>
          <w:tab w:val="right" w:leader="dot" w:pos="9808"/>
        </w:tabs>
      </w:pPr>
      <w:r>
        <w:rPr>
          <w:color w:val="auto"/>
        </w:rPr>
        <w:fldChar w:fldCharType="begin"/>
      </w:r>
      <w:r>
        <w:instrText xml:space="preserve"> HYPERLINK \l _Toc12377 </w:instrText>
      </w:r>
      <w:r>
        <w:fldChar w:fldCharType="separate"/>
      </w:r>
      <w:r>
        <w:rPr>
          <w:rFonts w:hint="eastAsia" w:ascii="宋体" w:hAnsi="宋体" w:eastAsia="宋体" w:cs="宋体"/>
        </w:rPr>
        <w:t>6.4 测量参数 / 零点参数</w:t>
      </w:r>
      <w:r>
        <w:tab/>
      </w:r>
      <w:r>
        <w:fldChar w:fldCharType="begin"/>
      </w:r>
      <w:r>
        <w:instrText xml:space="preserve"> PAGEREF _Toc12377 \h </w:instrText>
      </w:r>
      <w:r>
        <w:fldChar w:fldCharType="separate"/>
      </w:r>
      <w:r>
        <w:t>8</w:t>
      </w:r>
      <w:r>
        <w:fldChar w:fldCharType="end"/>
      </w:r>
      <w:r>
        <w:rPr>
          <w:color w:val="auto"/>
        </w:rPr>
        <w:fldChar w:fldCharType="end"/>
      </w:r>
    </w:p>
    <w:p w14:paraId="4CC533F9">
      <w:pPr>
        <w:pStyle w:val="30"/>
        <w:tabs>
          <w:tab w:val="right" w:leader="dot" w:pos="9808"/>
        </w:tabs>
      </w:pPr>
      <w:r>
        <w:rPr>
          <w:color w:val="auto"/>
        </w:rPr>
        <w:fldChar w:fldCharType="begin"/>
      </w:r>
      <w:r>
        <w:instrText xml:space="preserve"> HYPERLINK \l _Toc13440 </w:instrText>
      </w:r>
      <w:r>
        <w:fldChar w:fldCharType="separate"/>
      </w:r>
      <w:r>
        <w:rPr>
          <w:rFonts w:hint="eastAsia" w:ascii="宋体" w:hAnsi="宋体" w:eastAsia="宋体" w:cs="宋体"/>
        </w:rPr>
        <w:t>6.5 测量参数 / 液位参数</w:t>
      </w:r>
      <w:r>
        <w:tab/>
      </w:r>
      <w:r>
        <w:fldChar w:fldCharType="begin"/>
      </w:r>
      <w:r>
        <w:instrText xml:space="preserve"> PAGEREF _Toc13440 \h </w:instrText>
      </w:r>
      <w:r>
        <w:fldChar w:fldCharType="separate"/>
      </w:r>
      <w:r>
        <w:t>9</w:t>
      </w:r>
      <w:r>
        <w:fldChar w:fldCharType="end"/>
      </w:r>
      <w:r>
        <w:rPr>
          <w:color w:val="auto"/>
        </w:rPr>
        <w:fldChar w:fldCharType="end"/>
      </w:r>
    </w:p>
    <w:p w14:paraId="3D1896FF">
      <w:pPr>
        <w:pStyle w:val="30"/>
        <w:tabs>
          <w:tab w:val="right" w:leader="dot" w:pos="9808"/>
        </w:tabs>
      </w:pPr>
      <w:r>
        <w:rPr>
          <w:color w:val="auto"/>
        </w:rPr>
        <w:fldChar w:fldCharType="begin"/>
      </w:r>
      <w:r>
        <w:instrText xml:space="preserve"> HYPERLINK \l _Toc22664 </w:instrText>
      </w:r>
      <w:r>
        <w:fldChar w:fldCharType="separate"/>
      </w:r>
      <w:r>
        <w:rPr>
          <w:rFonts w:hint="eastAsia" w:ascii="宋体" w:hAnsi="宋体" w:eastAsia="宋体" w:cs="宋体"/>
        </w:rPr>
        <w:t>6.6 测量参数 / 水位参数</w:t>
      </w:r>
      <w:r>
        <w:tab/>
      </w:r>
      <w:r>
        <w:fldChar w:fldCharType="begin"/>
      </w:r>
      <w:r>
        <w:instrText xml:space="preserve"> PAGEREF _Toc22664 \h </w:instrText>
      </w:r>
      <w:r>
        <w:fldChar w:fldCharType="separate"/>
      </w:r>
      <w:r>
        <w:t>9</w:t>
      </w:r>
      <w:r>
        <w:fldChar w:fldCharType="end"/>
      </w:r>
      <w:r>
        <w:rPr>
          <w:color w:val="auto"/>
        </w:rPr>
        <w:fldChar w:fldCharType="end"/>
      </w:r>
    </w:p>
    <w:p w14:paraId="1355EB47">
      <w:pPr>
        <w:pStyle w:val="30"/>
        <w:tabs>
          <w:tab w:val="right" w:leader="dot" w:pos="9808"/>
        </w:tabs>
      </w:pPr>
      <w:r>
        <w:rPr>
          <w:color w:val="auto"/>
        </w:rPr>
        <w:fldChar w:fldCharType="begin"/>
      </w:r>
      <w:r>
        <w:instrText xml:space="preserve"> HYPERLINK \l _Toc9892 </w:instrText>
      </w:r>
      <w:r>
        <w:fldChar w:fldCharType="separate"/>
      </w:r>
      <w:r>
        <w:rPr>
          <w:rFonts w:hint="eastAsia" w:ascii="宋体" w:hAnsi="宋体" w:eastAsia="宋体" w:cs="宋体"/>
        </w:rPr>
        <w:t>6.7 测量参数 / 罐底与罐高</w:t>
      </w:r>
      <w:r>
        <w:tab/>
      </w:r>
      <w:r>
        <w:fldChar w:fldCharType="begin"/>
      </w:r>
      <w:r>
        <w:instrText xml:space="preserve"> PAGEREF _Toc9892 \h </w:instrText>
      </w:r>
      <w:r>
        <w:fldChar w:fldCharType="separate"/>
      </w:r>
      <w:r>
        <w:t>10</w:t>
      </w:r>
      <w:r>
        <w:fldChar w:fldCharType="end"/>
      </w:r>
      <w:r>
        <w:rPr>
          <w:color w:val="auto"/>
        </w:rPr>
        <w:fldChar w:fldCharType="end"/>
      </w:r>
    </w:p>
    <w:p w14:paraId="3882C000">
      <w:pPr>
        <w:pStyle w:val="30"/>
        <w:tabs>
          <w:tab w:val="right" w:leader="dot" w:pos="9808"/>
        </w:tabs>
      </w:pPr>
      <w:r>
        <w:rPr>
          <w:color w:val="auto"/>
        </w:rPr>
        <w:fldChar w:fldCharType="begin"/>
      </w:r>
      <w:r>
        <w:instrText xml:space="preserve"> HYPERLINK \l _Toc27305 </w:instrText>
      </w:r>
      <w:r>
        <w:fldChar w:fldCharType="separate"/>
      </w:r>
      <w:r>
        <w:rPr>
          <w:rFonts w:hint="eastAsia" w:ascii="宋体" w:hAnsi="宋体" w:eastAsia="宋体" w:cs="宋体"/>
        </w:rPr>
        <w:t>6.8 测量参数 / 密度测量参数</w:t>
      </w:r>
      <w:r>
        <w:tab/>
      </w:r>
      <w:r>
        <w:fldChar w:fldCharType="begin"/>
      </w:r>
      <w:r>
        <w:instrText xml:space="preserve"> PAGEREF _Toc27305 \h </w:instrText>
      </w:r>
      <w:r>
        <w:fldChar w:fldCharType="separate"/>
      </w:r>
      <w:r>
        <w:t>10</w:t>
      </w:r>
      <w:r>
        <w:fldChar w:fldCharType="end"/>
      </w:r>
      <w:r>
        <w:rPr>
          <w:color w:val="auto"/>
        </w:rPr>
        <w:fldChar w:fldCharType="end"/>
      </w:r>
    </w:p>
    <w:p w14:paraId="2AFC1E29">
      <w:pPr>
        <w:pStyle w:val="30"/>
        <w:tabs>
          <w:tab w:val="right" w:leader="dot" w:pos="9808"/>
        </w:tabs>
      </w:pPr>
      <w:r>
        <w:rPr>
          <w:color w:val="auto"/>
        </w:rPr>
        <w:fldChar w:fldCharType="begin"/>
      </w:r>
      <w:r>
        <w:instrText xml:space="preserve"> HYPERLINK \l _Toc15552 </w:instrText>
      </w:r>
      <w:r>
        <w:fldChar w:fldCharType="separate"/>
      </w:r>
      <w:r>
        <w:rPr>
          <w:rFonts w:hint="eastAsia" w:ascii="宋体" w:hAnsi="宋体" w:eastAsia="宋体" w:cs="宋体"/>
        </w:rPr>
        <w:t>6.9 测量参数 / Wartsila参数</w:t>
      </w:r>
      <w:r>
        <w:tab/>
      </w:r>
      <w:r>
        <w:fldChar w:fldCharType="begin"/>
      </w:r>
      <w:r>
        <w:instrText xml:space="preserve"> PAGEREF _Toc15552 \h </w:instrText>
      </w:r>
      <w:r>
        <w:fldChar w:fldCharType="separate"/>
      </w:r>
      <w:r>
        <w:t>11</w:t>
      </w:r>
      <w:r>
        <w:fldChar w:fldCharType="end"/>
      </w:r>
      <w:r>
        <w:rPr>
          <w:color w:val="auto"/>
        </w:rPr>
        <w:fldChar w:fldCharType="end"/>
      </w:r>
    </w:p>
    <w:p w14:paraId="575871CB">
      <w:pPr>
        <w:pStyle w:val="30"/>
        <w:tabs>
          <w:tab w:val="right" w:leader="dot" w:pos="9808"/>
        </w:tabs>
      </w:pPr>
      <w:r>
        <w:rPr>
          <w:color w:val="auto"/>
        </w:rPr>
        <w:fldChar w:fldCharType="begin"/>
      </w:r>
      <w:r>
        <w:instrText xml:space="preserve"> HYPERLINK \l _Toc12409 </w:instrText>
      </w:r>
      <w:r>
        <w:fldChar w:fldCharType="separate"/>
      </w:r>
      <w:r>
        <w:rPr>
          <w:rFonts w:hint="eastAsia" w:ascii="宋体" w:hAnsi="宋体" w:eastAsia="宋体" w:cs="宋体"/>
        </w:rPr>
        <w:t>6.10 测量参数 / SI参数</w:t>
      </w:r>
      <w:r>
        <w:tab/>
      </w:r>
      <w:r>
        <w:fldChar w:fldCharType="begin"/>
      </w:r>
      <w:r>
        <w:instrText xml:space="preserve"> PAGEREF _Toc12409 \h </w:instrText>
      </w:r>
      <w:r>
        <w:fldChar w:fldCharType="separate"/>
      </w:r>
      <w:r>
        <w:t>12</w:t>
      </w:r>
      <w:r>
        <w:fldChar w:fldCharType="end"/>
      </w:r>
      <w:r>
        <w:rPr>
          <w:color w:val="auto"/>
        </w:rPr>
        <w:fldChar w:fldCharType="end"/>
      </w:r>
    </w:p>
    <w:p w14:paraId="5873A5D4">
      <w:pPr>
        <w:pStyle w:val="24"/>
        <w:tabs>
          <w:tab w:val="right" w:leader="dot" w:pos="9808"/>
        </w:tabs>
      </w:pPr>
      <w:r>
        <w:rPr>
          <w:color w:val="auto"/>
        </w:rPr>
        <w:fldChar w:fldCharType="begin"/>
      </w:r>
      <w:r>
        <w:instrText xml:space="preserve"> HYPERLINK \l _Toc2567 </w:instrText>
      </w:r>
      <w:r>
        <w:fldChar w:fldCharType="separate"/>
      </w:r>
      <w:r>
        <w:rPr>
          <w:rFonts w:hint="eastAsia" w:ascii="宋体" w:hAnsi="宋体" w:eastAsia="宋体" w:cs="宋体"/>
        </w:rPr>
        <w:t>6.10.1 SI参数 / Profile参数</w:t>
      </w:r>
      <w:r>
        <w:tab/>
      </w:r>
      <w:r>
        <w:fldChar w:fldCharType="begin"/>
      </w:r>
      <w:r>
        <w:instrText xml:space="preserve"> PAGEREF _Toc2567 \h </w:instrText>
      </w:r>
      <w:r>
        <w:fldChar w:fldCharType="separate"/>
      </w:r>
      <w:r>
        <w:t>12</w:t>
      </w:r>
      <w:r>
        <w:fldChar w:fldCharType="end"/>
      </w:r>
      <w:r>
        <w:rPr>
          <w:color w:val="auto"/>
        </w:rPr>
        <w:fldChar w:fldCharType="end"/>
      </w:r>
    </w:p>
    <w:p w14:paraId="12AFB717">
      <w:pPr>
        <w:pStyle w:val="24"/>
        <w:tabs>
          <w:tab w:val="right" w:leader="dot" w:pos="9808"/>
        </w:tabs>
      </w:pPr>
      <w:r>
        <w:rPr>
          <w:color w:val="auto"/>
        </w:rPr>
        <w:fldChar w:fldCharType="begin"/>
      </w:r>
      <w:r>
        <w:instrText xml:space="preserve"> HYPERLINK \l _Toc18209 </w:instrText>
      </w:r>
      <w:r>
        <w:fldChar w:fldCharType="separate"/>
      </w:r>
      <w:r>
        <w:rPr>
          <w:rFonts w:hint="eastAsia" w:ascii="宋体" w:hAnsi="宋体" w:eastAsia="宋体" w:cs="宋体"/>
        </w:rPr>
        <w:t>6.10.2 SI参数 / 自动Profile</w:t>
      </w:r>
      <w:r>
        <w:tab/>
      </w:r>
      <w:r>
        <w:fldChar w:fldCharType="begin"/>
      </w:r>
      <w:r>
        <w:instrText xml:space="preserve"> PAGEREF _Toc18209 \h </w:instrText>
      </w:r>
      <w:r>
        <w:fldChar w:fldCharType="separate"/>
      </w:r>
      <w:r>
        <w:t>12</w:t>
      </w:r>
      <w:r>
        <w:fldChar w:fldCharType="end"/>
      </w:r>
      <w:r>
        <w:rPr>
          <w:color w:val="auto"/>
        </w:rPr>
        <w:fldChar w:fldCharType="end"/>
      </w:r>
    </w:p>
    <w:p w14:paraId="5CD32C72">
      <w:pPr>
        <w:pStyle w:val="24"/>
        <w:tabs>
          <w:tab w:val="right" w:leader="dot" w:pos="9808"/>
        </w:tabs>
      </w:pPr>
      <w:r>
        <w:rPr>
          <w:color w:val="auto"/>
        </w:rPr>
        <w:fldChar w:fldCharType="begin"/>
      </w:r>
      <w:r>
        <w:instrText xml:space="preserve"> HYPERLINK \l _Toc15030 </w:instrText>
      </w:r>
      <w:r>
        <w:fldChar w:fldCharType="separate"/>
      </w:r>
      <w:r>
        <w:rPr>
          <w:rFonts w:hint="eastAsia" w:ascii="宋体" w:hAnsi="宋体" w:eastAsia="宋体" w:cs="宋体"/>
        </w:rPr>
        <w:t>6.10.3 SI参数 / 报警限值</w:t>
      </w:r>
      <w:r>
        <w:tab/>
      </w:r>
      <w:r>
        <w:fldChar w:fldCharType="begin"/>
      </w:r>
      <w:r>
        <w:instrText xml:space="preserve"> PAGEREF _Toc15030 \h </w:instrText>
      </w:r>
      <w:r>
        <w:fldChar w:fldCharType="separate"/>
      </w:r>
      <w:r>
        <w:t>12</w:t>
      </w:r>
      <w:r>
        <w:fldChar w:fldCharType="end"/>
      </w:r>
      <w:r>
        <w:rPr>
          <w:color w:val="auto"/>
        </w:rPr>
        <w:fldChar w:fldCharType="end"/>
      </w:r>
    </w:p>
    <w:p w14:paraId="162F0569">
      <w:pPr>
        <w:pStyle w:val="30"/>
        <w:tabs>
          <w:tab w:val="right" w:leader="dot" w:pos="9808"/>
        </w:tabs>
      </w:pPr>
      <w:r>
        <w:rPr>
          <w:color w:val="auto"/>
        </w:rPr>
        <w:fldChar w:fldCharType="begin"/>
      </w:r>
      <w:r>
        <w:instrText xml:space="preserve"> HYPERLINK \l _Toc1724 </w:instrText>
      </w:r>
      <w:r>
        <w:fldChar w:fldCharType="separate"/>
      </w:r>
      <w:r>
        <w:rPr>
          <w:rFonts w:hint="eastAsia" w:ascii="宋体" w:hAnsi="宋体" w:eastAsia="宋体" w:cs="宋体"/>
        </w:rPr>
        <w:t>6.11 测量参数 / 修正参数</w:t>
      </w:r>
      <w:r>
        <w:tab/>
      </w:r>
      <w:r>
        <w:fldChar w:fldCharType="begin"/>
      </w:r>
      <w:r>
        <w:instrText xml:space="preserve"> PAGEREF _Toc1724 \h </w:instrText>
      </w:r>
      <w:r>
        <w:fldChar w:fldCharType="separate"/>
      </w:r>
      <w:r>
        <w:t>13</w:t>
      </w:r>
      <w:r>
        <w:fldChar w:fldCharType="end"/>
      </w:r>
      <w:r>
        <w:rPr>
          <w:color w:val="auto"/>
        </w:rPr>
        <w:fldChar w:fldCharType="end"/>
      </w:r>
    </w:p>
    <w:p w14:paraId="789357F8">
      <w:pPr>
        <w:pStyle w:val="30"/>
        <w:tabs>
          <w:tab w:val="right" w:leader="dot" w:pos="9808"/>
        </w:tabs>
      </w:pPr>
      <w:r>
        <w:rPr>
          <w:color w:val="auto"/>
        </w:rPr>
        <w:fldChar w:fldCharType="begin"/>
      </w:r>
      <w:r>
        <w:instrText xml:space="preserve"> HYPERLINK \l _Toc30728 </w:instrText>
      </w:r>
      <w:r>
        <w:fldChar w:fldCharType="separate"/>
      </w:r>
      <w:r>
        <w:rPr>
          <w:rFonts w:hint="eastAsia" w:ascii="宋体" w:hAnsi="宋体" w:eastAsia="宋体" w:cs="宋体"/>
        </w:rPr>
        <w:t>6.12 输出配置 / 继电器报警输出</w:t>
      </w:r>
      <w:r>
        <w:tab/>
      </w:r>
      <w:r>
        <w:fldChar w:fldCharType="begin"/>
      </w:r>
      <w:r>
        <w:instrText xml:space="preserve"> PAGEREF _Toc30728 \h </w:instrText>
      </w:r>
      <w:r>
        <w:fldChar w:fldCharType="separate"/>
      </w:r>
      <w:r>
        <w:t>13</w:t>
      </w:r>
      <w:r>
        <w:fldChar w:fldCharType="end"/>
      </w:r>
      <w:r>
        <w:rPr>
          <w:color w:val="auto"/>
        </w:rPr>
        <w:fldChar w:fldCharType="end"/>
      </w:r>
    </w:p>
    <w:p w14:paraId="7070DD89">
      <w:pPr>
        <w:pStyle w:val="30"/>
        <w:tabs>
          <w:tab w:val="right" w:leader="dot" w:pos="9808"/>
        </w:tabs>
      </w:pPr>
      <w:r>
        <w:rPr>
          <w:color w:val="auto"/>
        </w:rPr>
        <w:fldChar w:fldCharType="begin"/>
      </w:r>
      <w:r>
        <w:instrText xml:space="preserve"> HYPERLINK \l _Toc1792 </w:instrText>
      </w:r>
      <w:r>
        <w:fldChar w:fldCharType="separate"/>
      </w:r>
      <w:r>
        <w:rPr>
          <w:rFonts w:hint="eastAsia" w:ascii="宋体" w:hAnsi="宋体" w:eastAsia="宋体" w:cs="宋体"/>
        </w:rPr>
        <w:t>6.13 输出配置 / AO输出</w:t>
      </w:r>
      <w:r>
        <w:tab/>
      </w:r>
      <w:r>
        <w:fldChar w:fldCharType="begin"/>
      </w:r>
      <w:r>
        <w:instrText xml:space="preserve"> PAGEREF _Toc1792 \h </w:instrText>
      </w:r>
      <w:r>
        <w:fldChar w:fldCharType="separate"/>
      </w:r>
      <w:r>
        <w:t>17</w:t>
      </w:r>
      <w:r>
        <w:fldChar w:fldCharType="end"/>
      </w:r>
      <w:r>
        <w:rPr>
          <w:color w:val="auto"/>
        </w:rPr>
        <w:fldChar w:fldCharType="end"/>
      </w:r>
    </w:p>
    <w:p w14:paraId="6D127564">
      <w:pPr>
        <w:pStyle w:val="30"/>
        <w:tabs>
          <w:tab w:val="right" w:leader="dot" w:pos="9808"/>
        </w:tabs>
      </w:pPr>
      <w:r>
        <w:rPr>
          <w:color w:val="auto"/>
        </w:rPr>
        <w:fldChar w:fldCharType="begin"/>
      </w:r>
      <w:r>
        <w:instrText xml:space="preserve"> HYPERLINK \l _Toc18612 </w:instrText>
      </w:r>
      <w:r>
        <w:fldChar w:fldCharType="separate"/>
      </w:r>
      <w:r>
        <w:rPr>
          <w:rFonts w:hint="eastAsia" w:ascii="宋体" w:hAnsi="宋体" w:eastAsia="宋体" w:cs="宋体"/>
        </w:rPr>
        <w:t>6.14 通信设置 / COM1配置</w:t>
      </w:r>
      <w:r>
        <w:tab/>
      </w:r>
      <w:r>
        <w:fldChar w:fldCharType="begin"/>
      </w:r>
      <w:r>
        <w:instrText xml:space="preserve"> PAGEREF _Toc18612 \h </w:instrText>
      </w:r>
      <w:r>
        <w:fldChar w:fldCharType="separate"/>
      </w:r>
      <w:r>
        <w:t>18</w:t>
      </w:r>
      <w:r>
        <w:fldChar w:fldCharType="end"/>
      </w:r>
      <w:r>
        <w:rPr>
          <w:color w:val="auto"/>
        </w:rPr>
        <w:fldChar w:fldCharType="end"/>
      </w:r>
    </w:p>
    <w:p w14:paraId="1E4DC2FD">
      <w:pPr>
        <w:pStyle w:val="30"/>
        <w:tabs>
          <w:tab w:val="right" w:leader="dot" w:pos="9808"/>
        </w:tabs>
      </w:pPr>
      <w:r>
        <w:rPr>
          <w:color w:val="auto"/>
        </w:rPr>
        <w:fldChar w:fldCharType="begin"/>
      </w:r>
      <w:r>
        <w:instrText xml:space="preserve"> HYPERLINK \l _Toc12852 </w:instrText>
      </w:r>
      <w:r>
        <w:fldChar w:fldCharType="separate"/>
      </w:r>
      <w:r>
        <w:rPr>
          <w:rFonts w:hint="eastAsia" w:ascii="宋体" w:hAnsi="宋体" w:eastAsia="宋体" w:cs="宋体"/>
        </w:rPr>
        <w:t>6.15 通信设置 / COM2配置</w:t>
      </w:r>
      <w:r>
        <w:tab/>
      </w:r>
      <w:r>
        <w:fldChar w:fldCharType="begin"/>
      </w:r>
      <w:r>
        <w:instrText xml:space="preserve"> PAGEREF _Toc12852 \h </w:instrText>
      </w:r>
      <w:r>
        <w:fldChar w:fldCharType="separate"/>
      </w:r>
      <w:r>
        <w:t>19</w:t>
      </w:r>
      <w:r>
        <w:fldChar w:fldCharType="end"/>
      </w:r>
      <w:r>
        <w:rPr>
          <w:color w:val="auto"/>
        </w:rPr>
        <w:fldChar w:fldCharType="end"/>
      </w:r>
    </w:p>
    <w:p w14:paraId="35D7C7B1">
      <w:pPr>
        <w:pStyle w:val="30"/>
        <w:tabs>
          <w:tab w:val="right" w:leader="dot" w:pos="9808"/>
        </w:tabs>
      </w:pPr>
      <w:r>
        <w:rPr>
          <w:color w:val="auto"/>
        </w:rPr>
        <w:fldChar w:fldCharType="begin"/>
      </w:r>
      <w:r>
        <w:instrText xml:space="preserve"> HYPERLINK \l _Toc14991 </w:instrText>
      </w:r>
      <w:r>
        <w:fldChar w:fldCharType="separate"/>
      </w:r>
      <w:r>
        <w:rPr>
          <w:rFonts w:hint="eastAsia" w:ascii="宋体" w:hAnsi="宋体" w:eastAsia="宋体" w:cs="宋体"/>
        </w:rPr>
        <w:t>6.16 通信设置 / COM3配置</w:t>
      </w:r>
      <w:r>
        <w:tab/>
      </w:r>
      <w:r>
        <w:fldChar w:fldCharType="begin"/>
      </w:r>
      <w:r>
        <w:instrText xml:space="preserve"> PAGEREF _Toc14991 \h </w:instrText>
      </w:r>
      <w:r>
        <w:fldChar w:fldCharType="separate"/>
      </w:r>
      <w:r>
        <w:t>19</w:t>
      </w:r>
      <w:r>
        <w:fldChar w:fldCharType="end"/>
      </w:r>
      <w:r>
        <w:rPr>
          <w:color w:val="auto"/>
        </w:rPr>
        <w:fldChar w:fldCharType="end"/>
      </w:r>
    </w:p>
    <w:p w14:paraId="0B4F2AEE">
      <w:pPr>
        <w:pStyle w:val="30"/>
        <w:tabs>
          <w:tab w:val="right" w:leader="dot" w:pos="9808"/>
        </w:tabs>
      </w:pPr>
      <w:r>
        <w:rPr>
          <w:color w:val="auto"/>
        </w:rPr>
        <w:fldChar w:fldCharType="begin"/>
      </w:r>
      <w:r>
        <w:instrText xml:space="preserve"> HYPERLINK \l _Toc8412 </w:instrText>
      </w:r>
      <w:r>
        <w:fldChar w:fldCharType="separate"/>
      </w:r>
      <w:r>
        <w:rPr>
          <w:rFonts w:hint="eastAsia" w:ascii="宋体" w:hAnsi="宋体" w:eastAsia="宋体" w:cs="宋体"/>
        </w:rPr>
        <w:t>6.17 显示设置 / 显示基础与直接入口</w:t>
      </w:r>
      <w:r>
        <w:tab/>
      </w:r>
      <w:r>
        <w:fldChar w:fldCharType="begin"/>
      </w:r>
      <w:r>
        <w:instrText xml:space="preserve"> PAGEREF _Toc8412 \h </w:instrText>
      </w:r>
      <w:r>
        <w:fldChar w:fldCharType="separate"/>
      </w:r>
      <w:r>
        <w:t>20</w:t>
      </w:r>
      <w:r>
        <w:fldChar w:fldCharType="end"/>
      </w:r>
      <w:r>
        <w:rPr>
          <w:color w:val="auto"/>
        </w:rPr>
        <w:fldChar w:fldCharType="end"/>
      </w:r>
    </w:p>
    <w:p w14:paraId="5E239356">
      <w:pPr>
        <w:pStyle w:val="30"/>
        <w:tabs>
          <w:tab w:val="right" w:leader="dot" w:pos="9808"/>
        </w:tabs>
      </w:pPr>
      <w:r>
        <w:rPr>
          <w:color w:val="auto"/>
        </w:rPr>
        <w:fldChar w:fldCharType="begin"/>
      </w:r>
      <w:r>
        <w:instrText xml:space="preserve"> HYPERLINK \l _Toc17928 </w:instrText>
      </w:r>
      <w:r>
        <w:fldChar w:fldCharType="separate"/>
      </w:r>
      <w:r>
        <w:rPr>
          <w:rFonts w:hint="eastAsia" w:ascii="宋体" w:hAnsi="宋体" w:eastAsia="宋体" w:cs="宋体"/>
        </w:rPr>
        <w:t>6.18 显示设置 / 数据源与手输值</w:t>
      </w:r>
      <w:r>
        <w:tab/>
      </w:r>
      <w:r>
        <w:fldChar w:fldCharType="begin"/>
      </w:r>
      <w:r>
        <w:instrText xml:space="preserve"> PAGEREF _Toc17928 \h </w:instrText>
      </w:r>
      <w:r>
        <w:fldChar w:fldCharType="separate"/>
      </w:r>
      <w:r>
        <w:t>20</w:t>
      </w:r>
      <w:r>
        <w:fldChar w:fldCharType="end"/>
      </w:r>
      <w:r>
        <w:rPr>
          <w:color w:val="auto"/>
        </w:rPr>
        <w:fldChar w:fldCharType="end"/>
      </w:r>
    </w:p>
    <w:p w14:paraId="515359CF">
      <w:pPr>
        <w:pStyle w:val="24"/>
        <w:tabs>
          <w:tab w:val="right" w:leader="dot" w:pos="9808"/>
        </w:tabs>
      </w:pPr>
      <w:r>
        <w:rPr>
          <w:color w:val="auto"/>
        </w:rPr>
        <w:fldChar w:fldCharType="begin"/>
      </w:r>
      <w:r>
        <w:instrText xml:space="preserve"> HYPERLINK \l _Toc3010 </w:instrText>
      </w:r>
      <w:r>
        <w:fldChar w:fldCharType="separate"/>
      </w:r>
      <w:r>
        <w:rPr>
          <w:rFonts w:hint="eastAsia" w:ascii="宋体" w:hAnsi="宋体" w:eastAsia="宋体" w:cs="宋体"/>
        </w:rPr>
        <w:t>数据源与手输值 / 液位</w:t>
      </w:r>
      <w:r>
        <w:tab/>
      </w:r>
      <w:r>
        <w:fldChar w:fldCharType="begin"/>
      </w:r>
      <w:r>
        <w:instrText xml:space="preserve"> PAGEREF _Toc3010 \h </w:instrText>
      </w:r>
      <w:r>
        <w:fldChar w:fldCharType="separate"/>
      </w:r>
      <w:r>
        <w:t>20</w:t>
      </w:r>
      <w:r>
        <w:fldChar w:fldCharType="end"/>
      </w:r>
      <w:r>
        <w:rPr>
          <w:color w:val="auto"/>
        </w:rPr>
        <w:fldChar w:fldCharType="end"/>
      </w:r>
    </w:p>
    <w:p w14:paraId="30049644">
      <w:pPr>
        <w:pStyle w:val="24"/>
        <w:tabs>
          <w:tab w:val="right" w:leader="dot" w:pos="9808"/>
        </w:tabs>
      </w:pPr>
      <w:r>
        <w:rPr>
          <w:color w:val="auto"/>
        </w:rPr>
        <w:fldChar w:fldCharType="begin"/>
      </w:r>
      <w:r>
        <w:instrText xml:space="preserve"> HYPERLINK \l _Toc8841 </w:instrText>
      </w:r>
      <w:r>
        <w:fldChar w:fldCharType="separate"/>
      </w:r>
      <w:r>
        <w:rPr>
          <w:rFonts w:hint="eastAsia" w:ascii="宋体" w:hAnsi="宋体" w:eastAsia="宋体" w:cs="宋体"/>
        </w:rPr>
        <w:t>数据源与手输值 / 水位</w:t>
      </w:r>
      <w:r>
        <w:tab/>
      </w:r>
      <w:r>
        <w:fldChar w:fldCharType="begin"/>
      </w:r>
      <w:r>
        <w:instrText xml:space="preserve"> PAGEREF _Toc8841 \h </w:instrText>
      </w:r>
      <w:r>
        <w:fldChar w:fldCharType="separate"/>
      </w:r>
      <w:r>
        <w:t>20</w:t>
      </w:r>
      <w:r>
        <w:fldChar w:fldCharType="end"/>
      </w:r>
      <w:r>
        <w:rPr>
          <w:color w:val="auto"/>
        </w:rPr>
        <w:fldChar w:fldCharType="end"/>
      </w:r>
    </w:p>
    <w:p w14:paraId="3C58B0F4">
      <w:pPr>
        <w:pStyle w:val="24"/>
        <w:tabs>
          <w:tab w:val="right" w:leader="dot" w:pos="9808"/>
        </w:tabs>
      </w:pPr>
      <w:r>
        <w:rPr>
          <w:color w:val="auto"/>
        </w:rPr>
        <w:fldChar w:fldCharType="begin"/>
      </w:r>
      <w:r>
        <w:instrText xml:space="preserve"> HYPERLINK \l _Toc20291 </w:instrText>
      </w:r>
      <w:r>
        <w:fldChar w:fldCharType="separate"/>
      </w:r>
      <w:r>
        <w:rPr>
          <w:rFonts w:hint="eastAsia" w:ascii="宋体" w:hAnsi="宋体" w:eastAsia="宋体" w:cs="宋体"/>
        </w:rPr>
        <w:t>数据源与手输值 / 密度</w:t>
      </w:r>
      <w:r>
        <w:tab/>
      </w:r>
      <w:r>
        <w:fldChar w:fldCharType="begin"/>
      </w:r>
      <w:r>
        <w:instrText xml:space="preserve"> PAGEREF _Toc20291 \h </w:instrText>
      </w:r>
      <w:r>
        <w:fldChar w:fldCharType="separate"/>
      </w:r>
      <w:r>
        <w:t>20</w:t>
      </w:r>
      <w:r>
        <w:fldChar w:fldCharType="end"/>
      </w:r>
      <w:r>
        <w:rPr>
          <w:color w:val="auto"/>
        </w:rPr>
        <w:fldChar w:fldCharType="end"/>
      </w:r>
    </w:p>
    <w:p w14:paraId="4399D555">
      <w:pPr>
        <w:pStyle w:val="24"/>
        <w:tabs>
          <w:tab w:val="right" w:leader="dot" w:pos="9808"/>
        </w:tabs>
      </w:pPr>
      <w:r>
        <w:rPr>
          <w:color w:val="auto"/>
        </w:rPr>
        <w:fldChar w:fldCharType="begin"/>
      </w:r>
      <w:r>
        <w:instrText xml:space="preserve"> HYPERLINK \l _Toc15125 </w:instrText>
      </w:r>
      <w:r>
        <w:fldChar w:fldCharType="separate"/>
      </w:r>
      <w:r>
        <w:rPr>
          <w:rFonts w:hint="eastAsia" w:ascii="宋体" w:hAnsi="宋体" w:eastAsia="宋体" w:cs="宋体"/>
        </w:rPr>
        <w:t>数据源与手输值 / 温度</w:t>
      </w:r>
      <w:r>
        <w:tab/>
      </w:r>
      <w:r>
        <w:fldChar w:fldCharType="begin"/>
      </w:r>
      <w:r>
        <w:instrText xml:space="preserve"> PAGEREF _Toc15125 \h </w:instrText>
      </w:r>
      <w:r>
        <w:fldChar w:fldCharType="separate"/>
      </w:r>
      <w:r>
        <w:t>21</w:t>
      </w:r>
      <w:r>
        <w:fldChar w:fldCharType="end"/>
      </w:r>
      <w:r>
        <w:rPr>
          <w:color w:val="auto"/>
        </w:rPr>
        <w:fldChar w:fldCharType="end"/>
      </w:r>
    </w:p>
    <w:p w14:paraId="5A01783D">
      <w:pPr>
        <w:pStyle w:val="30"/>
        <w:tabs>
          <w:tab w:val="right" w:leader="dot" w:pos="9808"/>
        </w:tabs>
      </w:pPr>
      <w:r>
        <w:rPr>
          <w:color w:val="auto"/>
        </w:rPr>
        <w:fldChar w:fldCharType="begin"/>
      </w:r>
      <w:r>
        <w:instrText xml:space="preserve"> HYPERLINK \l _Toc4619 </w:instrText>
      </w:r>
      <w:r>
        <w:fldChar w:fldCharType="separate"/>
      </w:r>
      <w:r>
        <w:rPr>
          <w:rFonts w:hint="eastAsia" w:ascii="宋体" w:hAnsi="宋体" w:eastAsia="宋体" w:cs="宋体"/>
        </w:rPr>
        <w:t>6.19 维护设置 / 设备信息</w:t>
      </w:r>
      <w:r>
        <w:tab/>
      </w:r>
      <w:r>
        <w:fldChar w:fldCharType="begin"/>
      </w:r>
      <w:r>
        <w:instrText xml:space="preserve"> PAGEREF _Toc4619 \h </w:instrText>
      </w:r>
      <w:r>
        <w:fldChar w:fldCharType="separate"/>
      </w:r>
      <w:r>
        <w:t>21</w:t>
      </w:r>
      <w:r>
        <w:fldChar w:fldCharType="end"/>
      </w:r>
      <w:r>
        <w:rPr>
          <w:color w:val="auto"/>
        </w:rPr>
        <w:fldChar w:fldCharType="end"/>
      </w:r>
    </w:p>
    <w:p w14:paraId="7FB347F0">
      <w:pPr>
        <w:pStyle w:val="30"/>
        <w:tabs>
          <w:tab w:val="right" w:leader="dot" w:pos="9808"/>
        </w:tabs>
      </w:pPr>
      <w:r>
        <w:rPr>
          <w:color w:val="auto"/>
        </w:rPr>
        <w:fldChar w:fldCharType="begin"/>
      </w:r>
      <w:r>
        <w:instrText xml:space="preserve"> HYPERLINK \l _Toc11413 </w:instrText>
      </w:r>
      <w:r>
        <w:fldChar w:fldCharType="separate"/>
      </w:r>
      <w:r>
        <w:rPr>
          <w:rFonts w:hint="eastAsia" w:ascii="宋体" w:hAnsi="宋体" w:eastAsia="宋体" w:cs="宋体"/>
        </w:rPr>
        <w:t>6.20 维护设置 / 参数校验与RTC设置</w:t>
      </w:r>
      <w:r>
        <w:tab/>
      </w:r>
      <w:r>
        <w:fldChar w:fldCharType="begin"/>
      </w:r>
      <w:r>
        <w:instrText xml:space="preserve"> PAGEREF _Toc11413 \h </w:instrText>
      </w:r>
      <w:r>
        <w:fldChar w:fldCharType="separate"/>
      </w:r>
      <w:r>
        <w:t>22</w:t>
      </w:r>
      <w:r>
        <w:fldChar w:fldCharType="end"/>
      </w:r>
      <w:r>
        <w:rPr>
          <w:color w:val="auto"/>
        </w:rPr>
        <w:fldChar w:fldCharType="end"/>
      </w:r>
    </w:p>
    <w:p w14:paraId="5102B7C6">
      <w:pPr>
        <w:pStyle w:val="27"/>
        <w:tabs>
          <w:tab w:val="right" w:leader="dot" w:pos="9808"/>
        </w:tabs>
      </w:pPr>
      <w:r>
        <w:rPr>
          <w:color w:val="auto"/>
        </w:rPr>
        <w:fldChar w:fldCharType="begin"/>
      </w:r>
      <w:r>
        <w:instrText xml:space="preserve"> HYPERLINK \l _Toc29347 </w:instrText>
      </w:r>
      <w:r>
        <w:fldChar w:fldCharType="separate"/>
      </w:r>
      <w:r>
        <w:rPr>
          <w:rFonts w:hint="eastAsia" w:ascii="宋体" w:hAnsi="宋体" w:eastAsia="宋体" w:cs="宋体"/>
        </w:rPr>
        <w:t>七、语言菜单与参数保护</w:t>
      </w:r>
      <w:r>
        <w:tab/>
      </w:r>
      <w:r>
        <w:fldChar w:fldCharType="begin"/>
      </w:r>
      <w:r>
        <w:instrText xml:space="preserve"> PAGEREF _Toc29347 \h </w:instrText>
      </w:r>
      <w:r>
        <w:fldChar w:fldCharType="separate"/>
      </w:r>
      <w:r>
        <w:t>22</w:t>
      </w:r>
      <w:r>
        <w:fldChar w:fldCharType="end"/>
      </w:r>
      <w:r>
        <w:rPr>
          <w:color w:val="auto"/>
        </w:rPr>
        <w:fldChar w:fldCharType="end"/>
      </w:r>
    </w:p>
    <w:p w14:paraId="3C2BFDF1">
      <w:pPr>
        <w:pStyle w:val="27"/>
        <w:tabs>
          <w:tab w:val="right" w:leader="dot" w:pos="9808"/>
        </w:tabs>
      </w:pPr>
      <w:r>
        <w:rPr>
          <w:color w:val="auto"/>
        </w:rPr>
        <w:fldChar w:fldCharType="begin"/>
      </w:r>
      <w:r>
        <w:instrText xml:space="preserve"> HYPERLINK \l _Toc17321 </w:instrText>
      </w:r>
      <w:r>
        <w:fldChar w:fldCharType="separate"/>
      </w:r>
      <w:r>
        <w:rPr>
          <w:rFonts w:hint="eastAsia" w:ascii="宋体" w:hAnsi="宋体" w:eastAsia="宋体" w:cs="宋体"/>
        </w:rPr>
        <w:t>八、显示和维护说明</w:t>
      </w:r>
      <w:r>
        <w:tab/>
      </w:r>
      <w:r>
        <w:fldChar w:fldCharType="begin"/>
      </w:r>
      <w:r>
        <w:instrText xml:space="preserve"> PAGEREF _Toc17321 \h </w:instrText>
      </w:r>
      <w:r>
        <w:fldChar w:fldCharType="separate"/>
      </w:r>
      <w:r>
        <w:t>22</w:t>
      </w:r>
      <w:r>
        <w:fldChar w:fldCharType="end"/>
      </w:r>
      <w:r>
        <w:rPr>
          <w:color w:val="auto"/>
        </w:rPr>
        <w:fldChar w:fldCharType="end"/>
      </w:r>
    </w:p>
    <w:p w14:paraId="4D77425E">
      <w:pPr>
        <w:tabs>
          <w:tab w:val="right" w:pos="8928"/>
        </w:tabs>
        <w:spacing w:after="0"/>
        <w:ind w:left="0"/>
        <w:rPr>
          <w:rFonts w:hint="eastAsia" w:ascii="宋体" w:hAnsi="宋体" w:eastAsia="宋体" w:cs="宋体"/>
          <w:color w:val="auto"/>
        </w:rPr>
      </w:pPr>
      <w:r>
        <w:rPr>
          <w:color w:val="auto"/>
        </w:rPr>
        <w:fldChar w:fldCharType="end"/>
      </w:r>
    </w:p>
    <w:p w14:paraId="57D30874">
      <w:pPr>
        <w:pStyle w:val="3"/>
        <w:keepNext/>
        <w:pageBreakBefore/>
        <w:pBdr>
          <w:left w:val="single" w:color="B6862D" w:sz="18" w:space="6"/>
          <w:bottom w:val="single" w:color="2A6F8E" w:sz="6" w:space="4"/>
        </w:pBdr>
        <w:spacing w:before="280" w:after="140" w:line="240" w:lineRule="auto"/>
        <w:rPr>
          <w:rFonts w:hint="eastAsia" w:ascii="宋体" w:hAnsi="宋体" w:eastAsia="宋体" w:cs="宋体"/>
          <w:color w:val="auto"/>
        </w:rPr>
      </w:pPr>
      <w:bookmarkStart w:id="0" w:name="_Toc31823"/>
      <w:bookmarkStart w:id="1" w:name="_Toc13229"/>
      <w:r>
        <w:rPr>
          <w:rFonts w:hint="eastAsia" w:ascii="宋体" w:hAnsi="宋体" w:eastAsia="宋体" w:cs="宋体"/>
          <w:b/>
          <w:color w:val="auto"/>
          <w:sz w:val="29"/>
        </w:rPr>
        <w:t>一、进入方式与按键逻辑</w:t>
      </w:r>
      <w:bookmarkEnd w:id="0"/>
      <w:bookmarkEnd w:id="1"/>
    </w:p>
    <w:p w14:paraId="268929D1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7"/>
        </w:rPr>
        <w:t>表 1 进入方式与按键逻辑</w:t>
      </w:r>
    </w:p>
    <w:tbl>
      <w:tblPr>
        <w:tblStyle w:val="36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7488"/>
      </w:tblGrid>
      <w:tr w14:paraId="4A58F2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388E65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项目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8019E2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说明</w:t>
            </w:r>
          </w:p>
        </w:tc>
      </w:tr>
      <w:tr w14:paraId="548B9E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AC5039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菜单入口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3ED7C9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非罐区操作界面下长按确认键约 3 秒进入菜单。</w:t>
            </w:r>
          </w:p>
        </w:tc>
      </w:tr>
      <w:tr w14:paraId="003DF0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40713B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密码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B8408E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进入参数配置或调试指令前输入屏幕密码，通过后进入对应菜单。</w:t>
            </w:r>
          </w:p>
        </w:tc>
      </w:tr>
      <w:tr w14:paraId="287C8B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F531CD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方向键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3A018E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菜单中上下键切换条目；参数页用于移动光标、修改数值或切换候选项。</w:t>
            </w:r>
          </w:p>
        </w:tc>
      </w:tr>
      <w:tr w14:paraId="35C58E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48538B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确认键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DB0E3B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进入当前菜单项、执行命令或保存当前编辑。</w:t>
            </w:r>
          </w:p>
        </w:tc>
      </w:tr>
      <w:tr w14:paraId="34AB57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51EEFC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返回/退出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179598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各级菜单包含“退出”或“返回主菜单”条目，用于返回上级或退出菜单。</w:t>
            </w:r>
          </w:p>
        </w:tc>
      </w:tr>
      <w:tr w14:paraId="009389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07B20B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短名说明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F93399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参数名称括号内为 OLED 屏幕菜单列表短名；无括号的参数表示屏幕显示名称与文档名称一致。</w:t>
            </w:r>
          </w:p>
        </w:tc>
      </w:tr>
      <w:tr w14:paraId="08CC8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A633B2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菜单空闲退出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855078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普通设置菜单 120 秒无按键自动返回状态页；业务等待页不按该规则退出。</w:t>
            </w:r>
          </w:p>
        </w:tc>
      </w:tr>
    </w:tbl>
    <w:p w14:paraId="7FDD0560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573A78E1">
      <w:pPr>
        <w:pStyle w:val="4"/>
        <w:rPr>
          <w:rFonts w:hint="eastAsia" w:ascii="宋体" w:hAnsi="宋体" w:eastAsia="宋体" w:cs="宋体"/>
          <w:color w:val="auto"/>
        </w:rPr>
      </w:pPr>
      <w:bookmarkStart w:id="2" w:name="_Toc22131"/>
      <w:r>
        <w:rPr>
          <w:rFonts w:hint="eastAsia" w:ascii="宋体" w:hAnsi="宋体" w:eastAsia="宋体" w:cs="宋体"/>
          <w:color w:val="auto"/>
          <w:sz w:val="22"/>
        </w:rPr>
        <w:t>1.1 菜单动作术语</w:t>
      </w:r>
      <w:bookmarkEnd w:id="2"/>
    </w:p>
    <w:p w14:paraId="5CAE64EA">
      <w:pPr>
        <w:spacing w:after="80" w:line="276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下表统一本文中的动作口径。现场判断某项是否会触发测量或写入参数时，优先按动作类型理解。</w:t>
      </w:r>
    </w:p>
    <w:p w14:paraId="76F0CAFA">
      <w:pPr>
        <w:pStyle w:val="15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7"/>
        </w:rPr>
        <w:t>表 1-1 菜单动作术语</w:t>
      </w:r>
    </w:p>
    <w:tbl>
      <w:tblPr>
        <w:tblStyle w:val="36"/>
        <w:tblW w:w="10400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300"/>
        <w:gridCol w:w="4300"/>
      </w:tblGrid>
      <w:tr w14:paraId="46C017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D421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术语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D459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含义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E3AA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典型位置</w:t>
            </w:r>
          </w:p>
        </w:tc>
      </w:tr>
      <w:tr w14:paraId="08D5D3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8B75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直接执行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1CF9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选择菜单项并确认后进入 ifsendcmd 确认页，确认后下发对应命令。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D282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提零点、液位测量、罐高测量、综合测量、读取部件参数。</w:t>
            </w:r>
          </w:p>
        </w:tc>
      </w:tr>
      <w:tr w14:paraId="4AE508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78A8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进入子菜单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3D2E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当前项不直接下发命令，只进入下一层页面继续选择。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C6B2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水位测量、密度单点测量、密度分布测量、SI参数、继电器报警输出。</w:t>
            </w:r>
          </w:p>
        </w:tc>
      </w:tr>
      <w:tr w14:paraId="524315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79D3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参数写入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9E5E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进入参数详情页，编辑数值或选项并保存到对应参数源。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1FDF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CPU2 共享参数或 CPU3 本机 FRAM 参数，具体见 6.0。</w:t>
            </w:r>
          </w:p>
        </w:tc>
      </w:tr>
      <w:tr w14:paraId="5D051A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EA90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只读显示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61E1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只显示状态或校验信息，不允许作为参数写入入口。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683E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继电器报警状态、设备信息、参数校验。</w:t>
            </w:r>
          </w:p>
        </w:tc>
      </w:tr>
      <w:tr w14:paraId="15F722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FB7C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命令执行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DB76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调试或维护动作经确认后执行，不作为持久参数保存。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738C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强制上行、匹配无线滑环、进入维护模式、恢复出厂设置。</w:t>
            </w:r>
          </w:p>
        </w:tc>
      </w:tr>
      <w:tr w14:paraId="782A48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6607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返回/退出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FF08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返回上一级菜单或主菜单，不触发测量、保存或下发。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68C8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返回、退出、返回主菜单。</w:t>
            </w:r>
          </w:p>
        </w:tc>
      </w:tr>
      <w:tr w14:paraId="399F5E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A5BC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CPU2 共享参数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AFDDB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存储在 CPU2 DeviceParameters，并通过 CPU2/CPU3 共享协议展示或写入。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61CC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测量参数、输出配置、AO、SI Profile 参数。</w:t>
            </w:r>
          </w:p>
        </w:tc>
      </w:tr>
      <w:tr w14:paraId="4AEBEF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E7F5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CPU3 本机参数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5FDC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存储在 CPU3 本机 FRAM，主要服务显示、通信、RTC 和 SI 自动调度。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09FC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通信设置、显示设置、自动Profile、SI报警限值、RTC设置。</w:t>
            </w:r>
          </w:p>
        </w:tc>
      </w:tr>
    </w:tbl>
    <w:p w14:paraId="683D6CD4">
      <w:pPr>
        <w:pStyle w:val="3"/>
        <w:keepNext/>
        <w:pageBreakBefore w:val="0"/>
        <w:pBdr>
          <w:left w:val="single" w:color="B6862D" w:sz="18" w:space="6"/>
          <w:bottom w:val="single" w:color="2A6F8E" w:sz="6" w:space="4"/>
        </w:pBdr>
        <w:spacing w:before="280" w:after="140" w:line="240" w:lineRule="auto"/>
        <w:rPr>
          <w:rFonts w:hint="eastAsia" w:ascii="宋体" w:hAnsi="宋体" w:eastAsia="宋体" w:cs="宋体"/>
          <w:color w:val="auto"/>
        </w:rPr>
      </w:pPr>
      <w:bookmarkStart w:id="3" w:name="_Toc16117"/>
      <w:bookmarkStart w:id="4" w:name="_Toc14014"/>
      <w:r>
        <w:rPr>
          <w:rFonts w:hint="eastAsia" w:ascii="宋体" w:hAnsi="宋体" w:eastAsia="宋体" w:cs="宋体"/>
          <w:b/>
          <w:color w:val="auto"/>
          <w:sz w:val="29"/>
        </w:rPr>
        <w:t>二、主界面显示项</w:t>
      </w:r>
      <w:bookmarkEnd w:id="3"/>
      <w:bookmarkEnd w:id="4"/>
    </w:p>
    <w:p w14:paraId="73E04BDE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7"/>
        </w:rPr>
        <w:t>表 2 主界面显示项</w:t>
      </w:r>
    </w:p>
    <w:tbl>
      <w:tblPr>
        <w:tblStyle w:val="36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7488"/>
      </w:tblGrid>
      <w:tr w14:paraId="587B20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FCF6B9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显示项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350FC9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说明</w:t>
            </w:r>
          </w:p>
        </w:tc>
      </w:tr>
      <w:tr w14:paraId="4B0CF5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2DC5EF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运行状态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A4F0B2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默认主界面显示设备状态，包含运行、故障和调试模式中等状态。</w:t>
            </w:r>
          </w:p>
        </w:tc>
      </w:tr>
      <w:tr w14:paraId="7FB846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C931EC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液位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096C15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显示液位。</w:t>
            </w:r>
          </w:p>
        </w:tc>
      </w:tr>
      <w:tr w14:paraId="3C283C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E7BA09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水高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F75406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显示水位，不满足条件时显示横线。</w:t>
            </w:r>
          </w:p>
        </w:tc>
      </w:tr>
      <w:tr w14:paraId="1A6791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F9B218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密度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EAB079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显示密度或修正密度；</w:t>
            </w:r>
          </w:p>
        </w:tc>
      </w:tr>
      <w:tr w14:paraId="05BCFA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9F92D1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温度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2C163C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显示平均温度。</w:t>
            </w:r>
          </w:p>
        </w:tc>
      </w:tr>
      <w:tr w14:paraId="20685D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C03F0A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位置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82BDB0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显示浮子/设备当前位置。</w:t>
            </w:r>
          </w:p>
        </w:tc>
      </w:tr>
      <w:tr w14:paraId="5CB042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77DBB3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扭力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360BEB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显示扭力值。</w:t>
            </w:r>
          </w:p>
        </w:tc>
      </w:tr>
      <w:tr w14:paraId="6995F36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55DFDC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频率/电容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4EC929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依据设备状态切换显示频率或电容；读取部件参数完成态可显示频率、电容、X/Y 角和 RSSI。</w:t>
            </w:r>
          </w:p>
        </w:tc>
      </w:tr>
      <w:tr w14:paraId="65C0AA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74C2F2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X轴角度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207CEB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显示 X 轴角度。</w:t>
            </w:r>
          </w:p>
        </w:tc>
      </w:tr>
      <w:tr w14:paraId="377FB8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1A224E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Y轴角度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3E2C55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显示 Y 轴角度。</w:t>
            </w:r>
          </w:p>
        </w:tc>
      </w:tr>
      <w:tr w14:paraId="468806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43BCD8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罐高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0A1CE5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罐高数据有效时显示罐高。</w:t>
            </w:r>
          </w:p>
        </w:tc>
      </w:tr>
      <w:tr w14:paraId="72AFEE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63CEC2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蓝牙MAC/RSSI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C79442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读取部件参数完成态显示当前连接 MAC 和蓝牙 RSSI；MAC 无效时显示 MAC N/A，RSSI 无效时显示 RSSI:N/A。</w:t>
            </w:r>
          </w:p>
        </w:tc>
      </w:tr>
    </w:tbl>
    <w:p w14:paraId="53B39AB1">
      <w:pPr>
        <w:pStyle w:val="3"/>
        <w:keepNext/>
        <w:pageBreakBefore w:val="0"/>
        <w:pBdr>
          <w:left w:val="single" w:color="B6862D" w:sz="18" w:space="6"/>
          <w:bottom w:val="single" w:color="2A6F8E" w:sz="6" w:space="4"/>
        </w:pBdr>
        <w:spacing w:before="280" w:after="140" w:line="240" w:lineRule="auto"/>
        <w:rPr>
          <w:rFonts w:hint="eastAsia" w:ascii="宋体" w:hAnsi="宋体" w:eastAsia="宋体" w:cs="宋体"/>
          <w:color w:val="auto"/>
        </w:rPr>
      </w:pPr>
      <w:bookmarkStart w:id="5" w:name="_Toc14671"/>
      <w:bookmarkStart w:id="6" w:name="_Toc26677"/>
      <w:r>
        <w:rPr>
          <w:rFonts w:hint="eastAsia" w:ascii="宋体" w:hAnsi="宋体" w:eastAsia="宋体" w:cs="宋体"/>
          <w:b/>
          <w:color w:val="auto"/>
          <w:sz w:val="29"/>
        </w:rPr>
        <w:t>三、菜单总览</w:t>
      </w:r>
      <w:bookmarkEnd w:id="5"/>
      <w:bookmarkEnd w:id="6"/>
    </w:p>
    <w:p w14:paraId="7593DD93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参数配置首页包含测量参数、输出配置、通信设置、显示设置、维护设置五类。下表按“一级菜单 / 二级菜单 / 三级菜单或页面”表达真实层级；带“-&gt;”的项表示仍需进入下一层页面。</w:t>
      </w:r>
    </w:p>
    <w:p w14:paraId="6DA002BC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7"/>
        </w:rPr>
        <w:t>表 3 菜单总览</w:t>
      </w:r>
    </w:p>
    <w:tbl>
      <w:tblPr>
        <w:tblStyle w:val="36"/>
        <w:tblW w:w="10700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100"/>
        <w:gridCol w:w="2500"/>
        <w:gridCol w:w="4500"/>
      </w:tblGrid>
      <w:tr w14:paraId="31C66F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vAlign w:val="center"/>
          </w:tcPr>
          <w:p w14:paraId="6D90BF0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一级菜单</w:t>
            </w:r>
          </w:p>
        </w:tc>
        <w:tc>
          <w:tcPr>
            <w:tcW w:w="2100" w:type="dxa"/>
            <w:vAlign w:val="center"/>
          </w:tcPr>
          <w:p w14:paraId="3FA1E0F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二级菜单</w:t>
            </w:r>
          </w:p>
        </w:tc>
        <w:tc>
          <w:tcPr>
            <w:tcW w:w="2500" w:type="dxa"/>
            <w:vAlign w:val="center"/>
          </w:tcPr>
          <w:p w14:paraId="3DFC5E5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三级菜单或页面</w:t>
            </w:r>
          </w:p>
        </w:tc>
        <w:tc>
          <w:tcPr>
            <w:tcW w:w="4500" w:type="dxa"/>
            <w:vAlign w:val="center"/>
          </w:tcPr>
          <w:p w14:paraId="4A2FCE1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说明</w:t>
            </w:r>
          </w:p>
        </w:tc>
      </w:tr>
      <w:tr w14:paraId="47786C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restart"/>
            <w:vAlign w:val="center"/>
          </w:tcPr>
          <w:p w14:paraId="00DF876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测量命令</w:t>
            </w:r>
          </w:p>
        </w:tc>
        <w:tc>
          <w:tcPr>
            <w:tcW w:w="2100" w:type="dxa"/>
            <w:vAlign w:val="center"/>
          </w:tcPr>
          <w:p w14:paraId="75F2FA2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提零点</w:t>
            </w:r>
          </w:p>
        </w:tc>
        <w:tc>
          <w:tcPr>
            <w:tcW w:w="2500" w:type="dxa"/>
            <w:vAlign w:val="center"/>
          </w:tcPr>
          <w:p w14:paraId="4C81C7F6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-</w:t>
            </w:r>
          </w:p>
        </w:tc>
        <w:tc>
          <w:tcPr>
            <w:tcW w:w="4500" w:type="dxa"/>
            <w:vAlign w:val="center"/>
          </w:tcPr>
          <w:p w14:paraId="43A5D7D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直接执行零点提升流程。</w:t>
            </w:r>
          </w:p>
        </w:tc>
      </w:tr>
      <w:tr w14:paraId="7FD0FC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1EDEA349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</w:tcPr>
          <w:p w14:paraId="3B331734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液位测量</w:t>
            </w:r>
          </w:p>
        </w:tc>
        <w:tc>
          <w:tcPr>
            <w:tcW w:w="2500" w:type="dxa"/>
            <w:vAlign w:val="center"/>
          </w:tcPr>
          <w:p w14:paraId="747EB3D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-</w:t>
            </w:r>
          </w:p>
        </w:tc>
        <w:tc>
          <w:tcPr>
            <w:tcW w:w="4500" w:type="dxa"/>
            <w:vAlign w:val="center"/>
          </w:tcPr>
          <w:p w14:paraId="413A72B7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直接启动液位单次测量。</w:t>
            </w:r>
          </w:p>
        </w:tc>
      </w:tr>
      <w:tr w14:paraId="37851A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4AC7E6C6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</w:tcPr>
          <w:p w14:paraId="485E67E0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水位测量</w:t>
            </w:r>
          </w:p>
        </w:tc>
        <w:tc>
          <w:tcPr>
            <w:tcW w:w="2500" w:type="dxa"/>
            <w:vAlign w:val="center"/>
          </w:tcPr>
          <w:p w14:paraId="00B01F7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水位单次测量；水位跟随</w:t>
            </w:r>
          </w:p>
        </w:tc>
        <w:tc>
          <w:tcPr>
            <w:tcW w:w="4500" w:type="dxa"/>
            <w:vAlign w:val="center"/>
          </w:tcPr>
          <w:p w14:paraId="74377B85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水位测量有二级子菜单，分别执行单次测量和跟随测量。</w:t>
            </w:r>
          </w:p>
        </w:tc>
      </w:tr>
      <w:tr w14:paraId="31DF3F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5FA27A86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</w:tcPr>
          <w:p w14:paraId="46E5DE3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罐高测量</w:t>
            </w:r>
          </w:p>
        </w:tc>
        <w:tc>
          <w:tcPr>
            <w:tcW w:w="2500" w:type="dxa"/>
            <w:vAlign w:val="center"/>
          </w:tcPr>
          <w:p w14:paraId="3EA78660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-</w:t>
            </w:r>
          </w:p>
        </w:tc>
        <w:tc>
          <w:tcPr>
            <w:tcW w:w="4500" w:type="dxa"/>
            <w:vAlign w:val="center"/>
          </w:tcPr>
          <w:p w14:paraId="1CBC81C0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直接启动罐高测量流程。</w:t>
            </w:r>
          </w:p>
        </w:tc>
      </w:tr>
      <w:tr w14:paraId="347C15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00505472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</w:tcPr>
          <w:p w14:paraId="35FED52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综合测量</w:t>
            </w:r>
          </w:p>
        </w:tc>
        <w:tc>
          <w:tcPr>
            <w:tcW w:w="2500" w:type="dxa"/>
            <w:vAlign w:val="center"/>
          </w:tcPr>
          <w:p w14:paraId="390E0113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-</w:t>
            </w:r>
          </w:p>
        </w:tc>
        <w:tc>
          <w:tcPr>
            <w:tcW w:w="4500" w:type="dxa"/>
            <w:vAlign w:val="center"/>
          </w:tcPr>
          <w:p w14:paraId="157261F1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综合执行液位、水位、密度等测量任务。</w:t>
            </w:r>
          </w:p>
        </w:tc>
      </w:tr>
      <w:tr w14:paraId="58EBEB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7EC7B34C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</w:tcPr>
          <w:p w14:paraId="76EAB7F4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读取部件参数</w:t>
            </w:r>
          </w:p>
        </w:tc>
        <w:tc>
          <w:tcPr>
            <w:tcW w:w="2500" w:type="dxa"/>
            <w:vAlign w:val="center"/>
          </w:tcPr>
          <w:p w14:paraId="17B1CB43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-</w:t>
            </w:r>
          </w:p>
        </w:tc>
        <w:tc>
          <w:tcPr>
            <w:tcW w:w="4500" w:type="dxa"/>
            <w:vAlign w:val="center"/>
          </w:tcPr>
          <w:p w14:paraId="41A85F57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读取 CPU2 debug_data、X/Y 角、MAC/RSSI 等部件快照。</w:t>
            </w:r>
          </w:p>
        </w:tc>
      </w:tr>
      <w:tr w14:paraId="485212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14EDE88C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</w:tcPr>
          <w:p w14:paraId="790C50D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密度单点测量</w:t>
            </w:r>
          </w:p>
        </w:tc>
        <w:tc>
          <w:tcPr>
            <w:tcW w:w="2500" w:type="dxa"/>
            <w:vAlign w:val="center"/>
          </w:tcPr>
          <w:p w14:paraId="65ED114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密度单点测量；密度单点监测</w:t>
            </w:r>
          </w:p>
        </w:tc>
        <w:tc>
          <w:tcPr>
            <w:tcW w:w="4500" w:type="dxa"/>
            <w:vAlign w:val="center"/>
          </w:tcPr>
          <w:p w14:paraId="21D32A4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单点密度测量有二级子菜单，进入后再输入测点或监测位置。</w:t>
            </w:r>
          </w:p>
        </w:tc>
      </w:tr>
      <w:tr w14:paraId="044FB9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363E9114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</w:tcPr>
          <w:p w14:paraId="00B63C5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密度分布测量</w:t>
            </w:r>
          </w:p>
        </w:tc>
        <w:tc>
          <w:tcPr>
            <w:tcW w:w="2500" w:type="dxa"/>
            <w:vAlign w:val="center"/>
          </w:tcPr>
          <w:p w14:paraId="224EE0A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分布测量；国标分布测量；密度每米测量；区间密度测量；瓦锡兰区间密度；SI Profile</w:t>
            </w:r>
          </w:p>
        </w:tc>
        <w:tc>
          <w:tcPr>
            <w:tcW w:w="4500" w:type="dxa"/>
            <w:vAlign w:val="center"/>
          </w:tcPr>
          <w:p w14:paraId="01B109A5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密度分布测量有二级子菜单；SI Profile 位于该子菜单并下发 CMD_SI_PROFILE。</w:t>
            </w:r>
          </w:p>
        </w:tc>
      </w:tr>
      <w:tr w14:paraId="12AA11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67AEC412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</w:tcPr>
          <w:p w14:paraId="68D82D8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浮子运行到高度</w:t>
            </w:r>
          </w:p>
        </w:tc>
        <w:tc>
          <w:tcPr>
            <w:tcW w:w="2500" w:type="dxa"/>
            <w:vAlign w:val="center"/>
          </w:tcPr>
          <w:p w14:paraId="7685EC5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-</w:t>
            </w:r>
          </w:p>
        </w:tc>
        <w:tc>
          <w:tcPr>
            <w:tcW w:w="4500" w:type="dxa"/>
            <w:vAlign w:val="center"/>
          </w:tcPr>
          <w:p w14:paraId="5274CAD9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直接作为普通测量命令入口，输入目标高度后执行。</w:t>
            </w:r>
          </w:p>
        </w:tc>
      </w:tr>
      <w:tr w14:paraId="078E5B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restart"/>
            <w:vAlign w:val="center"/>
          </w:tcPr>
          <w:p w14:paraId="6681E3C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参数配置</w:t>
            </w:r>
          </w:p>
        </w:tc>
        <w:tc>
          <w:tcPr>
            <w:tcW w:w="2100" w:type="dxa"/>
            <w:vAlign w:val="center"/>
          </w:tcPr>
          <w:p w14:paraId="45A3944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测量参数</w:t>
            </w:r>
          </w:p>
        </w:tc>
        <w:tc>
          <w:tcPr>
            <w:tcW w:w="2500" w:type="dxa"/>
            <w:vAlign w:val="center"/>
          </w:tcPr>
          <w:p w14:paraId="4C9BB0F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运行设置；电机与编码参数；扭力参数；零点参数；液位参数；水位参数；罐底与罐高；密度测量参数；Wartsila参数；SI参数；修正参数</w:t>
            </w:r>
          </w:p>
        </w:tc>
        <w:tc>
          <w:tcPr>
            <w:tcW w:w="4500" w:type="dxa"/>
            <w:vAlign w:val="center"/>
          </w:tcPr>
          <w:p w14:paraId="042F036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测量参数按业务域分组；SI参数继续分为 Profile参数、自动Profile、报警限值。</w:t>
            </w:r>
          </w:p>
        </w:tc>
      </w:tr>
      <w:tr w14:paraId="2B7ED4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55A22D64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</w:tcPr>
          <w:p w14:paraId="4F1DA634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输出配置</w:t>
            </w:r>
          </w:p>
        </w:tc>
        <w:tc>
          <w:tcPr>
            <w:tcW w:w="2500" w:type="dxa"/>
            <w:vAlign w:val="center"/>
          </w:tcPr>
          <w:p w14:paraId="2B117D1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继电器报警输出；AO输出</w:t>
            </w:r>
          </w:p>
        </w:tc>
        <w:tc>
          <w:tcPr>
            <w:tcW w:w="4500" w:type="dxa"/>
            <w:vAlign w:val="center"/>
          </w:tcPr>
          <w:p w14:paraId="5D5BEA5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输出配置先分继电器和 AO；继电器再按 K1~K4、通道设置、报警配置、报警状态展开。</w:t>
            </w:r>
          </w:p>
        </w:tc>
      </w:tr>
      <w:tr w14:paraId="7C2B2C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58D05CD4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</w:tcPr>
          <w:p w14:paraId="40B77C09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通信设置</w:t>
            </w:r>
          </w:p>
        </w:tc>
        <w:tc>
          <w:tcPr>
            <w:tcW w:w="2500" w:type="dxa"/>
            <w:vAlign w:val="center"/>
          </w:tcPr>
          <w:p w14:paraId="6C3A8C5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COM1配置；COM2配置；COM3配置</w:t>
            </w:r>
          </w:p>
        </w:tc>
        <w:tc>
          <w:tcPr>
            <w:tcW w:w="4500" w:type="dxa"/>
            <w:vAlign w:val="center"/>
          </w:tcPr>
          <w:p w14:paraId="645FC2B3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每个 COM 页内按协议、波特率、数据位、校验、停止位配置。</w:t>
            </w:r>
          </w:p>
        </w:tc>
      </w:tr>
      <w:tr w14:paraId="2FFBDF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40C8CFE5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</w:tcPr>
          <w:p w14:paraId="68AC9A3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显示设置</w:t>
            </w:r>
          </w:p>
        </w:tc>
        <w:tc>
          <w:tcPr>
            <w:tcW w:w="2500" w:type="dxa"/>
            <w:vAlign w:val="center"/>
          </w:tcPr>
          <w:p w14:paraId="4D518190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显示基础；语言；屏幕密码；数据源与手输值</w:t>
            </w:r>
          </w:p>
        </w:tc>
        <w:tc>
          <w:tcPr>
            <w:tcW w:w="4500" w:type="dxa"/>
            <w:vAlign w:val="center"/>
          </w:tcPr>
          <w:p w14:paraId="1E014527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显示设置下数据源与手输值再分液位、水位、密度、温度。</w:t>
            </w:r>
          </w:p>
        </w:tc>
      </w:tr>
      <w:tr w14:paraId="3190C2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21E78277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</w:tcPr>
          <w:p w14:paraId="40F4BEF9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维护设置</w:t>
            </w:r>
          </w:p>
        </w:tc>
        <w:tc>
          <w:tcPr>
            <w:tcW w:w="2500" w:type="dxa"/>
            <w:vAlign w:val="center"/>
          </w:tcPr>
          <w:p w14:paraId="1685005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设备信息；参数校验；RTC设置</w:t>
            </w:r>
          </w:p>
        </w:tc>
        <w:tc>
          <w:tcPr>
            <w:tcW w:w="4500" w:type="dxa"/>
            <w:vAlign w:val="center"/>
          </w:tcPr>
          <w:p w14:paraId="322B07E5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维护设置包含只读版本/校验信息和 CPU3 本机 RTC 设置。</w:t>
            </w:r>
          </w:p>
        </w:tc>
      </w:tr>
      <w:tr w14:paraId="5C0C94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restart"/>
            <w:vAlign w:val="center"/>
          </w:tcPr>
          <w:p w14:paraId="1BB9EEF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调试指令</w:t>
            </w:r>
          </w:p>
        </w:tc>
        <w:tc>
          <w:tcPr>
            <w:tcW w:w="2100" w:type="dxa"/>
            <w:vAlign w:val="center"/>
          </w:tcPr>
          <w:p w14:paraId="00C05785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浮子运动控制</w:t>
            </w:r>
          </w:p>
        </w:tc>
        <w:tc>
          <w:tcPr>
            <w:tcW w:w="2500" w:type="dxa"/>
            <w:vAlign w:val="center"/>
          </w:tcPr>
          <w:p w14:paraId="128E7F2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上行；下行；强制上行；强制下行</w:t>
            </w:r>
          </w:p>
        </w:tc>
        <w:tc>
          <w:tcPr>
            <w:tcW w:w="4500" w:type="dxa"/>
            <w:vAlign w:val="center"/>
          </w:tcPr>
          <w:p w14:paraId="15842376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调试密码边界内的浮子运动控制。</w:t>
            </w:r>
          </w:p>
        </w:tc>
      </w:tr>
      <w:tr w14:paraId="627696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21F2EA6F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</w:tcPr>
          <w:p w14:paraId="2BFB3FC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标定修正</w:t>
            </w:r>
          </w:p>
        </w:tc>
        <w:tc>
          <w:tcPr>
            <w:tcW w:w="2500" w:type="dxa"/>
            <w:vAlign w:val="center"/>
          </w:tcPr>
          <w:p w14:paraId="6DCD19EB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标定零点；标定液位；修正液位；标定水位；标定罐高</w:t>
            </w:r>
          </w:p>
        </w:tc>
        <w:tc>
          <w:tcPr>
            <w:tcW w:w="4500" w:type="dxa"/>
            <w:vAlign w:val="center"/>
          </w:tcPr>
          <w:p w14:paraId="57D77636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标定和修正类调试命令。</w:t>
            </w:r>
          </w:p>
        </w:tc>
      </w:tr>
      <w:tr w14:paraId="686709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2AE17564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</w:tcPr>
          <w:p w14:paraId="49E63467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扭力标定</w:t>
            </w:r>
          </w:p>
        </w:tc>
        <w:tc>
          <w:tcPr>
            <w:tcW w:w="2500" w:type="dxa"/>
            <w:vAlign w:val="center"/>
          </w:tcPr>
          <w:p w14:paraId="3F4D237B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获取空载扭力；获取满载扭力</w:t>
            </w:r>
          </w:p>
        </w:tc>
        <w:tc>
          <w:tcPr>
            <w:tcW w:w="4500" w:type="dxa"/>
            <w:vAlign w:val="center"/>
          </w:tcPr>
          <w:p w14:paraId="2222C6A3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获取并保存空载/满载扭力基准。</w:t>
            </w:r>
          </w:p>
        </w:tc>
      </w:tr>
      <w:tr w14:paraId="1F0902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318C82BB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</w:tcPr>
          <w:p w14:paraId="34DD0464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无线维护</w:t>
            </w:r>
          </w:p>
        </w:tc>
        <w:tc>
          <w:tcPr>
            <w:tcW w:w="2500" w:type="dxa"/>
            <w:vAlign w:val="center"/>
          </w:tcPr>
          <w:p w14:paraId="7D908D19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匹配无线滑环</w:t>
            </w:r>
          </w:p>
        </w:tc>
        <w:tc>
          <w:tcPr>
            <w:tcW w:w="4500" w:type="dxa"/>
            <w:vAlign w:val="center"/>
          </w:tcPr>
          <w:p w14:paraId="7A92529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蓝牙主机/从机链路维护入口。</w:t>
            </w:r>
          </w:p>
        </w:tc>
      </w:tr>
      <w:tr w14:paraId="716E03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7B305BEC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</w:tcPr>
          <w:p w14:paraId="7548247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系统维护</w:t>
            </w:r>
          </w:p>
        </w:tc>
        <w:tc>
          <w:tcPr>
            <w:tcW w:w="2500" w:type="dxa"/>
            <w:vAlign w:val="center"/>
          </w:tcPr>
          <w:p w14:paraId="3DB5219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进入维护模式；恢复出厂设置</w:t>
            </w:r>
          </w:p>
        </w:tc>
        <w:tc>
          <w:tcPr>
            <w:tcW w:w="4500" w:type="dxa"/>
            <w:vAlign w:val="center"/>
          </w:tcPr>
          <w:p w14:paraId="58EF9305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系统级维护命令，恢复出厂设置会进入参数保护确认。</w:t>
            </w:r>
          </w:p>
        </w:tc>
      </w:tr>
      <w:tr w14:paraId="08C116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73B47726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语言</w:t>
            </w:r>
          </w:p>
        </w:tc>
        <w:tc>
          <w:tcPr>
            <w:tcW w:w="2100" w:type="dxa"/>
            <w:vAlign w:val="center"/>
          </w:tcPr>
          <w:p w14:paraId="64AD24BB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中文；英文；退出</w:t>
            </w:r>
          </w:p>
        </w:tc>
        <w:tc>
          <w:tcPr>
            <w:tcW w:w="2500" w:type="dxa"/>
            <w:vAlign w:val="center"/>
          </w:tcPr>
          <w:p w14:paraId="5E76097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-</w:t>
            </w:r>
          </w:p>
        </w:tc>
        <w:tc>
          <w:tcPr>
            <w:tcW w:w="4500" w:type="dxa"/>
            <w:vAlign w:val="center"/>
          </w:tcPr>
          <w:p w14:paraId="2F9D2E37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主菜单语言入口，切换中文/英文显示或返回。</w:t>
            </w:r>
          </w:p>
        </w:tc>
      </w:tr>
      <w:tr w14:paraId="2F1ECC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43EE16E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退出</w:t>
            </w:r>
          </w:p>
        </w:tc>
        <w:tc>
          <w:tcPr>
            <w:tcW w:w="2100" w:type="dxa"/>
            <w:vAlign w:val="center"/>
          </w:tcPr>
          <w:p w14:paraId="2829D59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退出屏幕菜单</w:t>
            </w:r>
          </w:p>
        </w:tc>
        <w:tc>
          <w:tcPr>
            <w:tcW w:w="2500" w:type="dxa"/>
            <w:vAlign w:val="center"/>
          </w:tcPr>
          <w:p w14:paraId="45BD9415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-</w:t>
            </w:r>
          </w:p>
        </w:tc>
        <w:tc>
          <w:tcPr>
            <w:tcW w:w="4500" w:type="dxa"/>
            <w:vAlign w:val="center"/>
          </w:tcPr>
          <w:p w14:paraId="7DCA12D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退出主菜单。</w:t>
            </w:r>
          </w:p>
        </w:tc>
      </w:tr>
    </w:tbl>
    <w:p w14:paraId="22D7DFAA">
      <w:pPr>
        <w:pStyle w:val="3"/>
        <w:keepNext/>
        <w:pageBreakBefore w:val="0"/>
        <w:pBdr>
          <w:left w:val="single" w:color="B6862D" w:sz="18" w:space="6"/>
          <w:bottom w:val="single" w:color="2A6F8E" w:sz="6" w:space="4"/>
        </w:pBdr>
        <w:spacing w:before="280" w:after="140" w:line="240" w:lineRule="auto"/>
        <w:rPr>
          <w:rFonts w:hint="eastAsia" w:ascii="宋体" w:hAnsi="宋体" w:eastAsia="宋体" w:cs="宋体"/>
          <w:color w:val="auto"/>
        </w:rPr>
      </w:pPr>
      <w:bookmarkStart w:id="7" w:name="_Toc25169"/>
      <w:bookmarkStart w:id="8" w:name="_Toc6200"/>
      <w:r>
        <w:rPr>
          <w:rFonts w:hint="eastAsia" w:ascii="宋体" w:hAnsi="宋体" w:eastAsia="宋体" w:cs="宋体"/>
          <w:b/>
          <w:color w:val="auto"/>
          <w:sz w:val="29"/>
        </w:rPr>
        <w:t>四、测量命令菜单</w:t>
      </w:r>
      <w:bookmarkEnd w:id="7"/>
      <w:bookmarkEnd w:id="8"/>
    </w:p>
    <w:p w14:paraId="1523F1D5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测量命令页按程序菜单层级展开。直接执行的命令在三级列标为“-”；水位测量、密度单点测量、密度分布测量进入二级子菜单后再选择具体动作。</w:t>
      </w:r>
    </w:p>
    <w:p w14:paraId="40050D2D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7"/>
        </w:rPr>
        <w:t>表 4 测量命令菜单</w:t>
      </w:r>
    </w:p>
    <w:tbl>
      <w:tblPr>
        <w:tblStyle w:val="36"/>
        <w:tblW w:w="10700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100"/>
        <w:gridCol w:w="2500"/>
        <w:gridCol w:w="4500"/>
      </w:tblGrid>
      <w:tr w14:paraId="13F74D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vAlign w:val="center"/>
          </w:tcPr>
          <w:p w14:paraId="4091E6D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一级菜单</w:t>
            </w:r>
          </w:p>
        </w:tc>
        <w:tc>
          <w:tcPr>
            <w:tcW w:w="2100" w:type="dxa"/>
            <w:vAlign w:val="center"/>
          </w:tcPr>
          <w:p w14:paraId="1149066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二级菜单</w:t>
            </w:r>
          </w:p>
        </w:tc>
        <w:tc>
          <w:tcPr>
            <w:tcW w:w="2500" w:type="dxa"/>
            <w:vAlign w:val="center"/>
          </w:tcPr>
          <w:p w14:paraId="2A78CE3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三级菜单或页面</w:t>
            </w:r>
          </w:p>
        </w:tc>
        <w:tc>
          <w:tcPr>
            <w:tcW w:w="4500" w:type="dxa"/>
            <w:vAlign w:val="center"/>
          </w:tcPr>
          <w:p w14:paraId="7557160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说明</w:t>
            </w:r>
          </w:p>
        </w:tc>
      </w:tr>
      <w:tr w14:paraId="6B4CC9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restart"/>
            <w:vAlign w:val="center"/>
          </w:tcPr>
          <w:p w14:paraId="4A31A760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测量命令</w:t>
            </w:r>
          </w:p>
        </w:tc>
        <w:tc>
          <w:tcPr>
            <w:tcW w:w="2100" w:type="dxa"/>
            <w:vAlign w:val="center"/>
          </w:tcPr>
          <w:p w14:paraId="30519DF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提零点</w:t>
            </w:r>
          </w:p>
        </w:tc>
        <w:tc>
          <w:tcPr>
            <w:tcW w:w="2500" w:type="dxa"/>
            <w:vAlign w:val="center"/>
          </w:tcPr>
          <w:p w14:paraId="450A381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-</w:t>
            </w:r>
          </w:p>
        </w:tc>
        <w:tc>
          <w:tcPr>
            <w:tcW w:w="4500" w:type="dxa"/>
            <w:vAlign w:val="center"/>
          </w:tcPr>
          <w:p w14:paraId="4769270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执行零点提升流程。</w:t>
            </w:r>
          </w:p>
        </w:tc>
      </w:tr>
      <w:tr w14:paraId="23D49A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3F261F5A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</w:tcPr>
          <w:p w14:paraId="14A0AA7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液位测量</w:t>
            </w:r>
          </w:p>
        </w:tc>
        <w:tc>
          <w:tcPr>
            <w:tcW w:w="2500" w:type="dxa"/>
            <w:vAlign w:val="center"/>
          </w:tcPr>
          <w:p w14:paraId="1C9D14B1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-</w:t>
            </w:r>
          </w:p>
        </w:tc>
        <w:tc>
          <w:tcPr>
            <w:tcW w:w="4500" w:type="dxa"/>
            <w:vAlign w:val="center"/>
          </w:tcPr>
          <w:p w14:paraId="5B546D3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启动液位单次测量。</w:t>
            </w:r>
          </w:p>
        </w:tc>
      </w:tr>
      <w:tr w14:paraId="0C49CB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2CCE8257">
            <w:pPr>
              <w:rPr>
                <w:color w:val="auto"/>
              </w:rPr>
            </w:pPr>
          </w:p>
        </w:tc>
        <w:tc>
          <w:tcPr>
            <w:tcW w:w="2100" w:type="dxa"/>
            <w:vMerge w:val="restart"/>
            <w:vAlign w:val="center"/>
          </w:tcPr>
          <w:p w14:paraId="393438F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水位测量</w:t>
            </w:r>
          </w:p>
        </w:tc>
        <w:tc>
          <w:tcPr>
            <w:tcW w:w="2500" w:type="dxa"/>
            <w:vAlign w:val="center"/>
          </w:tcPr>
          <w:p w14:paraId="022C0A8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水位单次测量</w:t>
            </w:r>
          </w:p>
        </w:tc>
        <w:tc>
          <w:tcPr>
            <w:tcW w:w="4500" w:type="dxa"/>
            <w:vAlign w:val="center"/>
          </w:tcPr>
          <w:p w14:paraId="37C01A7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启动水位单次测量。</w:t>
            </w:r>
          </w:p>
        </w:tc>
      </w:tr>
      <w:tr w14:paraId="08BCC4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767EAA4A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4B090F10">
            <w:pPr>
              <w:rPr>
                <w:color w:val="auto"/>
              </w:rPr>
            </w:pPr>
          </w:p>
        </w:tc>
        <w:tc>
          <w:tcPr>
            <w:tcW w:w="2500" w:type="dxa"/>
            <w:vAlign w:val="center"/>
          </w:tcPr>
          <w:p w14:paraId="1DDED91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水位跟随</w:t>
            </w:r>
          </w:p>
        </w:tc>
        <w:tc>
          <w:tcPr>
            <w:tcW w:w="4500" w:type="dxa"/>
            <w:vAlign w:val="center"/>
          </w:tcPr>
          <w:p w14:paraId="3BC53D9B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启动水位跟随测量。</w:t>
            </w:r>
          </w:p>
        </w:tc>
      </w:tr>
      <w:tr w14:paraId="3E1215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00F58FA5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</w:tcPr>
          <w:p w14:paraId="6B4901E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罐高测量</w:t>
            </w:r>
          </w:p>
        </w:tc>
        <w:tc>
          <w:tcPr>
            <w:tcW w:w="2500" w:type="dxa"/>
            <w:vAlign w:val="center"/>
          </w:tcPr>
          <w:p w14:paraId="1B90B1D1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-</w:t>
            </w:r>
          </w:p>
        </w:tc>
        <w:tc>
          <w:tcPr>
            <w:tcW w:w="4500" w:type="dxa"/>
            <w:vAlign w:val="center"/>
          </w:tcPr>
          <w:p w14:paraId="629DC825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启动罐高测量流程。</w:t>
            </w:r>
          </w:p>
        </w:tc>
      </w:tr>
      <w:tr w14:paraId="2AE2BE9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56ACE0AB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</w:tcPr>
          <w:p w14:paraId="0344F83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综合测量</w:t>
            </w:r>
          </w:p>
        </w:tc>
        <w:tc>
          <w:tcPr>
            <w:tcW w:w="2500" w:type="dxa"/>
            <w:vAlign w:val="center"/>
          </w:tcPr>
          <w:p w14:paraId="45ADB465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-</w:t>
            </w:r>
          </w:p>
        </w:tc>
        <w:tc>
          <w:tcPr>
            <w:tcW w:w="4500" w:type="dxa"/>
            <w:vAlign w:val="center"/>
          </w:tcPr>
          <w:p w14:paraId="0E3AD14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综合执行液位、水位、密度等测量任务。</w:t>
            </w:r>
          </w:p>
        </w:tc>
      </w:tr>
      <w:tr w14:paraId="2C1CDE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2284B2CD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</w:tcPr>
          <w:p w14:paraId="3FBDBBE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读取部件参数</w:t>
            </w:r>
          </w:p>
        </w:tc>
        <w:tc>
          <w:tcPr>
            <w:tcW w:w="2500" w:type="dxa"/>
            <w:vAlign w:val="center"/>
          </w:tcPr>
          <w:p w14:paraId="1632706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-</w:t>
            </w:r>
          </w:p>
        </w:tc>
        <w:tc>
          <w:tcPr>
            <w:tcW w:w="4500" w:type="dxa"/>
            <w:vAlign w:val="center"/>
          </w:tcPr>
          <w:p w14:paraId="6C7AB44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cs="宋体"/>
                <w:b w:val="0"/>
                <w:color w:val="auto"/>
                <w:sz w:val="19"/>
                <w:lang w:val="en-US" w:eastAsia="zh-CN"/>
              </w:rPr>
              <w:t>读取并显示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位置、扭力、温度、频率、电容、X/Y角和蓝牙 RSSI；</w:t>
            </w:r>
          </w:p>
        </w:tc>
      </w:tr>
      <w:tr w14:paraId="794BF6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1965D6EE">
            <w:pPr>
              <w:rPr>
                <w:color w:val="auto"/>
              </w:rPr>
            </w:pPr>
          </w:p>
        </w:tc>
        <w:tc>
          <w:tcPr>
            <w:tcW w:w="2100" w:type="dxa"/>
            <w:vMerge w:val="restart"/>
            <w:vAlign w:val="center"/>
          </w:tcPr>
          <w:p w14:paraId="455F31C1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密度单点测量</w:t>
            </w:r>
          </w:p>
        </w:tc>
        <w:tc>
          <w:tcPr>
            <w:tcW w:w="2500" w:type="dxa"/>
            <w:vAlign w:val="center"/>
          </w:tcPr>
          <w:p w14:paraId="679192D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密度单点测量</w:t>
            </w:r>
          </w:p>
        </w:tc>
        <w:tc>
          <w:tcPr>
            <w:tcW w:w="4500" w:type="dxa"/>
            <w:vAlign w:val="center"/>
          </w:tcPr>
          <w:p w14:paraId="479D69B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在指定位置执行一次密度测量。</w:t>
            </w:r>
          </w:p>
        </w:tc>
      </w:tr>
      <w:tr w14:paraId="6CF2D7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7E52FA01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3C1EE989">
            <w:pPr>
              <w:rPr>
                <w:color w:val="auto"/>
              </w:rPr>
            </w:pPr>
          </w:p>
        </w:tc>
        <w:tc>
          <w:tcPr>
            <w:tcW w:w="2500" w:type="dxa"/>
            <w:vAlign w:val="center"/>
          </w:tcPr>
          <w:p w14:paraId="17DB77C9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密度单点监测</w:t>
            </w:r>
          </w:p>
        </w:tc>
        <w:tc>
          <w:tcPr>
            <w:tcW w:w="4500" w:type="dxa"/>
            <w:vAlign w:val="center"/>
          </w:tcPr>
          <w:p w14:paraId="2C5616F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对单点密度执行连续监测。</w:t>
            </w:r>
          </w:p>
        </w:tc>
      </w:tr>
      <w:tr w14:paraId="1A4384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460F44FC">
            <w:pPr>
              <w:rPr>
                <w:color w:val="auto"/>
              </w:rPr>
            </w:pPr>
          </w:p>
        </w:tc>
        <w:tc>
          <w:tcPr>
            <w:tcW w:w="2100" w:type="dxa"/>
            <w:vMerge w:val="restart"/>
            <w:vAlign w:val="center"/>
          </w:tcPr>
          <w:p w14:paraId="3507B98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密度分布测量</w:t>
            </w:r>
          </w:p>
        </w:tc>
        <w:tc>
          <w:tcPr>
            <w:tcW w:w="2500" w:type="dxa"/>
            <w:vAlign w:val="center"/>
          </w:tcPr>
          <w:p w14:paraId="72D4173B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分布测量</w:t>
            </w:r>
          </w:p>
        </w:tc>
        <w:tc>
          <w:tcPr>
            <w:tcW w:w="4500" w:type="dxa"/>
            <w:vAlign w:val="center"/>
          </w:tcPr>
          <w:p w14:paraId="40BB2037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执行密度分布测量。</w:t>
            </w:r>
          </w:p>
        </w:tc>
      </w:tr>
      <w:tr w14:paraId="0958AF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09867BE7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5F97CBB5">
            <w:pPr>
              <w:rPr>
                <w:color w:val="auto"/>
              </w:rPr>
            </w:pPr>
          </w:p>
        </w:tc>
        <w:tc>
          <w:tcPr>
            <w:tcW w:w="2500" w:type="dxa"/>
            <w:vAlign w:val="center"/>
          </w:tcPr>
          <w:p w14:paraId="443B891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国标分布测量</w:t>
            </w:r>
          </w:p>
        </w:tc>
        <w:tc>
          <w:tcPr>
            <w:tcW w:w="4500" w:type="dxa"/>
            <w:vAlign w:val="center"/>
          </w:tcPr>
          <w:p w14:paraId="4A9D22C5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执行国标密度分布测量。</w:t>
            </w:r>
          </w:p>
        </w:tc>
      </w:tr>
      <w:tr w14:paraId="3A1C8B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3BE561F5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789F9878">
            <w:pPr>
              <w:rPr>
                <w:color w:val="auto"/>
              </w:rPr>
            </w:pPr>
          </w:p>
        </w:tc>
        <w:tc>
          <w:tcPr>
            <w:tcW w:w="2500" w:type="dxa"/>
            <w:vAlign w:val="center"/>
          </w:tcPr>
          <w:p w14:paraId="3147D4A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密度每米测量</w:t>
            </w:r>
          </w:p>
        </w:tc>
        <w:tc>
          <w:tcPr>
            <w:tcW w:w="4500" w:type="dxa"/>
            <w:vAlign w:val="center"/>
          </w:tcPr>
          <w:p w14:paraId="67E460E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按每米间隔执行密度测量。</w:t>
            </w:r>
          </w:p>
        </w:tc>
      </w:tr>
      <w:tr w14:paraId="7E69E0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68798229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1CCA2D7C">
            <w:pPr>
              <w:rPr>
                <w:color w:val="auto"/>
              </w:rPr>
            </w:pPr>
          </w:p>
        </w:tc>
        <w:tc>
          <w:tcPr>
            <w:tcW w:w="2500" w:type="dxa"/>
            <w:vAlign w:val="center"/>
          </w:tcPr>
          <w:p w14:paraId="70CF906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区间密度测量</w:t>
            </w:r>
          </w:p>
        </w:tc>
        <w:tc>
          <w:tcPr>
            <w:tcW w:w="4500" w:type="dxa"/>
            <w:vAlign w:val="center"/>
          </w:tcPr>
          <w:p w14:paraId="66864F1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按设定区间执行密度测量。</w:t>
            </w:r>
          </w:p>
        </w:tc>
      </w:tr>
      <w:tr w14:paraId="03E5F2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6E7C6F6A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2A1578A8">
            <w:pPr>
              <w:rPr>
                <w:color w:val="auto"/>
              </w:rPr>
            </w:pPr>
          </w:p>
        </w:tc>
        <w:tc>
          <w:tcPr>
            <w:tcW w:w="2500" w:type="dxa"/>
            <w:vAlign w:val="center"/>
          </w:tcPr>
          <w:p w14:paraId="46C3CF9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瓦锡兰区间密度</w:t>
            </w:r>
          </w:p>
        </w:tc>
        <w:tc>
          <w:tcPr>
            <w:tcW w:w="4500" w:type="dxa"/>
            <w:vAlign w:val="center"/>
          </w:tcPr>
          <w:p w14:paraId="4AF52549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执行瓦锡兰区间密度测量流程。</w:t>
            </w:r>
          </w:p>
        </w:tc>
      </w:tr>
      <w:tr w14:paraId="11F411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7150F50A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75EEDDA1">
            <w:pPr>
              <w:rPr>
                <w:color w:val="auto"/>
              </w:rPr>
            </w:pPr>
          </w:p>
        </w:tc>
        <w:tc>
          <w:tcPr>
            <w:tcW w:w="2500" w:type="dxa"/>
            <w:vAlign w:val="center"/>
          </w:tcPr>
          <w:p w14:paraId="445566B5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SI Profile</w:t>
            </w:r>
          </w:p>
        </w:tc>
        <w:tc>
          <w:tcPr>
            <w:tcW w:w="4500" w:type="dxa"/>
            <w:vAlign w:val="center"/>
          </w:tcPr>
          <w:p w14:paraId="6F19E95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执行独立 SI Profile 测量；</w:t>
            </w:r>
          </w:p>
        </w:tc>
      </w:tr>
      <w:tr w14:paraId="0D365C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7EBAA329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</w:tcPr>
          <w:p w14:paraId="18AE72C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浮子运行到高度</w:t>
            </w:r>
          </w:p>
        </w:tc>
        <w:tc>
          <w:tcPr>
            <w:tcW w:w="2500" w:type="dxa"/>
            <w:vAlign w:val="center"/>
          </w:tcPr>
          <w:p w14:paraId="56B0911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-</w:t>
            </w:r>
          </w:p>
        </w:tc>
        <w:tc>
          <w:tcPr>
            <w:tcW w:w="4500" w:type="dxa"/>
            <w:vAlign w:val="center"/>
          </w:tcPr>
          <w:p w14:paraId="6F68402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控制浮子运行到指定高度</w:t>
            </w:r>
          </w:p>
        </w:tc>
      </w:tr>
      <w:tr w14:paraId="242F1B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666A9819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</w:tcPr>
          <w:p w14:paraId="7ED78A4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退出</w:t>
            </w:r>
          </w:p>
        </w:tc>
        <w:tc>
          <w:tcPr>
            <w:tcW w:w="2500" w:type="dxa"/>
            <w:vAlign w:val="center"/>
          </w:tcPr>
          <w:p w14:paraId="754C3C9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-</w:t>
            </w:r>
          </w:p>
        </w:tc>
        <w:tc>
          <w:tcPr>
            <w:tcW w:w="4500" w:type="dxa"/>
            <w:vAlign w:val="center"/>
          </w:tcPr>
          <w:p w14:paraId="0583C97B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返回主菜单。</w:t>
            </w:r>
          </w:p>
        </w:tc>
      </w:tr>
    </w:tbl>
    <w:p w14:paraId="0B513C4E">
      <w:pPr>
        <w:pStyle w:val="3"/>
        <w:keepNext/>
        <w:pageBreakBefore w:val="0"/>
        <w:pBdr>
          <w:left w:val="single" w:color="B6862D" w:sz="18" w:space="6"/>
          <w:bottom w:val="single" w:color="2A6F8E" w:sz="6" w:space="4"/>
        </w:pBdr>
        <w:spacing w:before="280" w:after="140" w:line="240" w:lineRule="auto"/>
        <w:rPr>
          <w:rFonts w:hint="eastAsia" w:ascii="宋体" w:hAnsi="宋体" w:eastAsia="宋体" w:cs="宋体"/>
          <w:color w:val="auto"/>
        </w:rPr>
      </w:pPr>
      <w:bookmarkStart w:id="9" w:name="_Toc16974"/>
      <w:bookmarkStart w:id="10" w:name="_Toc18599"/>
      <w:r>
        <w:rPr>
          <w:rFonts w:hint="eastAsia" w:ascii="宋体" w:hAnsi="宋体" w:eastAsia="宋体" w:cs="宋体"/>
          <w:b/>
          <w:color w:val="auto"/>
          <w:sz w:val="29"/>
        </w:rPr>
        <w:t>五、调试指令菜单</w:t>
      </w:r>
      <w:bookmarkEnd w:id="9"/>
      <w:bookmarkEnd w:id="10"/>
    </w:p>
    <w:p w14:paraId="7A4613A1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调试指令仍需输入屏幕密码。下表按程序菜单层级展开，浮子运动、标定修正、扭力标定、无线维护、系统维护均先进入分组，再选择具体命令。</w:t>
      </w:r>
    </w:p>
    <w:p w14:paraId="6060E9BA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7"/>
        </w:rPr>
        <w:t>表 5 调试指令菜单</w:t>
      </w:r>
    </w:p>
    <w:tbl>
      <w:tblPr>
        <w:tblStyle w:val="36"/>
        <w:tblW w:w="10700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100"/>
        <w:gridCol w:w="2500"/>
        <w:gridCol w:w="4500"/>
      </w:tblGrid>
      <w:tr w14:paraId="53C6F3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vAlign w:val="center"/>
          </w:tcPr>
          <w:p w14:paraId="49F7832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一级菜单</w:t>
            </w:r>
          </w:p>
        </w:tc>
        <w:tc>
          <w:tcPr>
            <w:tcW w:w="2100" w:type="dxa"/>
            <w:vAlign w:val="center"/>
          </w:tcPr>
          <w:p w14:paraId="1F4D4FB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二级菜单</w:t>
            </w:r>
          </w:p>
        </w:tc>
        <w:tc>
          <w:tcPr>
            <w:tcW w:w="2500" w:type="dxa"/>
            <w:vAlign w:val="center"/>
          </w:tcPr>
          <w:p w14:paraId="04509C9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三级菜单或页面</w:t>
            </w:r>
          </w:p>
        </w:tc>
        <w:tc>
          <w:tcPr>
            <w:tcW w:w="4500" w:type="dxa"/>
            <w:vAlign w:val="center"/>
          </w:tcPr>
          <w:p w14:paraId="2FA495E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说明</w:t>
            </w:r>
          </w:p>
        </w:tc>
      </w:tr>
      <w:tr w14:paraId="30C22A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restart"/>
            <w:vAlign w:val="center"/>
          </w:tcPr>
          <w:p w14:paraId="756F1449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调试指令</w:t>
            </w:r>
          </w:p>
        </w:tc>
        <w:tc>
          <w:tcPr>
            <w:tcW w:w="2100" w:type="dxa"/>
            <w:vMerge w:val="restart"/>
            <w:vAlign w:val="center"/>
          </w:tcPr>
          <w:p w14:paraId="669FE0C7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浮子运动控制</w:t>
            </w:r>
          </w:p>
        </w:tc>
        <w:tc>
          <w:tcPr>
            <w:tcW w:w="2500" w:type="dxa"/>
            <w:vAlign w:val="center"/>
          </w:tcPr>
          <w:p w14:paraId="1387AB65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上行</w:t>
            </w:r>
          </w:p>
        </w:tc>
        <w:tc>
          <w:tcPr>
            <w:tcW w:w="4500" w:type="dxa"/>
            <w:vAlign w:val="center"/>
          </w:tcPr>
          <w:p w14:paraId="3C02A77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按输入距离执行上行控制。</w:t>
            </w:r>
          </w:p>
        </w:tc>
      </w:tr>
      <w:tr w14:paraId="18F71D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7B2C3D6B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63234CFB">
            <w:pPr>
              <w:rPr>
                <w:color w:val="auto"/>
              </w:rPr>
            </w:pPr>
          </w:p>
        </w:tc>
        <w:tc>
          <w:tcPr>
            <w:tcW w:w="2500" w:type="dxa"/>
            <w:vAlign w:val="center"/>
          </w:tcPr>
          <w:p w14:paraId="5D1A9A40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下行</w:t>
            </w:r>
          </w:p>
        </w:tc>
        <w:tc>
          <w:tcPr>
            <w:tcW w:w="4500" w:type="dxa"/>
            <w:vAlign w:val="center"/>
          </w:tcPr>
          <w:p w14:paraId="550F7543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按输入距离执行下行控制。</w:t>
            </w:r>
          </w:p>
        </w:tc>
      </w:tr>
      <w:tr w14:paraId="12DAB3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5A9778B7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6CB0F5E6">
            <w:pPr>
              <w:rPr>
                <w:color w:val="auto"/>
              </w:rPr>
            </w:pPr>
          </w:p>
        </w:tc>
        <w:tc>
          <w:tcPr>
            <w:tcW w:w="2500" w:type="dxa"/>
            <w:vAlign w:val="center"/>
          </w:tcPr>
          <w:p w14:paraId="45064B1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强制上行</w:t>
            </w:r>
          </w:p>
        </w:tc>
        <w:tc>
          <w:tcPr>
            <w:tcW w:w="4500" w:type="dxa"/>
            <w:vAlign w:val="center"/>
          </w:tcPr>
          <w:p w14:paraId="30DF33F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强制执行上行控制。</w:t>
            </w:r>
          </w:p>
        </w:tc>
      </w:tr>
      <w:tr w14:paraId="13E6C6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7CB0E683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6EFA68F4">
            <w:pPr>
              <w:rPr>
                <w:color w:val="auto"/>
              </w:rPr>
            </w:pPr>
          </w:p>
        </w:tc>
        <w:tc>
          <w:tcPr>
            <w:tcW w:w="2500" w:type="dxa"/>
            <w:vAlign w:val="center"/>
          </w:tcPr>
          <w:p w14:paraId="4D8A6197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强制下行</w:t>
            </w:r>
          </w:p>
        </w:tc>
        <w:tc>
          <w:tcPr>
            <w:tcW w:w="4500" w:type="dxa"/>
            <w:vAlign w:val="center"/>
          </w:tcPr>
          <w:p w14:paraId="73FE74D7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强制执行下行控制。</w:t>
            </w:r>
          </w:p>
        </w:tc>
      </w:tr>
      <w:tr w14:paraId="3473AA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762B8F25">
            <w:pPr>
              <w:rPr>
                <w:color w:val="auto"/>
              </w:rPr>
            </w:pPr>
          </w:p>
        </w:tc>
        <w:tc>
          <w:tcPr>
            <w:tcW w:w="2100" w:type="dxa"/>
            <w:vMerge w:val="restart"/>
            <w:vAlign w:val="center"/>
          </w:tcPr>
          <w:p w14:paraId="00A6F5E3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标定修正</w:t>
            </w:r>
          </w:p>
        </w:tc>
        <w:tc>
          <w:tcPr>
            <w:tcW w:w="2500" w:type="dxa"/>
            <w:vAlign w:val="center"/>
          </w:tcPr>
          <w:p w14:paraId="7DAAF43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标定零点</w:t>
            </w:r>
          </w:p>
        </w:tc>
        <w:tc>
          <w:tcPr>
            <w:tcW w:w="4500" w:type="dxa"/>
            <w:vAlign w:val="center"/>
          </w:tcPr>
          <w:p w14:paraId="7B5B8E46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进入零点标定流程。</w:t>
            </w:r>
          </w:p>
        </w:tc>
      </w:tr>
      <w:tr w14:paraId="2DDF54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3AFF546A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29953628">
            <w:pPr>
              <w:rPr>
                <w:color w:val="auto"/>
              </w:rPr>
            </w:pPr>
          </w:p>
        </w:tc>
        <w:tc>
          <w:tcPr>
            <w:tcW w:w="2500" w:type="dxa"/>
            <w:vAlign w:val="center"/>
          </w:tcPr>
          <w:p w14:paraId="07324B81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标定液位</w:t>
            </w:r>
          </w:p>
        </w:tc>
        <w:tc>
          <w:tcPr>
            <w:tcW w:w="4500" w:type="dxa"/>
            <w:vAlign w:val="center"/>
          </w:tcPr>
          <w:p w14:paraId="3DA17F34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进入液位标定流程。</w:t>
            </w:r>
          </w:p>
        </w:tc>
      </w:tr>
      <w:tr w14:paraId="1C5697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06F615CB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0EB210D8">
            <w:pPr>
              <w:rPr>
                <w:color w:val="auto"/>
              </w:rPr>
            </w:pPr>
          </w:p>
        </w:tc>
        <w:tc>
          <w:tcPr>
            <w:tcW w:w="2500" w:type="dxa"/>
            <w:vAlign w:val="center"/>
          </w:tcPr>
          <w:p w14:paraId="16AC838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修正液位</w:t>
            </w:r>
          </w:p>
        </w:tc>
        <w:tc>
          <w:tcPr>
            <w:tcW w:w="4500" w:type="dxa"/>
            <w:vAlign w:val="center"/>
          </w:tcPr>
          <w:p w14:paraId="0BD0C12B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进入液位修正流程。</w:t>
            </w:r>
          </w:p>
        </w:tc>
      </w:tr>
      <w:tr w14:paraId="56A7FD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031BE5B6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62C7D5FB">
            <w:pPr>
              <w:rPr>
                <w:color w:val="auto"/>
              </w:rPr>
            </w:pPr>
          </w:p>
        </w:tc>
        <w:tc>
          <w:tcPr>
            <w:tcW w:w="2500" w:type="dxa"/>
            <w:vAlign w:val="center"/>
          </w:tcPr>
          <w:p w14:paraId="056DDF8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标定水位</w:t>
            </w:r>
          </w:p>
        </w:tc>
        <w:tc>
          <w:tcPr>
            <w:tcW w:w="4500" w:type="dxa"/>
            <w:vAlign w:val="center"/>
          </w:tcPr>
          <w:p w14:paraId="179F06C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进入水位标定流程。</w:t>
            </w:r>
          </w:p>
        </w:tc>
      </w:tr>
      <w:tr w14:paraId="557D50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60EB67B0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7C68302F">
            <w:pPr>
              <w:rPr>
                <w:color w:val="auto"/>
              </w:rPr>
            </w:pPr>
          </w:p>
        </w:tc>
        <w:tc>
          <w:tcPr>
            <w:tcW w:w="2500" w:type="dxa"/>
            <w:vAlign w:val="center"/>
          </w:tcPr>
          <w:p w14:paraId="340E1A2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标定罐高</w:t>
            </w:r>
          </w:p>
        </w:tc>
        <w:tc>
          <w:tcPr>
            <w:tcW w:w="4500" w:type="dxa"/>
            <w:vAlign w:val="center"/>
          </w:tcPr>
          <w:p w14:paraId="66E4EE16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进入罐高标定流程。</w:t>
            </w:r>
          </w:p>
        </w:tc>
      </w:tr>
      <w:tr w14:paraId="582760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0F7B4A15">
            <w:pPr>
              <w:rPr>
                <w:color w:val="auto"/>
              </w:rPr>
            </w:pPr>
          </w:p>
        </w:tc>
        <w:tc>
          <w:tcPr>
            <w:tcW w:w="2100" w:type="dxa"/>
            <w:vMerge w:val="restart"/>
            <w:vAlign w:val="center"/>
          </w:tcPr>
          <w:p w14:paraId="75B93DA5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扭力标定</w:t>
            </w:r>
          </w:p>
        </w:tc>
        <w:tc>
          <w:tcPr>
            <w:tcW w:w="2500" w:type="dxa"/>
            <w:vAlign w:val="center"/>
          </w:tcPr>
          <w:p w14:paraId="26B46777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获取空载扭力</w:t>
            </w:r>
          </w:p>
        </w:tc>
        <w:tc>
          <w:tcPr>
            <w:tcW w:w="4500" w:type="dxa"/>
            <w:vAlign w:val="center"/>
          </w:tcPr>
          <w:p w14:paraId="18149B89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下发后显示等待页，完成后返回扭力标定菜单。</w:t>
            </w:r>
          </w:p>
        </w:tc>
      </w:tr>
      <w:tr w14:paraId="19E53E4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31FCB771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589E5BAC">
            <w:pPr>
              <w:rPr>
                <w:color w:val="auto"/>
              </w:rPr>
            </w:pPr>
          </w:p>
        </w:tc>
        <w:tc>
          <w:tcPr>
            <w:tcW w:w="2500" w:type="dxa"/>
            <w:vAlign w:val="center"/>
          </w:tcPr>
          <w:p w14:paraId="70287CA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获取满载扭力</w:t>
            </w:r>
          </w:p>
        </w:tc>
        <w:tc>
          <w:tcPr>
            <w:tcW w:w="4500" w:type="dxa"/>
            <w:vAlign w:val="center"/>
          </w:tcPr>
          <w:p w14:paraId="4BB42A4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下发后显示等待页，完成后返回扭力标定菜单。</w:t>
            </w:r>
          </w:p>
        </w:tc>
      </w:tr>
      <w:tr w14:paraId="7205D3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1DCF30A9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</w:tcPr>
          <w:p w14:paraId="55EF03B4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无线维护</w:t>
            </w:r>
          </w:p>
        </w:tc>
        <w:tc>
          <w:tcPr>
            <w:tcW w:w="2500" w:type="dxa"/>
            <w:vAlign w:val="center"/>
          </w:tcPr>
          <w:p w14:paraId="5C8D51FB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匹配无线滑环</w:t>
            </w:r>
          </w:p>
        </w:tc>
        <w:tc>
          <w:tcPr>
            <w:tcW w:w="4500" w:type="dxa"/>
            <w:vAlign w:val="center"/>
          </w:tcPr>
          <w:p w14:paraId="7B8DABC3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匹配最近无线滑环；配对完成后的链路确认由 CH9141K 蓝牙主机从机状态查询支持。</w:t>
            </w:r>
          </w:p>
        </w:tc>
      </w:tr>
      <w:tr w14:paraId="23DA71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23531D72">
            <w:pPr>
              <w:rPr>
                <w:color w:val="auto"/>
              </w:rPr>
            </w:pPr>
          </w:p>
        </w:tc>
        <w:tc>
          <w:tcPr>
            <w:tcW w:w="2100" w:type="dxa"/>
            <w:vMerge w:val="restart"/>
            <w:vAlign w:val="center"/>
          </w:tcPr>
          <w:p w14:paraId="70A8E2F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系统维护</w:t>
            </w:r>
          </w:p>
        </w:tc>
        <w:tc>
          <w:tcPr>
            <w:tcW w:w="2500" w:type="dxa"/>
            <w:vAlign w:val="center"/>
          </w:tcPr>
          <w:p w14:paraId="61474A94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进入维护模式</w:t>
            </w:r>
          </w:p>
        </w:tc>
        <w:tc>
          <w:tcPr>
            <w:tcW w:w="4500" w:type="dxa"/>
            <w:vAlign w:val="center"/>
          </w:tcPr>
          <w:p w14:paraId="52466D4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进入维护/工厂模式。</w:t>
            </w:r>
          </w:p>
        </w:tc>
      </w:tr>
      <w:tr w14:paraId="01C678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7DBFB886">
            <w:pPr>
              <w:rPr>
                <w:color w:val="auto"/>
              </w:rPr>
            </w:pPr>
          </w:p>
        </w:tc>
        <w:tc>
          <w:tcPr>
            <w:tcW w:w="2100" w:type="dxa"/>
            <w:vMerge w:val="continue"/>
            <w:vAlign w:val="center"/>
          </w:tcPr>
          <w:p w14:paraId="2F5E6196">
            <w:pPr>
              <w:rPr>
                <w:color w:val="auto"/>
              </w:rPr>
            </w:pPr>
          </w:p>
        </w:tc>
        <w:tc>
          <w:tcPr>
            <w:tcW w:w="2500" w:type="dxa"/>
            <w:vAlign w:val="center"/>
          </w:tcPr>
          <w:p w14:paraId="084CCCB7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恢复出厂设置</w:t>
            </w:r>
          </w:p>
        </w:tc>
        <w:tc>
          <w:tcPr>
            <w:tcW w:w="4500" w:type="dxa"/>
            <w:vAlign w:val="center"/>
          </w:tcPr>
          <w:p w14:paraId="3CC6256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执行恢复出厂设置，保存前触发参数保护确认。</w:t>
            </w:r>
          </w:p>
        </w:tc>
      </w:tr>
      <w:tr w14:paraId="56682F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Merge w:val="continue"/>
            <w:vAlign w:val="center"/>
          </w:tcPr>
          <w:p w14:paraId="72F747F9">
            <w:pPr>
              <w:rPr>
                <w:color w:val="auto"/>
              </w:rPr>
            </w:pPr>
          </w:p>
        </w:tc>
        <w:tc>
          <w:tcPr>
            <w:tcW w:w="2100" w:type="dxa"/>
            <w:vAlign w:val="center"/>
          </w:tcPr>
          <w:p w14:paraId="04ACC48B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退出</w:t>
            </w:r>
          </w:p>
        </w:tc>
        <w:tc>
          <w:tcPr>
            <w:tcW w:w="2500" w:type="dxa"/>
            <w:vAlign w:val="center"/>
          </w:tcPr>
          <w:p w14:paraId="17BE744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-</w:t>
            </w:r>
          </w:p>
        </w:tc>
        <w:tc>
          <w:tcPr>
            <w:tcW w:w="4500" w:type="dxa"/>
            <w:vAlign w:val="center"/>
          </w:tcPr>
          <w:p w14:paraId="5A786E6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返回主菜单。</w:t>
            </w:r>
          </w:p>
        </w:tc>
      </w:tr>
    </w:tbl>
    <w:p w14:paraId="18CEC69D">
      <w:pPr>
        <w:pStyle w:val="3"/>
        <w:keepNext/>
        <w:pageBreakBefore w:val="0"/>
        <w:pBdr>
          <w:left w:val="single" w:color="B6862D" w:sz="18" w:space="6"/>
          <w:bottom w:val="single" w:color="2A6F8E" w:sz="6" w:space="4"/>
        </w:pBdr>
        <w:spacing w:before="280" w:after="140" w:line="252" w:lineRule="auto"/>
        <w:rPr>
          <w:rFonts w:hint="eastAsia" w:ascii="宋体" w:hAnsi="宋体" w:eastAsia="宋体" w:cs="宋体"/>
          <w:color w:val="auto"/>
        </w:rPr>
      </w:pPr>
      <w:bookmarkStart w:id="11" w:name="_Toc26557"/>
      <w:bookmarkStart w:id="12" w:name="_Toc3296"/>
      <w:r>
        <w:rPr>
          <w:rFonts w:hint="eastAsia" w:ascii="宋体" w:hAnsi="宋体" w:eastAsia="宋体" w:cs="宋体"/>
          <w:b/>
          <w:color w:val="auto"/>
          <w:sz w:val="29"/>
        </w:rPr>
        <w:t>六、参数配置菜单</w:t>
      </w:r>
      <w:bookmarkEnd w:id="11"/>
      <w:bookmarkEnd w:id="12"/>
    </w:p>
    <w:p w14:paraId="752C514E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参数配置首页分 5 类。标定液位、修正液位、标定水位、标定罐高、单点测量位置、单点监测位置、电机运行位置以及电机上/下行距离仍随测量或调试指令输入，不单独放入参数配置首页。CPU3 V1.18.0.0 起密度参数与手输密度按两位小数显示；CPU3 本机参数存储版本为 0x0005。RTC 设置在维护设置下，为 CPU3 本机时间操作页。现场查找参数时，先按测量、输出、通信、显示、维护五类定位，再进入对应二级页面。</w:t>
      </w:r>
    </w:p>
    <w:p w14:paraId="0D028B50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7"/>
        </w:rPr>
        <w:t>表 6 参数配置菜单总览</w:t>
      </w:r>
    </w:p>
    <w:tbl>
      <w:tblPr>
        <w:tblStyle w:val="36"/>
        <w:tblW w:w="10440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944"/>
        <w:gridCol w:w="2664"/>
        <w:gridCol w:w="4320"/>
      </w:tblGrid>
      <w:tr w14:paraId="0A41FE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7AB5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一级菜单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F328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二级菜单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14E6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三级菜单或页面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3F6C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说明</w:t>
            </w:r>
          </w:p>
        </w:tc>
      </w:tr>
      <w:tr w14:paraId="7C83013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D93C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参数配置</w:t>
            </w:r>
          </w:p>
        </w:tc>
        <w:tc>
          <w:tcPr>
            <w:tcW w:w="1944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CBC7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测量参数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6DB7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运行设置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0A46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上电默认、故障自动回零、故障停止测量、恢复重测次数、位置源自动切换。</w:t>
            </w:r>
          </w:p>
        </w:tc>
      </w:tr>
      <w:tr w14:paraId="27C6EF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DF2E9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81B2C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1CC9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电机与编码参数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A028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电机运行电流、编码轮周长、风速、首圈周长、尺带厚度等。</w:t>
            </w:r>
          </w:p>
        </w:tc>
      </w:tr>
      <w:tr w14:paraId="4CD798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8AD2D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7ED1E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8D00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扭力参数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7203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空载/满载扭力、扭力上下限、碰罐保护比例等。</w:t>
            </w:r>
          </w:p>
        </w:tc>
      </w:tr>
      <w:tr w14:paraId="19D53D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6446F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59927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53A8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零点参数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DD7E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零点阈值比例、扭力忽略区、零点最大偏差、找零下行距离。</w:t>
            </w:r>
          </w:p>
        </w:tc>
      </w:tr>
      <w:tr w14:paraId="3A0139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92E8D6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598C8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9712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液位参数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1CB9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液位罐高、探头距离、盲区、频率/滞后阈值、测量方式等。</w:t>
            </w:r>
          </w:p>
        </w:tc>
      </w:tr>
      <w:tr w14:paraId="4E584A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BC9DA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9EF5F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B001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水位参数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ECFD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水位罐高、距离、盲区、电容阈值、寻找电容阈值、水位最大下行距离等。</w:t>
            </w:r>
          </w:p>
        </w:tc>
      </w:tr>
      <w:tr w14:paraId="356B24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836B6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22788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617D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罐底与罐高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2E7D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罐底检测模式、角度/扭力阈值、更新罐高标志、实测罐高偏差、初始/当前罐高。</w:t>
            </w:r>
          </w:p>
        </w:tc>
      </w:tr>
      <w:tr w14:paraId="5B80AC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00452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020D6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8A03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密度测量参数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8662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普通分布、国标、每米和区间测量仍使用本项参数。</w:t>
            </w:r>
          </w:p>
        </w:tc>
      </w:tr>
      <w:tr w14:paraId="6359EC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08133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FAE13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B290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Wartsila参数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8E43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瓦锡兰区间密度测量的上限、下限、步进、安全距离、探底频次等。</w:t>
            </w:r>
          </w:p>
        </w:tc>
      </w:tr>
      <w:tr w14:paraId="5D7965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EF69D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676F9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8EC1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SI参数 -&gt; Profile参数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AD1E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SI 首点、SI 步距、SI 停留、SI 探底；映射 40001~40003 和 CPU2 SI profile 参数。</w:t>
            </w:r>
          </w:p>
        </w:tc>
      </w:tr>
      <w:tr w14:paraId="1F1CF5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C153E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315508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2A6B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SI参数 -&gt; 自动Profile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A494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SI 周期、SI 自动、SI 时、SI 分；映射 CPU3 本机自动 Profile 调度参数。</w:t>
            </w:r>
          </w:p>
        </w:tc>
      </w:tr>
      <w:tr w14:paraId="393E65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8D9E2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5D26D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22A2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SI参数 -&gt; 报警限值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B5EC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SI 低/高密限、低/高温限、LL/HH/低/高液位、温差限、密差限。</w:t>
            </w:r>
          </w:p>
        </w:tc>
      </w:tr>
      <w:tr w14:paraId="4AFFBF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10B82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5B9BC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D2E3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修正参数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1F6F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密度/温度修正、上次液位修正液位、气相温度、尺带伸缩率等。</w:t>
            </w:r>
          </w:p>
        </w:tc>
      </w:tr>
      <w:tr w14:paraId="52A676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D3CA8">
            <w:pPr>
              <w:rPr>
                <w:color w:val="auto"/>
              </w:rPr>
            </w:pPr>
          </w:p>
        </w:tc>
        <w:tc>
          <w:tcPr>
            <w:tcW w:w="1944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55F8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输出配置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5CC5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继电器报警输出 -&gt; K1~K4 -&gt; 通道设置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73E4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每路继电器先选 K1~K4，再进入通道设置。</w:t>
            </w:r>
          </w:p>
        </w:tc>
      </w:tr>
      <w:tr w14:paraId="63AED7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2DFDA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B3D7A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C57A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继电器报警输出 -&gt; K1~K4 -&gt; 报警配置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8ED4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每路继电器的报警模式、无效值策略、报警取值源、阈值、回差等。</w:t>
            </w:r>
          </w:p>
        </w:tc>
      </w:tr>
      <w:tr w14:paraId="757599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07354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17EB4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9852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继电器报警输出 -&gt; K1~K4 -&gt; 报警状态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7165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只读显示 CPU2 上报的报警运行态，不作为参数写入页。</w:t>
            </w:r>
          </w:p>
        </w:tc>
      </w:tr>
      <w:tr w14:paraId="4B14EE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9B121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6AE71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D934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AO输出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A3A6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AO 起点/终点液位、正常电流、独立报警液位、状态电流和 AO 输出使能。</w:t>
            </w:r>
          </w:p>
        </w:tc>
      </w:tr>
      <w:tr w14:paraId="718B0B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DC67A">
            <w:pPr>
              <w:rPr>
                <w:color w:val="auto"/>
              </w:rPr>
            </w:pPr>
          </w:p>
        </w:tc>
        <w:tc>
          <w:tcPr>
            <w:tcW w:w="1944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243F8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通信设置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7A5A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COM1配置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F8F5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协议、波特率、数据位、校验、停止位。</w:t>
            </w:r>
          </w:p>
        </w:tc>
      </w:tr>
      <w:tr w14:paraId="10DB16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E9CE0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1A710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7F4F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COM2配置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9420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协议、波特率、数据位、校验、停止位。</w:t>
            </w:r>
          </w:p>
        </w:tc>
      </w:tr>
      <w:tr w14:paraId="57C99D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5DF25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53AB5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FFDE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COM3配置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F320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协议、波特率、数据位、校验、停止位。</w:t>
            </w:r>
          </w:p>
        </w:tc>
      </w:tr>
      <w:tr w14:paraId="6A38C5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0DEAB">
            <w:pPr>
              <w:rPr>
                <w:color w:val="auto"/>
              </w:rPr>
            </w:pPr>
          </w:p>
        </w:tc>
        <w:tc>
          <w:tcPr>
            <w:tcW w:w="1944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5C19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显示设置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4242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显示基础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D295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小数点位数、息屏开关、屏幕亮度等。</w:t>
            </w:r>
          </w:p>
        </w:tc>
      </w:tr>
      <w:tr w14:paraId="05A0F7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4A5F1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4A488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5313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语言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DAF9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显示语言参数入口。</w:t>
            </w:r>
          </w:p>
        </w:tc>
      </w:tr>
      <w:tr w14:paraId="5BEECC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8882F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2EFD5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932A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屏幕密码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8E76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屏幕菜单密码。</w:t>
            </w:r>
          </w:p>
        </w:tc>
      </w:tr>
      <w:tr w14:paraId="11E533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9DA8E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E7EA6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7EAA0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数据源与手输值 -&gt; 液位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361D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液位数据源和液位手输值。</w:t>
            </w:r>
          </w:p>
        </w:tc>
      </w:tr>
      <w:tr w14:paraId="564AE7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FF356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2B975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AE0C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数据源与手输值 -&gt; 水位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D5B3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水位数据源和水位手输值。</w:t>
            </w:r>
          </w:p>
        </w:tc>
      </w:tr>
      <w:tr w14:paraId="1C9509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B38505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FD4C1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9A66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数据源与手输值 -&gt; 密度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2E2F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密度数据源、密度手输值、上传手输密度。</w:t>
            </w:r>
          </w:p>
        </w:tc>
      </w:tr>
      <w:tr w14:paraId="6E5FD1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F5BCE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3AC45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93DA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数据源与手输值 -&gt; 温度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AF8F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温度数据源和温度手输值。</w:t>
            </w:r>
          </w:p>
        </w:tc>
      </w:tr>
      <w:tr w14:paraId="5A9DB0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96B46">
            <w:pPr>
              <w:rPr>
                <w:color w:val="auto"/>
              </w:rPr>
            </w:pPr>
          </w:p>
        </w:tc>
        <w:tc>
          <w:tcPr>
            <w:tcW w:w="1944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26E2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维护设置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8859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设备信息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D56EE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传感器类型/编号/版本、CPU2/CPU3 版本和协议版本。</w:t>
            </w:r>
          </w:p>
        </w:tc>
      </w:tr>
      <w:tr w14:paraId="5F33888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0517E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57C37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33FF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参数校验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AB79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参数版本、结构体大小、魔术字、CRC。</w:t>
            </w:r>
          </w:p>
        </w:tc>
      </w:tr>
      <w:tr w14:paraId="6EA474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765F1">
            <w:pPr>
              <w:rPr>
                <w:color w:val="auto"/>
              </w:rPr>
            </w:pPr>
          </w:p>
        </w:tc>
        <w:tc>
          <w:tcPr>
            <w:tcW w:w="194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C2DFB">
            <w:pPr>
              <w:rPr>
                <w:color w:val="auto"/>
              </w:rPr>
            </w:pP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000F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RTC设置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B111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CPU3 本机日期时间设置。</w:t>
            </w:r>
          </w:p>
        </w:tc>
      </w:tr>
    </w:tbl>
    <w:p w14:paraId="5367214B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0A7D8E7B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13" w:name="_Toc13286"/>
      <w:bookmarkStart w:id="14" w:name="_Toc15062"/>
      <w:r>
        <w:rPr>
          <w:rFonts w:hint="eastAsia" w:ascii="宋体" w:hAnsi="宋体" w:eastAsia="宋体" w:cs="宋体"/>
          <w:b/>
          <w:color w:val="auto"/>
          <w:sz w:val="22"/>
        </w:rPr>
        <w:t>6.1 测量参数 / 运行设置</w:t>
      </w:r>
      <w:bookmarkEnd w:id="13"/>
      <w:bookmarkEnd w:id="14"/>
    </w:p>
    <w:p w14:paraId="0D67E0DF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菜单路径：参数配置 -&gt; 测量参数 -&gt; 运行设置。</w:t>
      </w:r>
    </w:p>
    <w:p w14:paraId="67F9E74B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7"/>
        </w:rPr>
        <w:t>表 6-1 测量参数 / 运行设置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3AE891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9301BB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5CF052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BCA07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D6022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默认值/现场设置值</w:t>
            </w:r>
          </w:p>
        </w:tc>
      </w:tr>
      <w:tr w14:paraId="44CFC2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69FD2B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上电默认指令（上电指令）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E996FA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设定设备上电后默认进入或保持的工作命令。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0C8469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权限/范围：可写；0=无；1=回零点；2=寻找液位；3=单点监测；4=水位跟随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85A671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默认值：0（无）</w:t>
            </w:r>
          </w:p>
        </w:tc>
      </w:tr>
      <w:tr w14:paraId="403FEC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40B6D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故障自动回零（故障回零）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1C3390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控制故障处理后是否自动执行回零流程。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91077C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1CC47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默认值：0（否）</w:t>
            </w:r>
          </w:p>
        </w:tc>
      </w:tr>
      <w:tr w14:paraId="064AA0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553A0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故障停止测量（故障停测）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AE8B43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控制发生故障时是否中止当前测量流程。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D3AC6D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ABC526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默认值：1（是）</w:t>
            </w:r>
          </w:p>
        </w:tc>
      </w:tr>
      <w:tr w14:paraId="159D60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6DD55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故障自动恢复重跑次数（重跑次数）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C03345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控制故障恢复确认成功后，原测量命令最多自动重跑次数；0 表示关闭自动恢复重跑。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备注：大于 10 时 CPU2 按默认 3 归一化。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0E268A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 ~ 10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单位/小数：次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BFF6EF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默认值：3</w:t>
            </w:r>
          </w:p>
        </w:tc>
      </w:tr>
      <w:tr w14:paraId="04686F9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340102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位置源自动切换（位置源切换）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128D4A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控制测量流程是否在编码轮和电机步进位置源之间自动切换。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E3DEF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权限/范围：可写；0=禁用；1=启用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EF2AE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默认值：0（禁用）</w:t>
            </w:r>
          </w:p>
        </w:tc>
      </w:tr>
    </w:tbl>
    <w:p w14:paraId="77769336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6A24F4AE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15" w:name="_Toc6297"/>
      <w:bookmarkStart w:id="16" w:name="_Toc3971"/>
      <w:r>
        <w:rPr>
          <w:rFonts w:hint="eastAsia" w:ascii="宋体" w:hAnsi="宋体" w:eastAsia="宋体" w:cs="宋体"/>
          <w:b/>
          <w:color w:val="auto"/>
          <w:sz w:val="22"/>
        </w:rPr>
        <w:t>6.2 测量参数 / 电机与编码参数</w:t>
      </w:r>
      <w:bookmarkEnd w:id="15"/>
      <w:bookmarkEnd w:id="16"/>
    </w:p>
    <w:p w14:paraId="205E2A10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菜单路径：参数配置 -&gt; 测量参数 -&gt; 电机与编码参数。</w:t>
      </w:r>
    </w:p>
    <w:p w14:paraId="279BA120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7"/>
        </w:rPr>
        <w:t>表 6-2 测量参数 / 电机与编码参数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570C7D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83A734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E2D6F1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AAEE0A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4FD82B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默认值/现场设置值</w:t>
            </w:r>
          </w:p>
        </w:tc>
      </w:tr>
      <w:tr w14:paraId="55868F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2831E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电机运行电流（电机电流）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A7058C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设置电机驱动运行电流，影响电机力矩和发热。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BEA5B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权限/范围：可写；1 ~ 31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110B46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默认值：12（TMC5130 IRUN）</w:t>
            </w:r>
          </w:p>
        </w:tc>
      </w:tr>
      <w:tr w14:paraId="1421C5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ED130C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编码轮周长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78D635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用于把编码轮脉冲换算为尺带移动长度。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4CB7F4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单位/小数：mm / 小数3位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159CA8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默认值：95.000 mm</w:t>
            </w:r>
          </w:p>
        </w:tc>
      </w:tr>
      <w:tr w14:paraId="5D0CE9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EFAE15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电机限速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E755A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限制电机运行速度，供自动测量和调试运动使用。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9DEC9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单位/小数：m/min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045783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默认值：2.00 m/min</w:t>
            </w:r>
          </w:p>
        </w:tc>
      </w:tr>
      <w:tr w14:paraId="5AA1BA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67788A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首圈周长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2D3EA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尺带模型的首圈周长，用于卷绕长度补偿。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4D927C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50806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默认值：600.0 mm</w:t>
            </w:r>
          </w:p>
        </w:tc>
      </w:tr>
      <w:tr w14:paraId="75FE85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60C366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尺带厚度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8B070C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尺带模型的厚度参数，用于卷绕半径补偿。</w:t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br w:type="textWrapping"/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BCF31C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  <w:sz w:val="17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权限/范围：可写；PET=0.300mm，PEEK=0.500mm，ETFE=1.100mm，</w:t>
            </w:r>
          </w:p>
          <w:p w14:paraId="4965DA0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手输=按原数值输入</w:t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t>单位/小数：mm / 小数3位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F27C0D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默认值：0.200 mm</w:t>
            </w:r>
          </w:p>
        </w:tc>
      </w:tr>
      <w:tr w14:paraId="63D486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EE12F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记步模式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92C5F1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选择位置计算来源，使用编码轮或电机步进计数。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5B2661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权限/范围：可写；0=编码器；1=电机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BB344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默认值：0（编码器）</w:t>
            </w:r>
          </w:p>
        </w:tc>
      </w:tr>
      <w:tr w14:paraId="0DC90E8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B2B513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电机局部周长（局部周长）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1944B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电机步进记步模式下使用的局部尺带周长。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EE8C42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权限/范围：可写；50000 ~ 5000000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单位/小数：mm / 小数3位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99C0C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默认值：600.000 mm</w:t>
            </w:r>
          </w:p>
        </w:tc>
      </w:tr>
    </w:tbl>
    <w:p w14:paraId="782159AE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1477E949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17" w:name="_Toc17915"/>
      <w:bookmarkStart w:id="18" w:name="_Toc19076"/>
      <w:r>
        <w:rPr>
          <w:rFonts w:hint="eastAsia" w:ascii="宋体" w:hAnsi="宋体" w:eastAsia="宋体" w:cs="宋体"/>
          <w:b/>
          <w:color w:val="auto"/>
          <w:sz w:val="22"/>
        </w:rPr>
        <w:t>6.3 测量参数 / 扭力参数</w:t>
      </w:r>
      <w:bookmarkEnd w:id="17"/>
      <w:bookmarkEnd w:id="18"/>
    </w:p>
    <w:p w14:paraId="638FE5AC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菜单路径：参数配置 -&gt; 测量参数 -&gt; 扭力参数。</w:t>
      </w:r>
    </w:p>
    <w:p w14:paraId="474727A1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7"/>
        </w:rPr>
        <w:t>表 6-3 测量参数 / 扭力参数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6DE86E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1E8D3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6B21C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86BED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86ECE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默认值/现场设置值</w:t>
            </w:r>
          </w:p>
        </w:tc>
      </w:tr>
      <w:tr w14:paraId="5238A2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61710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空载扭力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26DD7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记录空载扭力基准，用于判断浮子和探头状态。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A4654D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0D40B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</w:t>
            </w:r>
          </w:p>
        </w:tc>
      </w:tr>
      <w:tr w14:paraId="5D573D9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E35BE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空载扭力上限（空载上限）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A8E8FD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空载标定或检查时允许的最大值。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E48036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AECBB9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默认值：5000</w:t>
            </w:r>
          </w:p>
        </w:tc>
      </w:tr>
      <w:tr w14:paraId="0F2052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B20D19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空载扭力下限（空载下限）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2C0FD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空载标定或检查时允许的最小值。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B224F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FFE659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</w:t>
            </w:r>
          </w:p>
        </w:tc>
      </w:tr>
      <w:tr w14:paraId="1C0833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66709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满载扭力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B43B54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记录满载扭力基准，碰撞和零点判断以此为参考。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ABC807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7DA32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默认值：5000</w:t>
            </w:r>
          </w:p>
        </w:tc>
      </w:tr>
      <w:tr w14:paraId="47A4E5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1760AB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满载扭力上限（满载上限）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5F8BE9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满载标定或检查时允许的最大值。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2107D0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D484CA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默认值：30000</w:t>
            </w:r>
          </w:p>
        </w:tc>
      </w:tr>
      <w:tr w14:paraId="310EEB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9DFCD1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满载扭力下限（满载下限）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23505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满载标定或检查时允许的最小值。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F88F97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119C1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默认值：1000</w:t>
            </w:r>
          </w:p>
        </w:tc>
      </w:tr>
      <w:tr w14:paraId="6FC967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24113F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碰撞上限比率（碰撞上限）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65B629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上行时扭力变大判定的比例阈值，用于碰撞保护。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135EAE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单位/小数：%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C88F37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默认值：80%</w:t>
            </w:r>
          </w:p>
        </w:tc>
      </w:tr>
      <w:tr w14:paraId="2EBF9A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646377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碰撞下限比率（碰撞下限）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55B305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下行时扭力变小判定的比例阈值，用于碰撞或失重保护。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2E24B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单位/小数：%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F6C0FC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默认值：80%</w:t>
            </w:r>
          </w:p>
        </w:tc>
      </w:tr>
    </w:tbl>
    <w:p w14:paraId="781342B1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2E5A32D3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19" w:name="_Toc24345"/>
      <w:bookmarkStart w:id="20" w:name="_Toc12377"/>
      <w:r>
        <w:rPr>
          <w:rFonts w:hint="eastAsia" w:ascii="宋体" w:hAnsi="宋体" w:eastAsia="宋体" w:cs="宋体"/>
          <w:b/>
          <w:color w:val="auto"/>
          <w:sz w:val="22"/>
        </w:rPr>
        <w:t>6.4 测量参数 / 零点参数</w:t>
      </w:r>
      <w:bookmarkEnd w:id="19"/>
      <w:bookmarkEnd w:id="20"/>
    </w:p>
    <w:p w14:paraId="48C334FF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菜单路径：参数配置 -&gt; 测量参数 -&gt; 零点参数。</w:t>
      </w:r>
    </w:p>
    <w:p w14:paraId="1C195A7A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7"/>
        </w:rPr>
        <w:t>表 6-4 测量参数 / 零点参数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7FB66A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E2D27A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E39CFD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049891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D2938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默认值/现场设置值</w:t>
            </w:r>
          </w:p>
        </w:tc>
      </w:tr>
      <w:tr w14:paraId="0A780B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5C4F5A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零点阈值比例（零点阈值）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C4ADDD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在满载扭力基础上形成零点判断阈值。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5DE779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 ~ 100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单位/小数：%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8FF221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默认值：50%</w:t>
            </w:r>
          </w:p>
        </w:tc>
      </w:tr>
      <w:tr w14:paraId="73FD60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16493B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扭力忽略区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41334F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靠近零点的距离范围内不做碰撞扭力判断。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4F28AB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B335E6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默认值：100.0 mm</w:t>
            </w:r>
          </w:p>
        </w:tc>
      </w:tr>
      <w:tr w14:paraId="557F0F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CE576A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零点最大偏差（零点偏差）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A31A3B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回零后允许的位置偏差，超出时提示零点异常。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2F427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9B042C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默认值：100.0 mm</w:t>
            </w:r>
          </w:p>
        </w:tc>
      </w:tr>
      <w:tr w14:paraId="37E6FA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AEE7E6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找零下行距离（找零距离）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F4BFE9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找零结束后向下移动的距离，用于离开零点区域。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A581E9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FABD28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默认值：100.0 mm</w:t>
            </w:r>
          </w:p>
        </w:tc>
      </w:tr>
    </w:tbl>
    <w:p w14:paraId="77E14449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3E4BCB1D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21" w:name="_Toc21729"/>
      <w:bookmarkStart w:id="22" w:name="_Toc13440"/>
      <w:r>
        <w:rPr>
          <w:rFonts w:hint="eastAsia" w:ascii="宋体" w:hAnsi="宋体" w:eastAsia="宋体" w:cs="宋体"/>
          <w:b/>
          <w:color w:val="auto"/>
          <w:sz w:val="22"/>
        </w:rPr>
        <w:t>6.5 测量参数 / 液位参数</w:t>
      </w:r>
      <w:bookmarkEnd w:id="21"/>
      <w:bookmarkEnd w:id="22"/>
    </w:p>
    <w:p w14:paraId="65FCC508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菜单路径：参数配置 -&gt; 测量参数 -&gt; 液位参数。</w:t>
      </w:r>
    </w:p>
    <w:p w14:paraId="5B172C17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7"/>
        </w:rPr>
        <w:t>表 6-5 测量参数 / 液位参数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1F2952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6C312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6BC2E3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26C72F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1D2B5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默认值/现场设置值</w:t>
            </w:r>
          </w:p>
        </w:tc>
      </w:tr>
      <w:tr w14:paraId="65EB99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9CFE4B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液位罐高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F10317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液位计算使用的罐高基准，位置换算以此为上限。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4850FB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A688E4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默认值：20000.0 mm</w:t>
            </w:r>
          </w:p>
        </w:tc>
      </w:tr>
      <w:tr w14:paraId="26116C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EB362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液位探头距差（探头距差）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6F198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修正液位传感器与实际测点之间的距离差。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5F254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90EB2C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默认值：150.0 mm</w:t>
            </w:r>
          </w:p>
        </w:tc>
      </w:tr>
      <w:tr w14:paraId="0AB485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61C03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液位盲区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A4FC8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罐底附近不可作为有效液位的区域，同时限制密度测点下限。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33C6B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3E039A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默认值：300.0 mm</w:t>
            </w:r>
          </w:p>
        </w:tc>
      </w:tr>
      <w:tr w14:paraId="7CD9A1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F337BC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液位找液阈值（找液阈值）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24F1B5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判断探头进入液体时的频率变化阈值。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B653A1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 | 单位/小数：Hz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BE297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默认值：15.0 Hz</w:t>
            </w:r>
          </w:p>
        </w:tc>
      </w:tr>
      <w:tr w14:paraId="7295D8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398C14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液位滞后阈值（滞后阈值）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9664FC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判断液位信号稳定的频率滞后阈值，减少抖动误判。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BB49D6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 | 单位/小数：Hz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C8CE5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默认值：20.0 Hz</w:t>
            </w:r>
          </w:p>
        </w:tc>
      </w:tr>
      <w:tr w14:paraId="36CE33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8F0CA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液位测量方式（液位方式）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28450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选择液位跟随算法，决定按频率、密度、振动管或连续跟随方式判断。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备注：选项型参数，屏幕按中文候选项显示，越界时显示“非法配置”。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E05BAF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权限/范围：可写；0=相对频率；1=定频；2=密度找液位；3=超声预留；4=连续相对频率；5=连续定频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859F3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默认值：0（相对频率）</w:t>
            </w:r>
          </w:p>
        </w:tc>
      </w:tr>
      <w:tr w14:paraId="3DD0D1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098055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液位跟随频率（跟随频率）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0A4A4A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固定频率跟随方式下使用的目标频率。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781D2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单位/小数：Hz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B8F7E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默认值：5500 Hz</w:t>
            </w:r>
          </w:p>
        </w:tc>
      </w:tr>
      <w:tr w14:paraId="442C32B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11EB89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液位跟随密度（跟随密度）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10DB14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密度换算跟随方式下使用的目标密度。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6486B8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 | 单位/小数：kg/m3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F2988F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默认值：0.00 kg/m3</w:t>
            </w:r>
          </w:p>
        </w:tc>
      </w:tr>
      <w:tr w14:paraId="6E36F8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6BA5E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液位滞后时间（滞后时间）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18B1C2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液位跟随稳定后等待确认的时间。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5076ED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单位/小数：s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B71B8D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 s</w:t>
            </w:r>
          </w:p>
        </w:tc>
      </w:tr>
    </w:tbl>
    <w:p w14:paraId="7D11AF39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6C1819BE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23" w:name="_Toc336"/>
      <w:bookmarkStart w:id="24" w:name="_Toc22664"/>
      <w:r>
        <w:rPr>
          <w:rFonts w:hint="eastAsia" w:ascii="宋体" w:hAnsi="宋体" w:eastAsia="宋体" w:cs="宋体"/>
          <w:b/>
          <w:color w:val="auto"/>
          <w:sz w:val="22"/>
        </w:rPr>
        <w:t>6.6 测量参数 / 水位参数</w:t>
      </w:r>
      <w:bookmarkEnd w:id="23"/>
      <w:bookmarkEnd w:id="24"/>
    </w:p>
    <w:p w14:paraId="567B3E91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菜单路径：参数配置 -&gt; 测量参数 -&gt; 水位参数。水位测量方式显示侧将非 0 归一为快速模式，保存时按 0/1 写入。</w:t>
      </w:r>
    </w:p>
    <w:p w14:paraId="2C857201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7"/>
        </w:rPr>
        <w:t>表 6-6 测量参数 / 水位参数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444E25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47C08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522BF5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C684F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FCB62E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默认值/现场设置值</w:t>
            </w:r>
          </w:p>
        </w:tc>
      </w:tr>
      <w:tr w14:paraId="14CD11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AF25BC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水位罐高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6821AF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水位测量使用的罐高基准。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387391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D9564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默认值：20000.0 mm</w:t>
            </w:r>
          </w:p>
        </w:tc>
      </w:tr>
      <w:tr w14:paraId="64DFE9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87569B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水位测量方式（水位方式）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3C93F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选择水位找点和跟随流程：0 为低速/慢速流程，1 为快速状态翻转流程。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备注：CPU2 仍兼容 0/非0 语义；屏幕保存时归一为 0/1。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BFEDD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权限/范围：可写；0=低速模式；1=快速模式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E64BB2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默认值：0（低速模式）</w:t>
            </w:r>
          </w:p>
        </w:tc>
      </w:tr>
      <w:tr w14:paraId="1116FA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1688E5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水位盲区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7A6CA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罐底附近不作为有效水位判断的区域。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D8569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B926C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默认值：30.0 mm</w:t>
            </w:r>
          </w:p>
        </w:tc>
      </w:tr>
      <w:tr w14:paraId="5ED491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6AE0AE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水位跟随电容阈值（跟随阈值）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CC18E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水位电容阈值(x1000)，电容跟随值为零点电容值+水位电容阈值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7AA19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单位/小数：pF / 小数3位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23CD5A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默认值：20.000 pF</w:t>
            </w:r>
          </w:p>
        </w:tc>
      </w:tr>
      <w:tr w14:paraId="5B6651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9FFEE9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水位寻找电容阈值（寻找阈值）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FBEF5D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水位寻找电容阈值(x1000)，电容值在（跟随值±水位寻找电容阈值）区间内时连续5次认为找到水位，进入稳定监测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3B1B6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 | 单位/小数：pF / 小数3位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4562F1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默认值：10.000 pF</w:t>
            </w:r>
          </w:p>
        </w:tc>
      </w:tr>
      <w:tr w14:paraId="6C874F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5AC30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水位最大下行距离（下行距离）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C5C8D5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水位测量时允许向下搜索的最大距离。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A535D3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20084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默认值：300.0 mm</w:t>
            </w:r>
          </w:p>
        </w:tc>
      </w:tr>
      <w:tr w14:paraId="4936D6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0078F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零点电容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543BB6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水位传感器零点电容基准，用于相对变化判断。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EC9471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单位/小数：pF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8FD456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默认值：0.0 pF</w:t>
            </w:r>
          </w:p>
        </w:tc>
      </w:tr>
      <w:tr w14:paraId="4F3418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2E30A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水位稳定阈值（稳定阈值）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C0E462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判断快速找水位结果稳定所需的波动范围。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CC2F1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2748AB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默认值：50.0 mm</w:t>
            </w:r>
          </w:p>
        </w:tc>
      </w:tr>
      <w:tr w14:paraId="15290B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17A2F4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水位修正值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A88E2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对最终水位结果进行现场偏差修正。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A5FBE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174FA9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默认值：0.0 mm</w:t>
            </w:r>
          </w:p>
        </w:tc>
      </w:tr>
      <w:tr w14:paraId="48A0CE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20F59B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水位滞后电容阈值（滞后阈值）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9CB9D1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水位稳定监测中允许的电容滞后偏差，超出后重新寻找水位。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E42D7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单位/小数：pF / 小数3位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6B257A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默认值：30.000 pF</w:t>
            </w:r>
          </w:p>
        </w:tc>
      </w:tr>
    </w:tbl>
    <w:p w14:paraId="190F85D8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2F1E78FA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25" w:name="_Toc7964"/>
      <w:bookmarkStart w:id="26" w:name="_Toc9892"/>
      <w:r>
        <w:rPr>
          <w:rFonts w:hint="eastAsia" w:ascii="宋体" w:hAnsi="宋体" w:eastAsia="宋体" w:cs="宋体"/>
          <w:b/>
          <w:color w:val="auto"/>
          <w:sz w:val="22"/>
        </w:rPr>
        <w:t>6.7 测量参数 / 罐底与罐高</w:t>
      </w:r>
      <w:bookmarkEnd w:id="25"/>
      <w:bookmarkEnd w:id="26"/>
    </w:p>
    <w:p w14:paraId="3351CCD5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菜单路径：参数配置 -&gt; 测量参数 -&gt; 罐底与罐高。</w:t>
      </w:r>
    </w:p>
    <w:p w14:paraId="71F7405A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7"/>
        </w:rPr>
        <w:t>表 6-7 测量参数 / 罐底与罐高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09D2BF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A4CB14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61255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C66903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88C11E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默认值/现场设置值</w:t>
            </w:r>
          </w:p>
        </w:tc>
      </w:tr>
      <w:tr w14:paraId="6ADA6B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2C2FFB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罐底检测模式（罐底模式）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DF695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选择罐底识别方式，决定使用扭力或陀螺仪角度判断。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15AE86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权限/范围：可写；0=扭力；1=角度 | 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1F74D7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默认值：0（扭力）</w:t>
            </w:r>
          </w:p>
        </w:tc>
      </w:tr>
      <w:tr w14:paraId="07B0ADB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C2F6A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探底角度阈值（角度阈值）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23EEC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角度方式检测罐底时使用的触发阈值。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464EA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单位/小数：°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902A6C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默认值：12°</w:t>
            </w:r>
          </w:p>
        </w:tc>
      </w:tr>
      <w:tr w14:paraId="67616B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B8EE1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探底扭力阈值（扭力阈值）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9B32D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扭力方式检测罐底时使用的触发阈值。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A88840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A4BB76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默认值：500</w:t>
            </w:r>
          </w:p>
        </w:tc>
      </w:tr>
      <w:tr w14:paraId="0A9C88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DA918C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更新罐高标志（更新罐高）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DF3D6A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控制罐底测量完成后是否更新罐高参数。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8080F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B64553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默认值：0（否）</w:t>
            </w:r>
          </w:p>
        </w:tc>
      </w:tr>
      <w:tr w14:paraId="62103F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98141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实测罐高最大偏差（罐高偏差）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5AEF54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实测罐高与已有罐高允许的最大偏差。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07365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F165C8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默认值：100.0 mm</w:t>
            </w:r>
          </w:p>
        </w:tc>
      </w:tr>
      <w:tr w14:paraId="74259B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1BF655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初始罐高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3F4A0C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保存测量前的罐高基准，便于比较实测结果。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AD07D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481461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默认值：0.0 mm</w:t>
            </w:r>
          </w:p>
        </w:tc>
      </w:tr>
      <w:tr w14:paraId="19A5A08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89755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当前罐高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CF550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保存最近一次测得或使用的罐高值。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934E08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498252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默认值：0.0 mm</w:t>
            </w:r>
          </w:p>
        </w:tc>
      </w:tr>
      <w:tr w14:paraId="53337B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4FEDA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罐底后编码器修正（探底后修正）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79870D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控制罐底测量完成后是否修正编码器位置。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66C8B8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D1A6AF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默认值：0（否）</w:t>
            </w:r>
          </w:p>
        </w:tc>
      </w:tr>
    </w:tbl>
    <w:p w14:paraId="35C9BCB4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51F90E89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27" w:name="_Toc27305"/>
      <w:r>
        <w:rPr>
          <w:rFonts w:hint="eastAsia" w:ascii="宋体" w:hAnsi="宋体" w:eastAsia="宋体" w:cs="宋体"/>
          <w:b/>
          <w:color w:val="auto"/>
          <w:sz w:val="22"/>
        </w:rPr>
        <w:t>6.8 测量参数 / 密度测量参数</w:t>
      </w:r>
      <w:bookmarkEnd w:id="27"/>
    </w:p>
    <w:p w14:paraId="5A980C87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菜单路径：参数配置 -&gt; 测量参数 -&gt; 密度测量参数。</w:t>
      </w:r>
    </w:p>
    <w:p w14:paraId="7935C413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7"/>
        </w:rPr>
        <w:t>表 6-8 测量参数 / 密度测量参数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42BF20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FC8CBF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11F6D0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CDF930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B7D20D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默认值/现场设置值</w:t>
            </w:r>
          </w:p>
        </w:tc>
      </w:tr>
      <w:tr w14:paraId="38FA55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16040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是否测罐底（测罐底）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DCE72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控制密度分布或区间流程前是否先测罐底。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21ABB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8B16BA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默认值：0（否）</w:t>
            </w:r>
          </w:p>
        </w:tc>
      </w:tr>
      <w:tr w14:paraId="1806BF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F27CE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是否测水位（测水位）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7D3FC1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控制密度分布或区间流程中是否同时测水位。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71AEAB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E23FE4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默认值：0（否）</w:t>
            </w:r>
          </w:p>
        </w:tc>
      </w:tr>
      <w:tr w14:paraId="10894F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685036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是否测单点密度（测单点密度）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45354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控制分布测量流程是否包含单点密度测量。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E2EDE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C02D9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默认值：0（否）</w:t>
            </w:r>
          </w:p>
        </w:tc>
      </w:tr>
      <w:tr w14:paraId="082D5E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8986D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分布测顺序（分布顺序）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B18A5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设置分布测量点的执行顺序。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85985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权限/范围：可写；0=向上；1=向下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97D09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默认值：0（向上）</w:t>
            </w:r>
          </w:p>
        </w:tc>
      </w:tr>
      <w:tr w14:paraId="4682E9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3CCF74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分布测模式（分布模式）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A1960E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选择分布密度测量的点位生成方式。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FFB47E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权限/范围：可写；0=分布测量；1=国标测量；2=每米测量；3=区间测量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96162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默认值：0（分布测量）</w:t>
            </w:r>
          </w:p>
        </w:tc>
      </w:tr>
      <w:tr w14:paraId="01F69F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718362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分布测点数（分布点数）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8FE5B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设置分布密度测量的测点数量。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F83CD5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权限/范围：可写；1 ~ 200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E63F5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默认值：5</w:t>
            </w:r>
          </w:p>
        </w:tc>
      </w:tr>
      <w:tr w14:paraId="51ECC5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F5A46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分布点间距（分布间距）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61D95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按等距方式生成测点时使用的点间距离。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441781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26990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默认值：1000.0 mm</w:t>
            </w:r>
          </w:p>
        </w:tc>
      </w:tr>
      <w:tr w14:paraId="71AA06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F2097B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最高点距液面（最高距液面）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0583AE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限定分布测量最高点与液面的距离。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963605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25B9AF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默认值：100.0 mm</w:t>
            </w:r>
          </w:p>
        </w:tc>
      </w:tr>
      <w:tr w14:paraId="3F370D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668064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最低点距罐底（最低距罐底）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F3F864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限定分布测量最低点与罐底的距离。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8B76D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1C46A7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默认值：300.0 mm</w:t>
            </w:r>
          </w:p>
        </w:tc>
      </w:tr>
      <w:tr w14:paraId="11F5EE8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630737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分布点悬停(s)（悬停时间）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AD42CD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每个密度测点到位后的稳定等待时间。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E2851F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 ~ 600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单位/小数：s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AB82D5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默认值：10 s</w:t>
            </w:r>
          </w:p>
        </w:tc>
      </w:tr>
      <w:tr w14:paraId="368EFE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6F4AD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区间测量上限（区间上限）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C2E44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区间密度测量的上边界位置。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065683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452D2F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 mm</w:t>
            </w:r>
          </w:p>
        </w:tc>
      </w:tr>
      <w:tr w14:paraId="6D6EB3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043E9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区间测量下限（区间下限）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339463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区间密度测量的下边界位置。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96E8A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D5EF1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 mm</w:t>
            </w:r>
          </w:p>
        </w:tc>
      </w:tr>
    </w:tbl>
    <w:p w14:paraId="0BCCCE9C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7080F129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28" w:name="_Toc15552"/>
      <w:r>
        <w:rPr>
          <w:rFonts w:hint="eastAsia" w:ascii="宋体" w:hAnsi="宋体" w:eastAsia="宋体" w:cs="宋体"/>
          <w:b/>
          <w:color w:val="auto"/>
          <w:sz w:val="22"/>
        </w:rPr>
        <w:t>6.9 测量参数 / Wartsila参数</w:t>
      </w:r>
      <w:bookmarkEnd w:id="28"/>
    </w:p>
    <w:p w14:paraId="2EA2CC5C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菜单路径：参数配置 -&gt; 测量参数 -&gt; Wartsila参数。</w:t>
      </w:r>
    </w:p>
    <w:p w14:paraId="4C9F4D54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7"/>
        </w:rPr>
        <w:t>表 6-9 测量参数 / Wartsila 参数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383724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ACBC71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17622F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1DF8AC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D3C382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默认值/现场设置值</w:t>
            </w:r>
          </w:p>
        </w:tc>
      </w:tr>
      <w:tr w14:paraId="062759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2E576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最高密度点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7DC81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瓦锡兰区间密度测量的最高测点位置。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713281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单位/小数：mm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EDDF69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默认值：38000</w:t>
            </w:r>
          </w:p>
        </w:tc>
      </w:tr>
      <w:tr w14:paraId="538475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0068AB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最低密度点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086F32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瓦锡兰区间密度测量的最低测点位置。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2F120E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单位/小数：mm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E960EF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默认值：500</w:t>
            </w:r>
          </w:p>
        </w:tc>
      </w:tr>
      <w:tr w14:paraId="703FFC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653084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密度点间距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A2745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瓦锡兰区间测量各密度点之间的间隔。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41F979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单位/小数：mm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7F1106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默认值：1000</w:t>
            </w:r>
          </w:p>
        </w:tc>
      </w:tr>
      <w:tr w14:paraId="5159A1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0B7130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最高点液面距（最高距液面）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7D9329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限制最高密度测点与液面的安全距离。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33E17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单位/小数：mm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6E3C6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默认值：200</w:t>
            </w:r>
          </w:p>
        </w:tc>
      </w:tr>
      <w:tr w14:paraId="0B2353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EC8F86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瓦锡兰探底间隔（探底间隔）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ADA2C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瓦锡兰测量后探底频率：0不探底，N表示每N次测量后探底一次，范围0~100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CC92CD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权限/范围：可写；0=不探底；1~100=每 N 次测量探底一次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单位/小数：次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A020CE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默认值：0（不探底）</w:t>
            </w:r>
          </w:p>
        </w:tc>
      </w:tr>
      <w:tr w14:paraId="6595BC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23511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探底修正罐高（修正罐高）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6AAC4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瓦锡兰测后探底或罐底后编码器修正时使用的目标罐高；为 0 时沿用液位罐高。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D3268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8AEE21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默认值：0（沿用液位罐高）</w:t>
            </w:r>
          </w:p>
        </w:tc>
      </w:tr>
    </w:tbl>
    <w:p w14:paraId="1A753F87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778482D6">
      <w:pPr>
        <w:pStyle w:val="4"/>
        <w:rPr>
          <w:rFonts w:hint="eastAsia" w:ascii="宋体" w:hAnsi="宋体" w:eastAsia="宋体" w:cs="宋体"/>
          <w:color w:val="auto"/>
        </w:rPr>
      </w:pPr>
      <w:bookmarkStart w:id="29" w:name="_Toc12409"/>
      <w:r>
        <w:rPr>
          <w:rFonts w:hint="eastAsia" w:ascii="宋体" w:hAnsi="宋体" w:eastAsia="宋体" w:cs="宋体"/>
          <w:color w:val="auto"/>
          <w:sz w:val="22"/>
        </w:rPr>
        <w:t>6.10 测量参数 / SI参数</w:t>
      </w:r>
      <w:bookmarkEnd w:id="29"/>
    </w:p>
    <w:p w14:paraId="33B569FA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菜单路径：参数配置 -&gt; 测量参数 -&gt; SI参数。SI参数不是单层参数表，程序中继续分为 Profile参数、自动Profile、报警限值三个子菜单；40001~40003 桥接 CPU2 SI Profile 执行参数，40010~40023 为 CPU3 本机 SI 调度和报警参数。</w:t>
      </w:r>
    </w:p>
    <w:p w14:paraId="4D3C3660">
      <w:pPr>
        <w:pStyle w:val="5"/>
        <w:rPr>
          <w:rFonts w:hint="eastAsia" w:ascii="宋体" w:hAnsi="宋体" w:eastAsia="宋体" w:cs="宋体"/>
          <w:color w:val="auto"/>
        </w:rPr>
      </w:pPr>
      <w:bookmarkStart w:id="30" w:name="_Toc2567"/>
      <w:r>
        <w:rPr>
          <w:rFonts w:hint="eastAsia" w:ascii="宋体" w:hAnsi="宋体" w:eastAsia="宋体" w:cs="宋体"/>
          <w:color w:val="auto"/>
          <w:sz w:val="21"/>
        </w:rPr>
        <w:t>6.10.1 SI参数 / Profile参数</w:t>
      </w:r>
      <w:bookmarkEnd w:id="30"/>
    </w:p>
    <w:p w14:paraId="5F25DB25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菜单路径：参数配置 -&gt; 测量参数 -&gt; SI参数 -&gt; Profile参数。</w:t>
      </w:r>
    </w:p>
    <w:p w14:paraId="210F9089">
      <w:pPr>
        <w:pStyle w:val="1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表 6-10-1 测量参数 / SI参数 / Profile参数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1E57AF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F2931F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E91B40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CB477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055EA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默认值/现场设置值</w:t>
            </w:r>
          </w:p>
        </w:tc>
      </w:tr>
      <w:tr w14:paraId="15CACF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65353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SI首点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FE0FA1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SI Profile 的 Point0 之后首个可编程停点；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F67450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权限/范围：可写；1.0 ~ 65535.0</w:t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EACE9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默认值：100.0 mm</w:t>
            </w:r>
          </w:p>
        </w:tc>
      </w:tr>
      <w:tr w14:paraId="2F4C7E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D1DC41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SI步距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259AF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SI Profile 从底部向上生成后续测点的间距；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C8B84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权限/范围：可写；1.0 ~ 65535.0</w:t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657028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默认值：1000.0 mm</w:t>
            </w:r>
          </w:p>
        </w:tc>
      </w:tr>
      <w:tr w14:paraId="5E692E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544794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SI停留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C3AF99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SI Profile 每个测点到位后的稳定等待时间；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3D2EB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权限/范围：可写；1 ~ 3600</w:t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单位/小数：s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04CA0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默认值：10 s</w:t>
            </w:r>
          </w:p>
        </w:tc>
      </w:tr>
      <w:tr w14:paraId="546A27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E09EB1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SI探底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639558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SI Profile 探底频次；1 表示每次探底，N 表示每 N 次执行一次真实探底。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1AC2A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权限/范围：可写；1 ~ 1000</w:t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单位/小数：次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A1647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默认值：1 次</w:t>
            </w:r>
          </w:p>
        </w:tc>
      </w:tr>
    </w:tbl>
    <w:p w14:paraId="08D5B942">
      <w:pPr>
        <w:pStyle w:val="5"/>
        <w:rPr>
          <w:rFonts w:hint="eastAsia" w:ascii="宋体" w:hAnsi="宋体" w:eastAsia="宋体" w:cs="宋体"/>
          <w:color w:val="auto"/>
        </w:rPr>
      </w:pPr>
      <w:bookmarkStart w:id="31" w:name="_Toc18209"/>
      <w:r>
        <w:rPr>
          <w:rFonts w:hint="eastAsia" w:ascii="宋体" w:hAnsi="宋体" w:eastAsia="宋体" w:cs="宋体"/>
          <w:color w:val="auto"/>
          <w:sz w:val="21"/>
        </w:rPr>
        <w:t>6.10.2 SI参数 / 自动Profile</w:t>
      </w:r>
      <w:bookmarkEnd w:id="31"/>
    </w:p>
    <w:p w14:paraId="311A4D89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菜单路径：参数配置 -&gt; 测量参数 -&gt; SI参数 -&gt; 自动Profile。</w:t>
      </w:r>
    </w:p>
    <w:tbl>
      <w:tblPr>
        <w:tblStyle w:val="35"/>
        <w:tblpPr w:leftFromText="180" w:rightFromText="180" w:vertAnchor="text" w:horzAnchor="page" w:tblpX="1258" w:tblpY="282"/>
        <w:tblOverlap w:val="never"/>
        <w:tblW w:w="9638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148333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51942F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B0F2CC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7DDC1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0F2C50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默认值/现场设置值</w:t>
            </w:r>
          </w:p>
        </w:tc>
      </w:tr>
      <w:tr w14:paraId="28EF70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7855BB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SI周期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C93CF0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自动 Profile 周期；关闭自动 Profile 时仍保持 1~65535 min 参数范围，40010 不写 0。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354EB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权限/范围：可写；1 ~ 65535</w:t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单位/小数：min / 整数</w:t>
            </w:r>
          </w:p>
          <w:p w14:paraId="2012E983">
            <w:pPr>
              <w:spacing w:before="0" w:after="0" w:line="247" w:lineRule="auto"/>
              <w:jc w:val="left"/>
              <w:rPr>
                <w:rFonts w:hint="default" w:ascii="宋体" w:hAnsi="宋体" w:eastAsia="宋体" w:cs="宋体"/>
                <w:b w:val="0"/>
                <w:color w:val="auto"/>
                <w:sz w:val="17"/>
                <w:lang w:val="en-US" w:eastAsia="zh-CN"/>
              </w:rPr>
            </w:pPr>
            <w:r>
              <w:rPr>
                <w:rFonts w:hint="eastAsia" w:cs="宋体"/>
                <w:b/>
                <w:bCs/>
                <w:color w:val="auto"/>
                <w:sz w:val="17"/>
                <w:lang w:val="en-US" w:eastAsia="zh-CN"/>
              </w:rPr>
              <w:t>配置建议：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5A3113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默认值：60 min</w:t>
            </w:r>
          </w:p>
        </w:tc>
      </w:tr>
      <w:tr w14:paraId="70071F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F97E8E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SI自动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643135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自动 Profile 使能；启用后 CPU3 按 RTC、SI时、SI分和 SI周期调度。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33F8F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1B25C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默认值：0（否）</w:t>
            </w:r>
          </w:p>
        </w:tc>
      </w:tr>
      <w:tr w14:paraId="432FD9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30100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SI时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22462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自动 Profile 起始小时。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6BA4F2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 ~ 23</w:t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单位/小数：h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ADBDF7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 h</w:t>
            </w:r>
          </w:p>
        </w:tc>
      </w:tr>
      <w:tr w14:paraId="60C3D2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82881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SI分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6E2C41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自动 Profile 起始分钟。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6D182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 ~ 59</w:t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单位/小数：min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881B2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 min</w:t>
            </w:r>
          </w:p>
        </w:tc>
      </w:tr>
    </w:tbl>
    <w:p w14:paraId="3927B64C">
      <w:pPr>
        <w:pStyle w:val="1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表 6-10-2 测量参数 / SI参数 / 自动Profile</w:t>
      </w:r>
    </w:p>
    <w:p w14:paraId="4B97B1E8">
      <w:pPr>
        <w:pStyle w:val="5"/>
        <w:rPr>
          <w:rFonts w:hint="eastAsia" w:ascii="宋体" w:hAnsi="宋体" w:eastAsia="宋体" w:cs="宋体"/>
          <w:color w:val="auto"/>
        </w:rPr>
      </w:pPr>
      <w:bookmarkStart w:id="32" w:name="_Toc15030"/>
      <w:r>
        <w:rPr>
          <w:rFonts w:hint="eastAsia" w:ascii="宋体" w:hAnsi="宋体" w:eastAsia="宋体" w:cs="宋体"/>
          <w:color w:val="auto"/>
          <w:sz w:val="21"/>
        </w:rPr>
        <w:t>6.10.3 SI参数 / 报警限值</w:t>
      </w:r>
      <w:bookmarkEnd w:id="32"/>
    </w:p>
    <w:p w14:paraId="4E8B8488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菜单路径：参数配置 -&gt; 测量参数 -&gt; SI参数 -&gt; 报警限值。</w:t>
      </w:r>
    </w:p>
    <w:p w14:paraId="7077F6C7">
      <w:pPr>
        <w:pStyle w:val="1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表 6-10-3 测量参数 / SI参数 / 报警限值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2A903F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D56E2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6B1B33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94C7E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78A994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默认值/现场设置值</w:t>
            </w:r>
          </w:p>
        </w:tc>
      </w:tr>
      <w:tr w14:paraId="4F8A34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1E38B2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SI低密限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5B20E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SI 当前密度低报警阈值；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8B999B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 ~ 65535</w:t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单位/小数：kg/m3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EDDD6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默认值：0.00 kg/m3</w:t>
            </w:r>
          </w:p>
        </w:tc>
      </w:tr>
      <w:tr w14:paraId="05FDD8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ABAEE0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SI高密限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75585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SI 当前密度高报警阈值；用于 CPU3 SI 报警合成。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05630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 ~ 65535</w:t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单位/小数：kg/m3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D19EA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默认值：0.00 kg/m3</w:t>
            </w:r>
          </w:p>
        </w:tc>
      </w:tr>
      <w:tr w14:paraId="49FF17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1A867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SI低温限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D6C064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SI 当前温度低报警阈值；按 int16 补码保存，可为负温度。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ECA61F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权限/范围：可写；-327.68 ~ 327.67</w:t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单位/小数：℃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DBCAC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默认值：0.00 ℃</w:t>
            </w:r>
          </w:p>
        </w:tc>
      </w:tr>
      <w:tr w14:paraId="244403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F97795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SI高温限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B4014D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SI 当前温度高报警阈值；按 int16 补码保存，可为负温度。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141B0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权限/范围：可写；-327.68 ~ 327.67</w:t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单位/小数：℃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E70C9A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默认值：0.00 ℃</w:t>
            </w:r>
          </w:p>
        </w:tc>
      </w:tr>
      <w:tr w14:paraId="04167B6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6FB3C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SI LL液位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17312F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SI LL 液位报警阈值。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CED507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 ~ 65535</w:t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单位/小数：mm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790C6C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 mm</w:t>
            </w:r>
          </w:p>
        </w:tc>
      </w:tr>
      <w:tr w14:paraId="509049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6E0BA6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SI HH液位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7CEB7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SI HH 液位报警阈值。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E2E54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 ~ 65535</w:t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单位/小数：mm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B942E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 mm</w:t>
            </w:r>
          </w:p>
        </w:tc>
      </w:tr>
      <w:tr w14:paraId="56226C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238DC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SI低液位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EFF657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SI 低液位报警阈值。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74CE3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 ~ 65535</w:t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单位/小数：mm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A30FC2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 mm</w:t>
            </w:r>
          </w:p>
        </w:tc>
      </w:tr>
      <w:tr w14:paraId="5B2DC2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EBDA60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SI高液位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C9DC35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SI 高液位报警阈值。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E0147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 ~ 65535</w:t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单位/小数：mm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99E7F4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 mm</w:t>
            </w:r>
          </w:p>
        </w:tc>
      </w:tr>
      <w:tr w14:paraId="48DDC3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0D147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SI温差限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36F721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SI Profile 相邻点温度偏差报警阈值。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C9E86C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 ~ 65535</w:t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单位/小数：℃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64D1EA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默认值：0.00 ℃</w:t>
            </w:r>
          </w:p>
        </w:tc>
      </w:tr>
      <w:tr w14:paraId="0D1B58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F9A58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SI密差限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F5F90C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SI Profile 相邻点密度偏差报警阈值。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62FADA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 ~ 65535</w:t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单位/小数：kg/m3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E60347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默认值：0.00 kg/m3</w:t>
            </w:r>
          </w:p>
        </w:tc>
      </w:tr>
    </w:tbl>
    <w:p w14:paraId="46AB58A3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33" w:name="_Toc1724"/>
      <w:r>
        <w:rPr>
          <w:rFonts w:hint="eastAsia" w:ascii="宋体" w:hAnsi="宋体" w:eastAsia="宋体" w:cs="宋体"/>
          <w:b/>
          <w:color w:val="auto"/>
          <w:sz w:val="22"/>
        </w:rPr>
        <w:t>6.11 测量参数 / 修正参数</w:t>
      </w:r>
      <w:bookmarkEnd w:id="33"/>
    </w:p>
    <w:p w14:paraId="0BD33A15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菜单路径：参数配置 -&gt; 测量参数 -&gt; 修正参数。</w:t>
      </w:r>
    </w:p>
    <w:p w14:paraId="347D077F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7"/>
        </w:rPr>
        <w:t>表 6-11 测量参数 / 修正参数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4EBAF0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E5871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B4F366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CDE41A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F9FAF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默认值/现场设置值</w:t>
            </w:r>
          </w:p>
        </w:tc>
      </w:tr>
      <w:tr w14:paraId="213AAD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323A3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磁通量D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C6D118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密度测量的密度修正值，用于修正密度结果；协议 13 起实际修正量为 (raw - 100000) / 100。 | 备注：参数原始默认值为 100000；显示/计算时按偏移量换算。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937DA5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 | 单位/小数：kg/m3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69719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默认值：100000（修正量 0.00 kg/m3）</w:t>
            </w:r>
          </w:p>
        </w:tc>
      </w:tr>
      <w:tr w14:paraId="2641E7E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BE5B4F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磁通量T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278496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温度测量的磁通量或温度修正值，用于修正温度结果；实际修正量为(raw - 1000) / 10。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备注：参数原始默认值为 1000；显示/计算时按偏移量换算。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523355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单位/小数：℃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FF19D4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默认值：1000（修正量 0.0 ℃）</w:t>
            </w:r>
          </w:p>
        </w:tc>
      </w:tr>
      <w:tr w14:paraId="35FA06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986ECC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上次液位修正液位（修正液位）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70FB22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记录上次液位修正时的液位，用于尺带补偿参考。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2DC81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97FB6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默认值：0.0 mm</w:t>
            </w:r>
          </w:p>
        </w:tc>
      </w:tr>
      <w:tr w14:paraId="77E01D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7587C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气相温度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32B4D8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尺带温度补偿使用的罐内气相温度。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048BAC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单位/小数：℃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4AD42A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默认值：0.0 ℃</w:t>
            </w:r>
          </w:p>
        </w:tc>
      </w:tr>
      <w:tr w14:paraId="15030C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7160D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尺带伸缩率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6B411B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尺带热胀冷缩补偿系数，用于修正长度换算。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CFA42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小数6位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EA124F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</w:t>
            </w:r>
          </w:p>
        </w:tc>
      </w:tr>
      <w:tr w14:paraId="16C484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76AEAE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标定尺带温度（尺带温度）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F0B02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尺带标定时的基准温度，用于温度补偿计算。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08A198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单位/小数：℃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50B0D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默认值：0.0 ℃</w:t>
            </w:r>
          </w:p>
        </w:tc>
      </w:tr>
    </w:tbl>
    <w:p w14:paraId="2539B1E1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361A8630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34" w:name="_Toc30728"/>
      <w:r>
        <w:rPr>
          <w:rFonts w:hint="eastAsia" w:ascii="宋体" w:hAnsi="宋体" w:eastAsia="宋体" w:cs="宋体"/>
          <w:b/>
          <w:color w:val="auto"/>
          <w:sz w:val="22"/>
        </w:rPr>
        <w:t>6.12 输出配置 / 继电器报警输出</w:t>
      </w:r>
      <w:bookmarkEnd w:id="34"/>
    </w:p>
    <w:p w14:paraId="665DD612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继电器报警输出按 K1~K4 分页。每路包含“通道设置”“报警配置”“报警状态”。通道设置：工作模式、输出报警组合、接点类型；报警配置：报警模式、无效值报警策略、报警取值源、HH/H/L/LL、滞回、阻尼系数、清除锁存报警；报警状态只读显示报警值、各级报警、任意报警和清锁存状态，不下发参数。</w:t>
      </w:r>
    </w:p>
    <w:p w14:paraId="5A9316E9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7"/>
        </w:rPr>
        <w:t>表 6-12 输出配置 / 继电器报警输出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67DC3A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856E9D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83F90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EE5D9E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EEAA11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默认值/现场设置值</w:t>
            </w:r>
          </w:p>
        </w:tc>
      </w:tr>
      <w:tr w14:paraId="25D5C3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A669D5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K1工作模式（工作模式）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E00C2D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启用或禁用该路继电器报警输出。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957384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权限/范围：可写；0=禁用；1=无源输出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094BF3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默认值：0（禁用）</w:t>
            </w:r>
          </w:p>
        </w:tc>
      </w:tr>
      <w:tr w14:paraId="2745264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B2216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K1输出报警组合（报警组合）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837EAB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选择继电器报警输出跟随的报警组合。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备注：按继电器报警输出运行态聚合后驱动输出。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3040DE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权限/范围：可写；0=无；1=高报；2=高高报；3=高/高高；4=低报；5=低低报；6=低/低低；7=全部报警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F80682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默认值：0（无）</w:t>
            </w:r>
          </w:p>
        </w:tc>
      </w:tr>
      <w:tr w14:paraId="723C2D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6A5E27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K1接点类型（接点类型）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071EF5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设置继电器常开/常闭输出极性。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9E1F2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权限/范围：可写；0=常开；1=常闭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9831DA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默认值：0（常开）</w:t>
            </w:r>
          </w:p>
        </w:tc>
      </w:tr>
      <w:tr w14:paraId="206326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A51FC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K1报警模式（报警模式）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913B4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设置阈值报警模式。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备注：Latch 为锁存报警。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BAF46F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权限/范围：可写；0=关闭；1=开启；2=Latch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E94E50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默认值：0（关）</w:t>
            </w:r>
          </w:p>
        </w:tc>
      </w:tr>
      <w:tr w14:paraId="6A963A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4A28E9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K1无效值报警策略（无效报警）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CAD8CA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报警源无效时的故障报警策略。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1D940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权限/范围：可写；0=无报警；1=高高/高；2=高；3=低；4=低低/低；5=全部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E2542C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默认值：0（无报警）</w:t>
            </w:r>
          </w:p>
        </w:tc>
      </w:tr>
      <w:tr w14:paraId="53D45A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19E4D6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K1报警取值源（报警源）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39C62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选择该路继电器比较的数据来源。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备注：4=无时该路释放输出。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2D3FB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权限/范围：可写；0=储罐液位；1=液相温度；2=水位；3=浮子位置；4=无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CBFA7C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默认值：0（储罐液位）</w:t>
            </w:r>
          </w:p>
        </w:tc>
      </w:tr>
      <w:tr w14:paraId="472827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47575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K1高高报警阈值（HH阈值）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36DF2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 HH 报警阈值。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备注：32 位浮点保持寄存器。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290E8E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6602BE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默认值：0.0</w:t>
            </w:r>
          </w:p>
        </w:tc>
      </w:tr>
      <w:tr w14:paraId="4B5044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C41E6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K1高报警阈值（H阈值）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CBC373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 H 报警阈值。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备注：32 位浮点保持寄存器。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24D58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E8351F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默认值：0.0</w:t>
            </w:r>
          </w:p>
        </w:tc>
      </w:tr>
      <w:tr w14:paraId="16AE55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51865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K1低报警阈值（L阈值）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DDF7AF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 L 报警阈值。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备注：32 位浮点保持寄存器。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2C22EA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C8C1D8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默认值：0.0</w:t>
            </w:r>
          </w:p>
        </w:tc>
      </w:tr>
      <w:tr w14:paraId="56A023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37BBA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K1低低报警阈值（LL阈值）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53304F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 LL 报警阈值。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备注：32 位浮点保持寄存器。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7E5D7F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FF2335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默认值：0.0</w:t>
            </w:r>
          </w:p>
        </w:tc>
      </w:tr>
      <w:tr w14:paraId="734EA1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6D46C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K1报警滞回（报警滞回）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7532B8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设置报警释放回差。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备注：用于抑制阈值附近抖动。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9FEF05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9B0A6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默认值：0.0</w:t>
            </w:r>
          </w:p>
        </w:tc>
      </w:tr>
      <w:tr w14:paraId="32AAA0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EBBF4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K1阻尼系数（阻尼系数）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177F3F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继电器报警输出阻尼系数配置参数。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备注：当前作为配置字段保留同步。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475B94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E58F6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</w:t>
            </w:r>
          </w:p>
        </w:tc>
      </w:tr>
      <w:tr w14:paraId="55506B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73C7D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K1清除锁存报警（清除锁存）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12462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清除该路锁存报警命令。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备注：CPU2 消费后清回 0，不持久化到 FRAM。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957B54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E45AE6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默认值：0（不清除锁存报警）</w:t>
            </w:r>
          </w:p>
        </w:tc>
      </w:tr>
      <w:tr w14:paraId="76D907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9C00E4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K1报警状态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BED7B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查看该路继电器报警输出运行态。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备注：来自 CPU2 输入寄存器快照；上下键浏览，返回键回到该路继电器菜单，不触发参数下发。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EF0F34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权限/范围：只读；报警值、HH、H、HH/H、L、LL、LL/L、任意报警、清锁存状态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小数1位或状态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9F8E3B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默认值：-</w:t>
            </w:r>
          </w:p>
        </w:tc>
      </w:tr>
      <w:tr w14:paraId="6D2C76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3291B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K2工作模式（工作模式）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F44C2A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启用或禁用该路继电器报警输出。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C1B41E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权限/范围：可写；0=禁用；1=无源输出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844E3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默认值：0（禁用）</w:t>
            </w:r>
          </w:p>
        </w:tc>
      </w:tr>
      <w:tr w14:paraId="391113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E145C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K2输出报警组合（报警组合）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95218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选择继电器报警输出跟随的报警组合。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备注：按继电器报警输出运行态聚合后驱动输出。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91A288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权限/范围：可写；0=无；1=高报；2=高高报；3=高/高高；4=低报；5=低低报；6=低/低低；7=全部报警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1AC68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默认值：0（无）</w:t>
            </w:r>
          </w:p>
        </w:tc>
      </w:tr>
      <w:tr w14:paraId="121CB89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B13DAE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K2接点类型（接点类型）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0BE72F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设置继电器常开/常闭输出极性。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A16C5D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权限/范围：可写；0=常开；1=常闭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103CC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默认值：0（常开）</w:t>
            </w:r>
          </w:p>
        </w:tc>
      </w:tr>
      <w:tr w14:paraId="084F70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543240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K2报警模式（报警模式）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AF4C8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设置阈值报警模式。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备注：Latch 为锁存报警。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591EE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权限/范围：可写；0=关闭；1=开启；2=Latch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3AB0F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默认值：0（关）</w:t>
            </w:r>
          </w:p>
        </w:tc>
      </w:tr>
      <w:tr w14:paraId="7513A0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5B0C4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K2无效值报警策略（无效报警）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547028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报警源无效时的故障报警策略。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0A580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权限/范围：可写；0=无报警；1=高高/高；2=高；3=低；4=低低/低；5=全部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096EA1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默认值：0（无报警）</w:t>
            </w:r>
          </w:p>
        </w:tc>
      </w:tr>
      <w:tr w14:paraId="189350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62CEE3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K2报警取值源（报警源）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BCC2CC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选择该路继电器比较的数据来源。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备注：4=无时该路释放输出。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2D54F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权限/范围：可写；0=储罐液位；1=液相温度；2=水位；3=浮子位置；4=无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1ABC2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默认值：0（储罐液位）</w:t>
            </w:r>
          </w:p>
        </w:tc>
      </w:tr>
      <w:tr w14:paraId="6B6E66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EB5CCF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K2高高报警阈值（HH阈值）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6FD5F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 HH 报警阈值。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备注：32 位浮点保持寄存器。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8A46FB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C354E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默认值：0.0</w:t>
            </w:r>
          </w:p>
        </w:tc>
      </w:tr>
      <w:tr w14:paraId="5784BC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9D046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K2高报警阈值（H阈值）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0B021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 H 报警阈值。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备注：32 位浮点保持寄存器。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A12FF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62400E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默认值：0.0</w:t>
            </w:r>
          </w:p>
        </w:tc>
      </w:tr>
      <w:tr w14:paraId="42B5F1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716D2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K2低报警阈值（L阈值）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0DE829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 L 报警阈值。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备注：32 位浮点保持寄存器。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4E505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7FB203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默认值：0.0</w:t>
            </w:r>
          </w:p>
        </w:tc>
      </w:tr>
      <w:tr w14:paraId="737DC0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BAAA87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K2低低报警阈值（LL阈值）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D30C1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 LL 报警阈值。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备注：32 位浮点保持寄存器。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A4A3F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41D40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默认值：0.0</w:t>
            </w:r>
          </w:p>
        </w:tc>
      </w:tr>
      <w:tr w14:paraId="7F3C4B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F21BC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K2报警滞回（报警滞回）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056DD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设置报警释放回差。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备注：用于抑制阈值附近抖动。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ECE01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675793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默认值：0.0</w:t>
            </w:r>
          </w:p>
        </w:tc>
      </w:tr>
      <w:tr w14:paraId="03C075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05B49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K2阻尼系数（阻尼系数）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9E6CD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继电器报警输出阻尼系数配置参数。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备注：当前作为配置字段保留同步。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C34B8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F32DD1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</w:t>
            </w:r>
          </w:p>
        </w:tc>
      </w:tr>
      <w:tr w14:paraId="7254FB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55A75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K2清除锁存报警（清除锁存）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4429CA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清除该路锁存报警命令。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备注：CPU2 消费后清回 0，不持久化到 FRAM。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0F8CD9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E2D17D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默认值：0（不清除锁存报警）</w:t>
            </w:r>
          </w:p>
        </w:tc>
      </w:tr>
      <w:tr w14:paraId="6C3FA9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41E60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K2报警状态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0B576C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查看该路继电器报警输出运行态。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备注：来自 CPU2 输入寄存器快照；上下键浏览，返回键回到该路继电器菜单，不触发参数下发。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12B63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权限/范围：只读；报警值、HH、H、HH/H、L、LL、LL/L、任意报警、清锁存状态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小数1位或状态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F140D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默认值：-</w:t>
            </w:r>
          </w:p>
        </w:tc>
      </w:tr>
      <w:tr w14:paraId="3777D67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C33DE3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K3工作模式（工作模式）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232339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启用或禁用该路继电器报警输出。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0E651F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权限/范围：可写；0=禁用；1=无源输出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E1A91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默认值：0（禁用）</w:t>
            </w:r>
          </w:p>
        </w:tc>
      </w:tr>
      <w:tr w14:paraId="02E9E3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50D88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K3输出报警组合（报警组合）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C50021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选择继电器报警输出跟随的报警组合。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备注：按继电器报警输出运行态聚合后驱动输出。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C39C79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权限/范围：可写；0=无；1=高报；2=高高报；3=高/高高；4=低报；5=低低报；6=低/低低；7=全部报警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5F05B1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默认值：0（无）</w:t>
            </w:r>
          </w:p>
        </w:tc>
      </w:tr>
      <w:tr w14:paraId="2C6B84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CB5D0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K3接点类型（接点类型）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1EC7C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设置继电器常开/常闭输出极性。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C8F62C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权限/范围：可写；0=常开；1=常闭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2EBA48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默认值：0（常开）</w:t>
            </w:r>
          </w:p>
        </w:tc>
      </w:tr>
      <w:tr w14:paraId="20BDE7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843A79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K3报警模式（报警模式）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E3C06E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设置阈值报警模式。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备注：Latch 为锁存报警。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FE5938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权限/范围：可写；0=关闭；1=开启；2=Latch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017B9A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默认值：0（关）</w:t>
            </w:r>
          </w:p>
        </w:tc>
      </w:tr>
      <w:tr w14:paraId="10EF75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92ADC5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K3无效值报警策略（无效报警）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40F1C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报警源无效时的故障报警策略。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2F34D9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权限/范围：可写；0=无报警；1=高高/高；2=高；3=低；4=低低/低；5=全部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5AA1AA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默认值：0（无报警）</w:t>
            </w:r>
          </w:p>
        </w:tc>
      </w:tr>
      <w:tr w14:paraId="2C252E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5197EB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K3报警取值源（报警源）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7169F0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选择该路继电器比较的数据来源。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备注：4=无时该路释放输出。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EFA6B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权限/范围：可写；0=储罐液位；1=液相温度；2=水位；3=浮子位置；4=无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5C4C1C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默认值：0（储罐液位）</w:t>
            </w:r>
          </w:p>
        </w:tc>
      </w:tr>
      <w:tr w14:paraId="078ED7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0C5E8D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K3高高报警阈值（HH阈值）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5F48D7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 HH 报警阈值。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备注：32 位浮点保持寄存器。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EFAA4E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616DC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默认值：0.0</w:t>
            </w:r>
          </w:p>
        </w:tc>
      </w:tr>
      <w:tr w14:paraId="26FCC9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F92F7D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K3高报警阈值（H阈值）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3DA47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 H 报警阈值。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备注：32 位浮点保持寄存器。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F81DD0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602126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默认值：0.0</w:t>
            </w:r>
          </w:p>
        </w:tc>
      </w:tr>
      <w:tr w14:paraId="3F63CD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73AE7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K3低报警阈值（L阈值）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F7980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 L 报警阈值。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备注：32 位浮点保持寄存器。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115658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158E1D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默认值：0.0</w:t>
            </w:r>
          </w:p>
        </w:tc>
      </w:tr>
      <w:tr w14:paraId="38A50D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FA754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K3低低报警阈值（LL阈值）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AD946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 LL 报警阈值。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备注：32 位浮点保持寄存器。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06D079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710540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默认值：0.0</w:t>
            </w:r>
          </w:p>
        </w:tc>
      </w:tr>
      <w:tr w14:paraId="20332BD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65516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K3报警滞回（报警滞回）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C974B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设置报警释放回差。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备注：用于抑制阈值附近抖动。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9C422F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68470F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默认值：0.0</w:t>
            </w:r>
          </w:p>
        </w:tc>
      </w:tr>
      <w:tr w14:paraId="231372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450A91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K3阻尼系数（阻尼系数）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A7C9C3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继电器报警输出阻尼系数配置参数。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备注：当前作为配置字段保留同步。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26156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BBD73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</w:t>
            </w:r>
          </w:p>
        </w:tc>
      </w:tr>
      <w:tr w14:paraId="32F2CE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9E733F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K3清除锁存报警（清除锁存）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9F567D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清除该路锁存报警命令。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备注：CPU2 消费后清回 0，不持久化到 FRAM。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D98E27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B38E7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默认值：0（不清除锁存报警）</w:t>
            </w:r>
          </w:p>
        </w:tc>
      </w:tr>
      <w:tr w14:paraId="4444E6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9BB70C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K3报警状态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EB2F6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查看该路继电器报警输出运行态。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备注：来自 CPU2 输入寄存器快照；上下键浏览，返回键回到该路继电器菜单，不触发参数下发。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CCCA7A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权限/范围：只读；报警值、HH、H、HH/H、L、LL、LL/L、任意报警、清锁存状态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小数1位或状态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3D518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默认值：-</w:t>
            </w:r>
          </w:p>
        </w:tc>
      </w:tr>
      <w:tr w14:paraId="6811464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FA406E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K4工作模式（工作模式）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C0772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启用或禁用该路继电器报警输出。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F31809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权限/范围：可写；0=禁用；1=无源输出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D0D1D4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默认值：0（禁用）</w:t>
            </w:r>
          </w:p>
        </w:tc>
      </w:tr>
      <w:tr w14:paraId="307FB8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B4B0C5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K4输出报警组合（报警组合）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84879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选择继电器报警输出跟随的报警组合。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备注：按继电器报警输出运行态聚合后驱动输出。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2D299C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权限/范围：可写；0=无；1=高报；2=高高报；3=高/高高；4=低报；5=低低报；6=低/低低；7=全部报警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A3B0DA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默认值：0（无）</w:t>
            </w:r>
          </w:p>
        </w:tc>
      </w:tr>
      <w:tr w14:paraId="596DDF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0284EB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K4接点类型（接点类型）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7E1687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设置继电器常开/常闭输出极性。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17302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权限/范围：可写；0=常开；1=常闭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C5F0F5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默认值：0（常开）</w:t>
            </w:r>
          </w:p>
        </w:tc>
      </w:tr>
      <w:tr w14:paraId="4AA3FFC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2F6D21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K4报警模式（报警模式）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3C612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设置阈值报警模式。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备注：Latch 为锁存报警。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62AF22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权限/范围：可写；0=关闭；1=开启；2=Latch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441DDA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默认值：0（关）</w:t>
            </w:r>
          </w:p>
        </w:tc>
      </w:tr>
      <w:tr w14:paraId="3255020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76B63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K4无效值报警策略（无效报警）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08C0C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报警源无效时的故障报警策略。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A7B92E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权限/范围：可写；0=无报警；1=高高/高；2=高；3=低；4=低低/低；5=全部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C83AD2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默认值：0（无报警）</w:t>
            </w:r>
          </w:p>
        </w:tc>
      </w:tr>
      <w:tr w14:paraId="36C71F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D9AEC3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K4报警取值源（报警源）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4A641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选择该路继电器比较的数据来源。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备注：4=无时该路释放输出。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159458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权限/范围：可写；0=储罐液位；1=液相温度；2=水位；3=浮子位置；4=无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5A82FB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默认值：0（储罐液位）</w:t>
            </w:r>
          </w:p>
        </w:tc>
      </w:tr>
      <w:tr w14:paraId="743C2F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7BAE7A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K4高高报警阈值（HH阈值）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039504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 HH 报警阈值。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备注：32 位浮点保持寄存器。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0C715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C623A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默认值：0.0</w:t>
            </w:r>
          </w:p>
        </w:tc>
      </w:tr>
      <w:tr w14:paraId="3A4209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412AF9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K4高报警阈值（H阈值）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9EC7A3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 H 报警阈值。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备注：32 位浮点保持寄存器。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EC6EA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D60034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默认值：0.0</w:t>
            </w:r>
          </w:p>
        </w:tc>
      </w:tr>
      <w:tr w14:paraId="43D33A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A46DF3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K4低报警阈值（L阈值）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B7266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 L 报警阈值。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备注：32 位浮点保持寄存器。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572195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D887B7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默认值：0.0</w:t>
            </w:r>
          </w:p>
        </w:tc>
      </w:tr>
      <w:tr w14:paraId="58FDF3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9A68E8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K4低低报警阈值（LL阈值）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C4A5EE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 LL 报警阈值。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备注：32 位浮点保持寄存器。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FC0885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B82C87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默认值：0.0</w:t>
            </w:r>
          </w:p>
        </w:tc>
      </w:tr>
      <w:tr w14:paraId="0FED75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F53F9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K4报警滞回（报警滞回）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D3DD4C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设置报警释放回差。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备注：用于抑制阈值附近抖动。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6DE1D9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72C646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默认值：0.0</w:t>
            </w:r>
          </w:p>
        </w:tc>
      </w:tr>
      <w:tr w14:paraId="79149D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9D0773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K4阻尼系数（阻尼系数）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6EE541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继电器报警输出阻尼系数配置参数。</w:t>
            </w:r>
            <w:bookmarkStart w:id="51" w:name="_GoBack"/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备注：当前作为配置字段保留同步。</w:t>
            </w:r>
            <w:bookmarkEnd w:id="51"/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FC7A1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786995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</w:t>
            </w:r>
          </w:p>
        </w:tc>
      </w:tr>
      <w:tr w14:paraId="32AC4F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770B0E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K4清除锁存报警（清除锁存）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96515E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清除该路锁存报警命令。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备注：CPU2 消费后清回 0，不持久化到 FRAM。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319A3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CBAD19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默认值：0（不清除锁存报警）</w:t>
            </w:r>
          </w:p>
        </w:tc>
      </w:tr>
      <w:tr w14:paraId="32CD4A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6751E8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K4报警状态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E2C1AC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查看该路继电器报警输出运行态。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0B12E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权限/范围：只读；报警值、HH、H、HH/H、L、LL、LL/L、任意报警、清锁存状态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小数1位或状态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C9B91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默认值：-</w:t>
            </w:r>
          </w:p>
        </w:tc>
      </w:tr>
    </w:tbl>
    <w:p w14:paraId="24190300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4864B6D7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35" w:name="_Toc1792"/>
      <w:r>
        <w:rPr>
          <w:rFonts w:hint="eastAsia" w:ascii="宋体" w:hAnsi="宋体" w:eastAsia="宋体" w:cs="宋体"/>
          <w:b/>
          <w:color w:val="auto"/>
          <w:sz w:val="22"/>
        </w:rPr>
        <w:t>6.13 输出配置 / AO输出</w:t>
      </w:r>
      <w:bookmarkEnd w:id="35"/>
    </w:p>
    <w:p w14:paraId="424476F2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AO 输出页包含 AO起点液位、AO终点液位、AO正常起点电流、AO正常终点电流、AO高报警液位、AO低报警液位、AO初始电流、AO高位电流、AO低位电流、AO故障电流、AO调试电流和 AO输出使能。出厂默认关闭 AO 输出使能；打开后 CPU2 才驱动 AO 输出并刷新 AO 运行态。AO 正常起点/终点电流允许正向或反向映射；AO 高报警液位默认等于液位罐高，AO 低报警液位默认 0，报警阈值与继电器 K1~K4 阈值独立。</w:t>
      </w:r>
    </w:p>
    <w:p w14:paraId="543806C8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7"/>
        </w:rPr>
        <w:t>表 6-13 输出配置 / AO 输出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688"/>
        <w:gridCol w:w="2812"/>
        <w:gridCol w:w="1088"/>
      </w:tblGrid>
      <w:tr w14:paraId="6B62A1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547BA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参数</w:t>
            </w:r>
          </w:p>
        </w:tc>
        <w:tc>
          <w:tcPr>
            <w:tcW w:w="3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6C7C90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说明与备注</w:t>
            </w:r>
          </w:p>
        </w:tc>
        <w:tc>
          <w:tcPr>
            <w:tcW w:w="2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FE3AEA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AC84F5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默认值/现场设置值</w:t>
            </w:r>
          </w:p>
        </w:tc>
      </w:tr>
      <w:tr w14:paraId="6D2EBC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2E72E6">
            <w:pPr>
              <w:spacing w:before="0" w:after="0" w:line="247" w:lineRule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</w:rPr>
              <w:t>AO起点液位（起点液位）</w:t>
            </w:r>
          </w:p>
        </w:tc>
        <w:tc>
          <w:tcPr>
            <w:tcW w:w="3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0EF20E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 xml:space="preserve">设置正常输出起点电流对应的液位点。 </w:t>
            </w:r>
          </w:p>
        </w:tc>
        <w:tc>
          <w:tcPr>
            <w:tcW w:w="2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A6FE3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权限/范围：可写；建议 0 &lt;= 起点液位 &lt; 终点液位 &lt;= 液位罐高</w:t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4E0A4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默认值：0.0 mm</w:t>
            </w:r>
          </w:p>
        </w:tc>
      </w:tr>
      <w:tr w14:paraId="57ADA5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5B70C2D">
            <w:pPr>
              <w:spacing w:before="0" w:after="0" w:line="247" w:lineRule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</w:rPr>
              <w:t>AO终点液位（终点液位）</w:t>
            </w:r>
          </w:p>
        </w:tc>
        <w:tc>
          <w:tcPr>
            <w:tcW w:w="3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76D35D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 xml:space="preserve">设置正常输出终点电流对应的液位点。 </w:t>
            </w:r>
          </w:p>
        </w:tc>
        <w:tc>
          <w:tcPr>
            <w:tcW w:w="2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42265D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权限/范围：可写；建议 0 &lt;= 起点液位 &lt; 终点液位 &lt;= 液位罐高</w:t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D76988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默认值：液位罐高（当前默认 20000.0 mm）</w:t>
            </w:r>
          </w:p>
        </w:tc>
      </w:tr>
      <w:tr w14:paraId="683C41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7B578A0">
            <w:pPr>
              <w:spacing w:before="0" w:after="0" w:line="247" w:lineRule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</w:rPr>
              <w:t>AO正常起点电流（起点电流）</w:t>
            </w:r>
          </w:p>
        </w:tc>
        <w:tc>
          <w:tcPr>
            <w:tcW w:w="3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69A51D3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正常液位量程起点对应的电流值。</w:t>
            </w:r>
          </w:p>
        </w:tc>
        <w:tc>
          <w:tcPr>
            <w:tcW w:w="2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78BAB0B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权限/范围：可写；4.00 ~ 20.00；起点/终点可反向，二者不能相等</w:t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t>单位/小数：mA</w:t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t>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A8F041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默认值：4.00 mA</w:t>
            </w:r>
          </w:p>
        </w:tc>
      </w:tr>
      <w:tr w14:paraId="71A779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A9C0894">
            <w:pPr>
              <w:spacing w:before="0" w:after="0" w:line="247" w:lineRule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</w:rPr>
              <w:t>AO正常终点电流（终点电流）</w:t>
            </w:r>
          </w:p>
        </w:tc>
        <w:tc>
          <w:tcPr>
            <w:tcW w:w="3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933899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正常液位量程终点对应的电流值。</w:t>
            </w:r>
          </w:p>
        </w:tc>
        <w:tc>
          <w:tcPr>
            <w:tcW w:w="2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B9B81C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权限/范围：可写；4.00 ~ 20.00；起点/终点可反向，二者不能相等</w:t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t>单位/小数：mA</w:t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t>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F9E1E4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默认值：20.00 mA</w:t>
            </w:r>
          </w:p>
        </w:tc>
      </w:tr>
      <w:tr w14:paraId="18FBBA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910203D">
            <w:pPr>
              <w:spacing w:before="0" w:after="0" w:line="247" w:lineRule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</w:rPr>
              <w:t>AO高报警液位（高报液位）</w:t>
            </w:r>
          </w:p>
        </w:tc>
        <w:tc>
          <w:tcPr>
            <w:tcW w:w="3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3AB875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AO 独立高报警液位阈值。</w:t>
            </w:r>
          </w:p>
        </w:tc>
        <w:tc>
          <w:tcPr>
            <w:tcW w:w="2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78FA3B6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权限/范围：可写；0 表示关闭；非 0 时建议 0 &lt; 低报警液位 &lt; 高报警液位 &lt;= 液位罐高</w:t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t>单位/小数：mm</w:t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t>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2C97D4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默认值：液位罐高（当前默认 20000.0 mm）</w:t>
            </w:r>
          </w:p>
        </w:tc>
      </w:tr>
      <w:tr w14:paraId="2A6E9A5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4144D8">
            <w:pPr>
              <w:spacing w:before="0" w:after="0" w:line="247" w:lineRule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</w:rPr>
              <w:t>AO低报警液位（低报液位）</w:t>
            </w:r>
          </w:p>
        </w:tc>
        <w:tc>
          <w:tcPr>
            <w:tcW w:w="3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796C8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AO 独立低报警液位阈值。 | 备注：0 表示关闭低报警；触发后输出 AO低位电流；与高报警重叠或超过罐高时写参后归一化。</w:t>
            </w:r>
          </w:p>
        </w:tc>
        <w:tc>
          <w:tcPr>
            <w:tcW w:w="2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A92EC2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权限/范围：可写；0 表示关闭；非 0 时建议 0 &lt; 低报警液位 &lt; 高报警液位 &lt;= 液位罐高</w:t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t>单位/小数：mm</w:t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t>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51D56D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默认值：0（不启用）</w:t>
            </w:r>
          </w:p>
        </w:tc>
      </w:tr>
      <w:tr w14:paraId="19567A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F7698D0">
            <w:pPr>
              <w:spacing w:before="0" w:after="0" w:line="247" w:lineRule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</w:rPr>
              <w:t>AO初始电流（初始电流）</w:t>
            </w:r>
          </w:p>
        </w:tc>
        <w:tc>
          <w:tcPr>
            <w:tcW w:w="3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1CBAF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设备启动、AO 未获得有效液位或未进入测量前输出的初始电流。</w:t>
            </w:r>
          </w:p>
        </w:tc>
        <w:tc>
          <w:tcPr>
            <w:tcW w:w="2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5C3685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权限/范围：可写；3.20 ~ 24.00</w:t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t>单位/小数：mA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514DCA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默认值：4.00 mA</w:t>
            </w:r>
          </w:p>
        </w:tc>
      </w:tr>
      <w:tr w14:paraId="25AC6A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B22462B">
            <w:pPr>
              <w:spacing w:before="0" w:after="0" w:line="247" w:lineRule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</w:rPr>
              <w:t>AO高位电流（高位电流）</w:t>
            </w:r>
          </w:p>
        </w:tc>
        <w:tc>
          <w:tcPr>
            <w:tcW w:w="3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EB7FBB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AO 高报警触发后的输出电流。</w:t>
            </w:r>
          </w:p>
        </w:tc>
        <w:tc>
          <w:tcPr>
            <w:tcW w:w="2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0881D88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权限/范围：可写；3.20 ~ 24.00</w:t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t>单位/小数：mA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C9052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默认值：20.00 mA</w:t>
            </w:r>
          </w:p>
        </w:tc>
      </w:tr>
      <w:tr w14:paraId="3F831B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2418BD8">
            <w:pPr>
              <w:spacing w:before="0" w:after="0" w:line="247" w:lineRule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</w:rPr>
              <w:t>AO低位电流（低位电流）</w:t>
            </w:r>
          </w:p>
        </w:tc>
        <w:tc>
          <w:tcPr>
            <w:tcW w:w="3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194F062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AO 低报警触发后的输出电流。</w:t>
            </w:r>
          </w:p>
        </w:tc>
        <w:tc>
          <w:tcPr>
            <w:tcW w:w="2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411157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权限/范围：可写；3.20 ~ 24.00</w:t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t>单位/小数：mA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63A5380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默认值：4.00 mA</w:t>
            </w:r>
          </w:p>
        </w:tc>
      </w:tr>
      <w:tr w14:paraId="002E26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41478D8">
            <w:pPr>
              <w:spacing w:before="0" w:after="0" w:line="247" w:lineRule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</w:rPr>
              <w:t>AO故障电流（故障电流）</w:t>
            </w:r>
          </w:p>
        </w:tc>
        <w:tc>
          <w:tcPr>
            <w:tcW w:w="3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0B6FD6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系统存在真实故障码时输出的故障电流。</w:t>
            </w:r>
          </w:p>
        </w:tc>
        <w:tc>
          <w:tcPr>
            <w:tcW w:w="2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0783034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权限/范围：可写；3.20 ~ 24.00</w:t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t>单位/小数：mA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DE39C81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默认值：22.00 mA</w:t>
            </w:r>
          </w:p>
        </w:tc>
      </w:tr>
      <w:tr w14:paraId="593D79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</w:tcPr>
          <w:p w14:paraId="14BBA813">
            <w:pPr>
              <w:spacing w:before="0" w:after="0" w:line="247" w:lineRule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</w:rPr>
              <w:t>AO调试电流（调试电流）</w:t>
            </w:r>
          </w:p>
        </w:tc>
        <w:tc>
          <w:tcPr>
            <w:tcW w:w="3688" w:type="dxa"/>
          </w:tcPr>
          <w:p w14:paraId="38921C7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调试模式下指定输出的电流值。</w:t>
            </w:r>
          </w:p>
        </w:tc>
        <w:tc>
          <w:tcPr>
            <w:tcW w:w="2812" w:type="dxa"/>
          </w:tcPr>
          <w:p w14:paraId="04638229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权限/范围：可写；3.20 ~ 24.00</w:t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t>单位/小数：mA / 小数2位</w:t>
            </w:r>
          </w:p>
        </w:tc>
        <w:tc>
          <w:tcPr>
            <w:tcW w:w="1088" w:type="dxa"/>
          </w:tcPr>
          <w:p w14:paraId="39AEF11F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默认值：12.00 mA</w:t>
            </w:r>
          </w:p>
        </w:tc>
      </w:tr>
      <w:tr w14:paraId="2E8497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</w:tcPr>
          <w:p w14:paraId="14F9504A">
            <w:pPr>
              <w:spacing w:before="0" w:after="0" w:line="247" w:lineRule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</w:rPr>
              <w:t>AO输出使能</w:t>
            </w:r>
          </w:p>
        </w:tc>
        <w:tc>
          <w:tcPr>
            <w:tcW w:w="3688" w:type="dxa"/>
          </w:tcPr>
          <w:p w14:paraId="78FB87A5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控制 CPU2 是否启用 AO 模拟电流输出。</w:t>
            </w:r>
          </w:p>
        </w:tc>
        <w:tc>
          <w:tcPr>
            <w:tcW w:w="2812" w:type="dxa"/>
          </w:tcPr>
          <w:p w14:paraId="24F39F81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权限/范围：可写；0=关闭；1=启用</w:t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</w:tcPr>
          <w:p w14:paraId="59079F70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默认值：0（关闭）</w:t>
            </w:r>
          </w:p>
        </w:tc>
      </w:tr>
    </w:tbl>
    <w:p w14:paraId="4DD754DB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6A33DEC0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36" w:name="_Toc18612"/>
      <w:r>
        <w:rPr>
          <w:rFonts w:hint="eastAsia" w:ascii="宋体" w:hAnsi="宋体" w:eastAsia="宋体" w:cs="宋体"/>
          <w:b/>
          <w:color w:val="auto"/>
          <w:sz w:val="22"/>
        </w:rPr>
        <w:t>6.14 通信设置 / COM1配置</w:t>
      </w:r>
      <w:bookmarkEnd w:id="36"/>
    </w:p>
    <w:p w14:paraId="295264BC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菜单路径：参数配置 -&gt; 通信设置 -&gt; COM1配置。顺序为协议、波特率、数据位、校验、停止位。默认计量仪/DSM 协议：4800 8N1；切换协议时带出推荐串口参数，物理串口参数仍可手动保存。</w:t>
      </w:r>
    </w:p>
    <w:p w14:paraId="2E62BED0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7"/>
        </w:rPr>
        <w:t>表 6-14 通信设置 / COM1 配置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6"/>
        <w:gridCol w:w="3054"/>
        <w:gridCol w:w="3960"/>
        <w:gridCol w:w="988"/>
      </w:tblGrid>
      <w:tr w14:paraId="0E4DBE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5AD652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37BB0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7CB51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E484D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默认值/现场设置值</w:t>
            </w:r>
          </w:p>
        </w:tc>
      </w:tr>
      <w:tr w14:paraId="20604D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67BB93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COM1协议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6F645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设置COM1使用的通讯协议。 备注：默认计量仪/DSM：4800 8N1；切换协议时自动带出推荐串口参数，随后可手动覆盖波特率、校验和停止位并保存。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A013C8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权限/范围：可写；0=计量仪协议；1=瓦锡兰协议；2=LTD协议；5=SI7000协议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95678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默认值：0（计量仪协议/DSM）</w:t>
            </w:r>
          </w:p>
        </w:tc>
      </w:tr>
      <w:tr w14:paraId="77FA93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6DBB3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COM1波特率（C1波特率）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ECBEC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设置COM1的通讯速率。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35C1EF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权限/范围：可写；1200/2400/4800/9600/19200/38400/57600/115200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3092C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默认值：4800</w:t>
            </w:r>
          </w:p>
        </w:tc>
      </w:tr>
      <w:tr w14:paraId="50F4D8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AE529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COM1数据位（C1数据位）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A6F9E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设置COM1的数据位长度。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953C56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权限/范围：可写；0=8位；1=9位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7AFEC2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默认值：0（8位）</w:t>
            </w:r>
          </w:p>
        </w:tc>
      </w:tr>
      <w:tr w14:paraId="6BBE92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1ABC39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COM1校验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D5CD3B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设置COM1的校验方式。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07FAEA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权限/范围：可写；0=无校验；1=偶校验；2=奇校验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9DB156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默认值：0（无校验）</w:t>
            </w:r>
          </w:p>
        </w:tc>
      </w:tr>
      <w:tr w14:paraId="145230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BA0C5E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COM1停止位（C1停止位）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70A55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设置COM1的停止位。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883013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权限/范围：可写；0=1位；1=2位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C3D0A1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默认值：0（1位）</w:t>
            </w:r>
          </w:p>
        </w:tc>
      </w:tr>
    </w:tbl>
    <w:p w14:paraId="4FC9CEF0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7EB648F0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37" w:name="_Toc12852"/>
      <w:r>
        <w:rPr>
          <w:rFonts w:hint="eastAsia" w:ascii="宋体" w:hAnsi="宋体" w:eastAsia="宋体" w:cs="宋体"/>
          <w:b/>
          <w:color w:val="auto"/>
          <w:sz w:val="22"/>
        </w:rPr>
        <w:t>6.15 通信设置 / COM2配置</w:t>
      </w:r>
      <w:bookmarkEnd w:id="37"/>
    </w:p>
    <w:p w14:paraId="61B4288B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菜单路径：参数配置 -&gt; 通信设置 -&gt; COM2配置。顺序为协议、波特率、数据位、校验、停止位。默认瓦锡兰协议：2400 8E1；切换协议时带出推荐串口参数，物理串口参数仍可手动保存。</w:t>
      </w:r>
    </w:p>
    <w:p w14:paraId="4E9211A2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7"/>
        </w:rPr>
        <w:t>表 6-15 通信设置 / COM2 配置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3074"/>
        <w:gridCol w:w="3960"/>
        <w:gridCol w:w="948"/>
      </w:tblGrid>
      <w:tr w14:paraId="628941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78CC0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F6FB5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CCADF7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507FC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默认值/现场设置值</w:t>
            </w:r>
          </w:p>
        </w:tc>
      </w:tr>
      <w:tr w14:paraId="7CD279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8402A4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COM2协议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C36F01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设置COM2使用的通讯协议。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备注：瓦锡兰协议：COM2 2400 8E1；切换协议时自动带出推荐串口参数，随后可手动覆盖波特率、校验和停止位并保存。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4F846F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权限/范围：可写；0=计量仪协议；1=瓦锡兰协议；2=LTD协议；5=SI7000协议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41383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默认值：1（瓦锡兰协议）</w:t>
            </w:r>
          </w:p>
        </w:tc>
      </w:tr>
      <w:tr w14:paraId="4D64423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589871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COM2波特率（C2波特率）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850B71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设置COM2的通讯速率。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276AFC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权限/范围：可写；1200/2400/4800/9600/19200/38400/57600/115200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42C476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默认值：2400</w:t>
            </w:r>
          </w:p>
        </w:tc>
      </w:tr>
      <w:tr w14:paraId="6D25F2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FDA10C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COM2数据位（C2数据位）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AB0A8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设置COM2的数据位长度。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CBB7C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权限/范围：可写；0=8位；1=9位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F5FCE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默认值：0（8位）</w:t>
            </w:r>
          </w:p>
        </w:tc>
      </w:tr>
      <w:tr w14:paraId="406C497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01D26F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COM2校验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4CF6F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设置COM2的校验方式。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46F924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权限/范围：可写；0=无校验；1=偶校验；2=奇校验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929CD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默认值：1（偶校验）</w:t>
            </w:r>
          </w:p>
        </w:tc>
      </w:tr>
      <w:tr w14:paraId="2DFEFF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9CC03E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COM2停止位（C2停止位）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099F8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设置COM2的停止位。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089AD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权限/范围：可写；0=1位；1=2位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8A983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默认值：0（1位）</w:t>
            </w:r>
          </w:p>
        </w:tc>
      </w:tr>
    </w:tbl>
    <w:p w14:paraId="46422814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39FE7863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38" w:name="_Toc14991"/>
      <w:r>
        <w:rPr>
          <w:rFonts w:hint="eastAsia" w:ascii="宋体" w:hAnsi="宋体" w:eastAsia="宋体" w:cs="宋体"/>
          <w:b/>
          <w:color w:val="auto"/>
          <w:sz w:val="22"/>
        </w:rPr>
        <w:t>6.16 通信设置 / COM3配置</w:t>
      </w:r>
      <w:bookmarkEnd w:id="38"/>
    </w:p>
    <w:p w14:paraId="6C60A5ED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菜单路径：参数配置 -&gt; 通信设置 -&gt; COM3配置。顺序为协议、波特率、数据位、校验、停止位。默认瓦锡兰协议：2400 8E1；切换协议时带出推荐串口参数，物理串口参数仍可手动保存。</w:t>
      </w:r>
    </w:p>
    <w:p w14:paraId="2A6F23F9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7"/>
        </w:rPr>
        <w:t>表 6-16 通信设置 / COM3 配置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3074"/>
        <w:gridCol w:w="3960"/>
        <w:gridCol w:w="948"/>
      </w:tblGrid>
      <w:tr w14:paraId="58FA70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40839E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772D85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686A1A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C771A2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默认值/现场设置值</w:t>
            </w:r>
          </w:p>
        </w:tc>
      </w:tr>
      <w:tr w14:paraId="066294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8E930F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COM3协议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4F19E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设置COM3使用的通讯协议。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备注：瓦锡兰协议：COM3 2400 8E1；切换协议时自动带出推荐串口参数，随后可手动覆盖波特率、校验和停止位并保存。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59B4C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权限/范围：可写；0=计量仪协议；1=瓦锡兰协议；2=LTD协议；5=SI7000协议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C65165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默认值：1（瓦锡兰协议）</w:t>
            </w:r>
          </w:p>
        </w:tc>
      </w:tr>
      <w:tr w14:paraId="139E26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B1B0CF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COM3波特率（C3波特率）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67DB4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设置COM3的通讯速率。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F1013B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权限/范围：可写；1200/2400/4800/9600/19200/38400/57600/115200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1F15A2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默认值：2400</w:t>
            </w:r>
          </w:p>
        </w:tc>
      </w:tr>
      <w:tr w14:paraId="353BD6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FC0649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COM3数据位（C3数据位）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CBAE2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设置COM3的数据位长度。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8F9894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权限/范围：可写；0=8位；1=9位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9AF674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默认值：0（8位）</w:t>
            </w:r>
          </w:p>
        </w:tc>
      </w:tr>
      <w:tr w14:paraId="0BCAA0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3D0DC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COM3校验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9C78CE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设置COM3的校验方式。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4EEB59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权限/范围：可写；0=无校验；1=偶校验；2=奇校验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A2E8A5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默认值：1（偶校验）</w:t>
            </w:r>
          </w:p>
        </w:tc>
      </w:tr>
      <w:tr w14:paraId="30A84E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AF5095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COM3停止位（C3停止位）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41D8E1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设置COM3的停止位。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8EDD00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权限/范围：可写；0=1位；1=2位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096C2B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默认值：0（1位）</w:t>
            </w:r>
          </w:p>
        </w:tc>
      </w:tr>
    </w:tbl>
    <w:p w14:paraId="31838128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74D53206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39" w:name="_Toc8412"/>
      <w:r>
        <w:rPr>
          <w:rFonts w:hint="eastAsia" w:ascii="宋体" w:hAnsi="宋体" w:eastAsia="宋体" w:cs="宋体"/>
          <w:b/>
          <w:color w:val="auto"/>
          <w:sz w:val="22"/>
        </w:rPr>
        <w:t>6.17 显示设置 / 显示基础与直接入口</w:t>
      </w:r>
      <w:bookmarkEnd w:id="39"/>
    </w:p>
    <w:p w14:paraId="76939BA2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菜单路径：参数配置 -&gt; 显示设置。一级入口包含显示基础、语言、屏幕密码、数据源与手输值；显示基础子页包含小数点位数、息屏开关、屏幕亮度。CPU3 程序版本位于维护设置 -&gt; 设备信息。</w:t>
      </w:r>
    </w:p>
    <w:p w14:paraId="3915F86D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7"/>
        </w:rPr>
        <w:t>表 6-16 显示设置 / 显示基础与直接入口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431BF5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4B4950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774F5A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29EF2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33D3C0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默认值/现场设置值</w:t>
            </w:r>
          </w:p>
        </w:tc>
      </w:tr>
      <w:tr w14:paraId="4790EC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00861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显示基础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FEF6D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显示基础子页入口，进入后可设置小数点位数、息屏开关和屏幕亮度。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0F8D1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权限/范围：入口；下级参数可写 | 单位/小数：-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A479C9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默认值：下级参数见本表</w:t>
            </w:r>
          </w:p>
        </w:tc>
      </w:tr>
      <w:tr w14:paraId="010C48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3A2C1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语言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E0A22A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选择屏幕显示语言；该项为显示设置一级直接入口。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627D1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权限/范围：可写；0=中文；1=英文 | 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E64CBB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默认值：0（中文）</w:t>
            </w:r>
          </w:p>
        </w:tc>
      </w:tr>
      <w:tr w14:paraId="66BD0E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29806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屏幕密码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882BCA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设置进入屏幕菜单时使用的密码；该项为显示设置一级直接入口。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909378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 ~ 9999 | 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B4FE7E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</w:t>
            </w:r>
          </w:p>
        </w:tc>
      </w:tr>
      <w:tr w14:paraId="37005E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4FD55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小数点位数（小数点位）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00C8D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设置屏幕显示数值的小数位数，位于显示基础子页。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4DA37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权限/范围：可写；0/1/2/3/4 位 | 单位/小数：位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27D3F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默认值：2</w:t>
            </w:r>
          </w:p>
        </w:tc>
      </w:tr>
      <w:tr w14:paraId="19C6E2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406A2A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息屏开关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7C3B4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控制屏幕是否启用息屏功能，位于显示基础子页。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4F290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权限/范围：可写；0=否；1=是 | 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F7134A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默认值：0（否）</w:t>
            </w:r>
          </w:p>
        </w:tc>
      </w:tr>
      <w:tr w14:paraId="4E4FEB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139CB0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屏幕亮度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9C44E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设置 OLED 屏幕亮度挡位，位于显示基础子页；保存后立即应用到 OLED 对比度。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6BB00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权限/范围：可写；0=低；1=中低；2=中；3=中高；4=高 | 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5ED20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默认值：1（中低）</w:t>
            </w:r>
          </w:p>
        </w:tc>
      </w:tr>
    </w:tbl>
    <w:p w14:paraId="697332F7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31DAA083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40" w:name="_Toc17928"/>
      <w:r>
        <w:rPr>
          <w:rFonts w:hint="eastAsia" w:ascii="宋体" w:hAnsi="宋体" w:eastAsia="宋体" w:cs="宋体"/>
          <w:b/>
          <w:color w:val="auto"/>
          <w:sz w:val="22"/>
        </w:rPr>
        <w:t>6.18 显示设置 / 数据源与手输值</w:t>
      </w:r>
      <w:bookmarkEnd w:id="40"/>
    </w:p>
    <w:p w14:paraId="298DE929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菜单路径：参数配置 -&gt; 显示设置 -&gt; 数据源与手输值。下级按液位、水位、密度、温度分组。</w:t>
      </w:r>
    </w:p>
    <w:p w14:paraId="25419F2F">
      <w:pPr>
        <w:pStyle w:val="5"/>
        <w:keepNext/>
        <w:pageBreakBefore w:val="0"/>
        <w:pBdr>
          <w:bottom w:val="single" w:color="D9E2EA" w:sz="4" w:space="2"/>
        </w:pBdr>
        <w:spacing w:before="100" w:after="60" w:line="252" w:lineRule="auto"/>
        <w:rPr>
          <w:rFonts w:hint="eastAsia" w:ascii="宋体" w:hAnsi="宋体" w:eastAsia="宋体" w:cs="宋体"/>
          <w:color w:val="auto"/>
        </w:rPr>
      </w:pPr>
      <w:bookmarkStart w:id="41" w:name="_Toc3010"/>
      <w:r>
        <w:rPr>
          <w:rFonts w:hint="eastAsia" w:ascii="宋体" w:hAnsi="宋体" w:eastAsia="宋体" w:cs="宋体"/>
          <w:b/>
          <w:color w:val="auto"/>
          <w:sz w:val="21"/>
        </w:rPr>
        <w:t>数据源与手输值 / 液位</w:t>
      </w:r>
      <w:bookmarkEnd w:id="41"/>
    </w:p>
    <w:p w14:paraId="3723473F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7"/>
        </w:rPr>
        <w:t>表 6-18-1 显示设置 / 数据源与手输值 / 液位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206F12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CD5AC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5C3C3B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E1E7D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7C58ED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默认值/现场设置值</w:t>
            </w:r>
          </w:p>
        </w:tc>
      </w:tr>
      <w:tr w14:paraId="72BB75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7C0571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液位数据源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CCBD70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选择液位显示和上传数据来自实测值或手输值。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8994F1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权限/范围：可写；0=设备测量；1=手工输入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532402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默认值：0（设备测量）</w:t>
            </w:r>
          </w:p>
        </w:tc>
      </w:tr>
      <w:tr w14:paraId="4B67F0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96104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液位手输值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8DC4BC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液位数据源选择手输时使用的显示和上传值。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1575A8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 ~ 999999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EF6BB9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默认值：0.0 mm</w:t>
            </w:r>
          </w:p>
        </w:tc>
      </w:tr>
    </w:tbl>
    <w:p w14:paraId="6EAE1D8D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2E7BD0DF">
      <w:pPr>
        <w:pStyle w:val="5"/>
        <w:keepNext/>
        <w:pageBreakBefore w:val="0"/>
        <w:pBdr>
          <w:bottom w:val="single" w:color="D9E2EA" w:sz="4" w:space="2"/>
        </w:pBdr>
        <w:spacing w:before="100" w:after="60" w:line="252" w:lineRule="auto"/>
        <w:rPr>
          <w:rFonts w:hint="eastAsia" w:ascii="宋体" w:hAnsi="宋体" w:eastAsia="宋体" w:cs="宋体"/>
          <w:color w:val="auto"/>
        </w:rPr>
      </w:pPr>
      <w:bookmarkStart w:id="42" w:name="_Toc8841"/>
      <w:r>
        <w:rPr>
          <w:rFonts w:hint="eastAsia" w:ascii="宋体" w:hAnsi="宋体" w:eastAsia="宋体" w:cs="宋体"/>
          <w:b/>
          <w:color w:val="auto"/>
          <w:sz w:val="21"/>
        </w:rPr>
        <w:t>数据源与手输值 / 水位</w:t>
      </w:r>
      <w:bookmarkEnd w:id="42"/>
    </w:p>
    <w:p w14:paraId="659F7784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7"/>
        </w:rPr>
        <w:t>表 6-18-2 显示设置 / 数据源与手输值 / 水位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0DD80C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F491B8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5880A9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92A53C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CDAD2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默认值/现场设置值</w:t>
            </w:r>
          </w:p>
        </w:tc>
      </w:tr>
      <w:tr w14:paraId="508AB7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79D76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水位数据源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A38A4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选择水位显示和上传数据来自实测值或手输值。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73B6D8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权限/范围：可写；0=设备测量；1=手工输入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93A71D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默认值：0（设备测量）</w:t>
            </w:r>
          </w:p>
        </w:tc>
      </w:tr>
      <w:tr w14:paraId="0B2232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A9564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水位手输值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ACA4C6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水位数据源选择手输时使用的显示和上传值。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25099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 ~ 999999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53F6E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默认值：0.0 mm</w:t>
            </w:r>
          </w:p>
        </w:tc>
      </w:tr>
    </w:tbl>
    <w:p w14:paraId="15FA55A9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173D519B">
      <w:pPr>
        <w:pStyle w:val="5"/>
        <w:keepNext/>
        <w:pageBreakBefore w:val="0"/>
        <w:pBdr>
          <w:bottom w:val="single" w:color="D9E2EA" w:sz="4" w:space="2"/>
        </w:pBdr>
        <w:spacing w:before="100" w:after="60" w:line="252" w:lineRule="auto"/>
        <w:rPr>
          <w:rFonts w:hint="eastAsia" w:ascii="宋体" w:hAnsi="宋体" w:eastAsia="宋体" w:cs="宋体"/>
          <w:color w:val="auto"/>
        </w:rPr>
      </w:pPr>
      <w:bookmarkStart w:id="43" w:name="_Toc20291"/>
      <w:r>
        <w:rPr>
          <w:rFonts w:hint="eastAsia" w:ascii="宋体" w:hAnsi="宋体" w:eastAsia="宋体" w:cs="宋体"/>
          <w:b/>
          <w:color w:val="auto"/>
          <w:sz w:val="21"/>
        </w:rPr>
        <w:t>数据源与手输值 / 密度</w:t>
      </w:r>
      <w:bookmarkEnd w:id="43"/>
    </w:p>
    <w:p w14:paraId="7CE64124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7"/>
        </w:rPr>
        <w:t>表 6-18-3 显示设置 / 数据源与手输值 / 密度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38E07C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EDBD4B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9F26F2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21F178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ADCDD8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默认值/现场设置值</w:t>
            </w:r>
          </w:p>
        </w:tc>
      </w:tr>
      <w:tr w14:paraId="643DA6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6AEC38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密度数据源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4ADAFF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选择密度显示和上传数据来自实测值或手输值。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5DE41C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权限/范围：可写；0=设备测量；1=手工输入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939E9C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默认值：0（设备测量）</w:t>
            </w:r>
          </w:p>
        </w:tc>
      </w:tr>
      <w:tr w14:paraId="56CA94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A0AA6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密度手输值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6E5E3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密度数据源选择手输时使用的显示和上传值。 | 备注：协议 13 起手输密度按 raw / 100 显示；raw=100000 表示 1000.00 kg/m3。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CD509B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 ~ 200000 | 单位/小数：kg/m3 / 小数2位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C6447D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默认值：0.00 kg/m3</w:t>
            </w:r>
          </w:p>
        </w:tc>
      </w:tr>
      <w:tr w14:paraId="03CD0E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31FAA1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上传手输密度（上传密度）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CC8D09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控制手输密度值是否参与上传。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F078B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权限/范围：可写；0=关闭；1=开启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3B2C9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默认值：0（关闭）</w:t>
            </w:r>
          </w:p>
        </w:tc>
      </w:tr>
    </w:tbl>
    <w:p w14:paraId="38708E2C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33AE072D">
      <w:pPr>
        <w:pStyle w:val="5"/>
        <w:keepNext/>
        <w:pageBreakBefore w:val="0"/>
        <w:pBdr>
          <w:bottom w:val="single" w:color="D9E2EA" w:sz="4" w:space="2"/>
        </w:pBdr>
        <w:spacing w:before="100" w:after="60" w:line="252" w:lineRule="auto"/>
        <w:rPr>
          <w:rFonts w:hint="eastAsia" w:ascii="宋体" w:hAnsi="宋体" w:eastAsia="宋体" w:cs="宋体"/>
          <w:color w:val="auto"/>
        </w:rPr>
      </w:pPr>
      <w:bookmarkStart w:id="44" w:name="_Toc15125"/>
      <w:r>
        <w:rPr>
          <w:rFonts w:hint="eastAsia" w:ascii="宋体" w:hAnsi="宋体" w:eastAsia="宋体" w:cs="宋体"/>
          <w:b/>
          <w:color w:val="auto"/>
          <w:sz w:val="21"/>
        </w:rPr>
        <w:t>数据源与手输值 / 温度</w:t>
      </w:r>
      <w:bookmarkEnd w:id="44"/>
    </w:p>
    <w:p w14:paraId="4FAD78F8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7"/>
        </w:rPr>
        <w:t>表 6-18-4 显示设置 / 数据源与手输值 / 温度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22F415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79B69E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3B1515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6CB4A8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2CA08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默认值/现场设置值</w:t>
            </w:r>
          </w:p>
        </w:tc>
      </w:tr>
      <w:tr w14:paraId="3F9D40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7C93C5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温度数据源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A427D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选择温度显示和上传数据来自实测值或手输值。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AE4F32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权限/范围：可写；0=设备测量；1=手工输入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7FAE5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默认值：0（设备测量）</w:t>
            </w:r>
          </w:p>
        </w:tc>
      </w:tr>
      <w:tr w14:paraId="2FAB4C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6EEFD4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温度手输值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AD9A71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温度数据源选择手输时使用的显示和上传值。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324BD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权限/范围：可写；-500 ~ 2000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单位/小数：℃ / 小数1位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1266B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默认值：0.0 ℃</w:t>
            </w:r>
          </w:p>
        </w:tc>
      </w:tr>
    </w:tbl>
    <w:p w14:paraId="3F596F7A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5035F5D8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45" w:name="_Toc4619"/>
      <w:r>
        <w:rPr>
          <w:rFonts w:hint="eastAsia" w:ascii="宋体" w:hAnsi="宋体" w:eastAsia="宋体" w:cs="宋体"/>
          <w:b/>
          <w:color w:val="auto"/>
          <w:sz w:val="22"/>
        </w:rPr>
        <w:t>6.19 维护设置 / 设备信息</w:t>
      </w:r>
      <w:bookmarkEnd w:id="45"/>
    </w:p>
    <w:p w14:paraId="7F6BE7E1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菜单路径：参数配置 -&gt; 维护设置 -&gt; 设备信息。</w:t>
      </w:r>
    </w:p>
    <w:p w14:paraId="3C2F18A5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7"/>
        </w:rPr>
        <w:t>表 6-19 维护设置 / 设备信息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4"/>
        <w:gridCol w:w="3917"/>
        <w:gridCol w:w="2532"/>
        <w:gridCol w:w="1155"/>
      </w:tblGrid>
      <w:tr w14:paraId="30050A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E73DDF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56972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64A125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05CB8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默认值/现场设置值</w:t>
            </w:r>
          </w:p>
        </w:tc>
      </w:tr>
      <w:tr w14:paraId="745B12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0D00E6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传感器类型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E3F789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用于识别当前传感器类别，程序按该类别解释测量数据并辅助维护判断。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89CB4A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81210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默认值：12（一体机传感器）</w:t>
            </w:r>
          </w:p>
        </w:tc>
      </w:tr>
      <w:tr w14:paraId="35E0D3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45CC96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传感器编号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6AB72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记录传感器身份，用于现场追溯和通讯识别。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BE9E2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CF32C5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默认值：1234567</w:t>
            </w:r>
          </w:p>
        </w:tc>
      </w:tr>
      <w:tr w14:paraId="04E97C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48494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传感器软件版本（传感器版本）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E0FC03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显示传感器端程序版本，便于维护核对。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80BB91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Vx.x.x.x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65A2D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默认值：0x00010001（屏幕显示 V0.1.0.1）</w:t>
            </w:r>
          </w:p>
        </w:tc>
      </w:tr>
      <w:tr w14:paraId="6E4599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0AE038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CPU2程序版本（C2版本）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62A8F0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显示主控程序版本，便于版本核对。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63BED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Vx.x.x.x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507C30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默认值：当前 CPU2 固件版本（当前版本 V1.21.0.0）</w:t>
            </w:r>
          </w:p>
        </w:tc>
      </w:tr>
      <w:tr w14:paraId="396582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F54704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CPU3程序版本（C3版本）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8E290B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显示 CPU3 显示板程序版本，便于版本核对。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5901C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权限/范围：只读 | 单位/小数：- / Vx.x.x.x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CC27EB3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默认值：当前 CPU3 固件版本（当前版本 V1.19.0.0）</w:t>
            </w:r>
          </w:p>
        </w:tc>
      </w:tr>
      <w:tr w14:paraId="1B3A52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AB48B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协议版本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D4691D7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显示 CPU2/CPU3 共享协议版本，用于核对两侧参数和寄存器语义是否匹配。</w:t>
            </w:r>
            <w:r>
              <w:rPr>
                <w:rFonts w:hint="eastAsia" w:ascii="宋体" w:hAnsi="宋体" w:eastAsia="宋体" w:cs="宋体"/>
                <w:color w:val="auto"/>
                <w:sz w:val="17"/>
              </w:rPr>
              <w:br w:type="textWrapping"/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EBC86B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900B0C7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默认值：14（当前共享协议版本）</w:t>
            </w:r>
          </w:p>
        </w:tc>
      </w:tr>
    </w:tbl>
    <w:p w14:paraId="61DC61A8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6A25265A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  <w:color w:val="auto"/>
        </w:rPr>
      </w:pPr>
      <w:bookmarkStart w:id="46" w:name="_Toc11413"/>
      <w:r>
        <w:rPr>
          <w:rFonts w:hint="eastAsia" w:ascii="宋体" w:hAnsi="宋体" w:eastAsia="宋体" w:cs="宋体"/>
          <w:b/>
          <w:color w:val="auto"/>
          <w:sz w:val="22"/>
        </w:rPr>
        <w:t>6.20 维护设置 / 参数校验与RTC设置</w:t>
      </w:r>
      <w:bookmarkEnd w:id="46"/>
    </w:p>
    <w:p w14:paraId="4F361C90">
      <w:pPr>
        <w:keepNext/>
        <w:spacing w:before="0" w:after="100" w:line="259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菜单路径：参数配置 -&gt; 维护设置 -&gt; 参数校验；参数配置 -&gt; 维护设置 -&gt; RTC设置。参数校验页查看 CPU2 参数存储元信息；RTC 设置页校准 CPU3 本机日期时间。</w:t>
      </w:r>
    </w:p>
    <w:p w14:paraId="7D27FA57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7"/>
        </w:rPr>
        <w:t>表 6-20 维护设置 / 参数校验与 RTC 设置</w:t>
      </w:r>
    </w:p>
    <w:tbl>
      <w:tblPr>
        <w:tblStyle w:val="35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1"/>
        <w:gridCol w:w="3309"/>
        <w:gridCol w:w="2268"/>
        <w:gridCol w:w="2260"/>
      </w:tblGrid>
      <w:tr w14:paraId="776480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207D17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7C768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028E1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AB825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默认值/现场设置值</w:t>
            </w:r>
          </w:p>
        </w:tc>
      </w:tr>
      <w:tr w14:paraId="4785F6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6B2FD2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参数版本号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AACF93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用于判断参数结构版本是否匹配。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D20BC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787716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默认值：3（当前 CPU2 参数结构版本）</w:t>
            </w:r>
          </w:p>
        </w:tc>
      </w:tr>
      <w:tr w14:paraId="2ED0BE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606D3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结构体大小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0F32A5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用于校验参数区长度是否与程序一致。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D6092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FB7B96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默认值：运行时写入 sizeof(DeviceParameters)</w:t>
            </w:r>
          </w:p>
        </w:tc>
      </w:tr>
      <w:tr w14:paraId="5F59F4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9CDDD8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魔术字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404F1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用于判断参数存储区是否有效。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7C758F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0xXXXXXXXX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14D0F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默认值：0x4C54444D（LTDM）</w:t>
            </w:r>
          </w:p>
        </w:tc>
      </w:tr>
      <w:tr w14:paraId="76B0E7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E41DB3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参数CRC32（CRC）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B0435E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用于校验参数内容是否被破坏。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D50A87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单位/小数：- / 0xXXXXXXXX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9D763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默认值：保存时计算</w:t>
            </w:r>
          </w:p>
        </w:tc>
      </w:tr>
      <w:tr w14:paraId="3707A2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ED7B4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RTC设置</w:t>
            </w:r>
          </w:p>
        </w:tc>
        <w:tc>
          <w:tcPr>
            <w:tcW w:w="3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9FEF3F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6"/>
              </w:rPr>
              <w:t>设置 CPU3 本机日期时间，供 SI7000 当前时间寄存器和 profile 时间戳使用。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6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6"/>
              </w:rPr>
              <w:t>备注：维护设置独立页面；上/下键调整当前字段，确认进入下一字段，秒字段确认保存，返回键回退字段或退出。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FAD5F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权限/范围：可操作；年 2000~2099，月 1~12，日按月份/闰年限制，时 0~23，分秒 0~59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单位/小数：yyyy-MM-dd HH:mm:ss</w:t>
            </w:r>
          </w:p>
        </w:tc>
        <w:tc>
          <w:tcPr>
            <w:tcW w:w="10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658AAD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默认值：2026-01-01 00:00:00（未校时状态）</w:t>
            </w:r>
          </w:p>
        </w:tc>
      </w:tr>
    </w:tbl>
    <w:p w14:paraId="64387112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7A969687">
      <w:pPr>
        <w:pStyle w:val="3"/>
        <w:keepNext/>
        <w:pageBreakBefore w:val="0"/>
        <w:pBdr>
          <w:left w:val="single" w:color="B6862D" w:sz="18" w:space="6"/>
          <w:bottom w:val="single" w:color="2A6F8E" w:sz="6" w:space="4"/>
        </w:pBdr>
        <w:spacing w:before="280" w:after="140" w:line="240" w:lineRule="auto"/>
        <w:rPr>
          <w:rFonts w:hint="eastAsia" w:ascii="宋体" w:hAnsi="宋体" w:eastAsia="宋体" w:cs="宋体"/>
          <w:color w:val="auto"/>
        </w:rPr>
      </w:pPr>
      <w:bookmarkStart w:id="47" w:name="_Toc20182"/>
      <w:bookmarkStart w:id="48" w:name="_Toc29347"/>
      <w:r>
        <w:rPr>
          <w:rFonts w:hint="eastAsia" w:ascii="宋体" w:hAnsi="宋体" w:eastAsia="宋体" w:cs="宋体"/>
          <w:b/>
          <w:color w:val="auto"/>
          <w:sz w:val="29"/>
        </w:rPr>
        <w:t>七、语言菜单与参数保护</w:t>
      </w:r>
      <w:bookmarkEnd w:id="47"/>
      <w:bookmarkEnd w:id="48"/>
    </w:p>
    <w:p w14:paraId="7211DDDC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7"/>
        </w:rPr>
        <w:t>表 7 语言菜单与参数保护</w:t>
      </w:r>
    </w:p>
    <w:tbl>
      <w:tblPr>
        <w:tblStyle w:val="36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7488"/>
      </w:tblGrid>
      <w:tr w14:paraId="06CEFA9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2EF84E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菜单项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03F679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说明</w:t>
            </w:r>
          </w:p>
        </w:tc>
      </w:tr>
      <w:tr w14:paraId="721975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7DE344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中文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99001A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切换为中文显示。</w:t>
            </w:r>
          </w:p>
        </w:tc>
      </w:tr>
      <w:tr w14:paraId="650D71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22E84B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英文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20268D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切换为英文显示。</w:t>
            </w:r>
          </w:p>
        </w:tc>
      </w:tr>
      <w:tr w14:paraId="21041F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C65FE5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退出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A879A4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返回主菜单。</w:t>
            </w:r>
          </w:p>
        </w:tc>
      </w:tr>
      <w:tr w14:paraId="1324658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1D36FF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参数保护</w:t>
            </w:r>
          </w:p>
        </w:tc>
        <w:tc>
          <w:tcPr>
            <w:tcW w:w="74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E994E5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危险参数不新增维护权限；运行策略、电机/编码换算、罐高/罐底、水位关键阈值、通信串口参数和恢复出厂设置保存前增加“参数保护”额外确认。</w:t>
            </w:r>
          </w:p>
        </w:tc>
      </w:tr>
    </w:tbl>
    <w:p w14:paraId="13096DC4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64AC9AB9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p w14:paraId="41117FF2">
      <w:pPr>
        <w:pStyle w:val="3"/>
        <w:keepNext/>
        <w:pageBreakBefore w:val="0"/>
        <w:pBdr>
          <w:left w:val="single" w:color="B6862D" w:sz="18" w:space="6"/>
          <w:bottom w:val="single" w:color="2A6F8E" w:sz="6" w:space="4"/>
        </w:pBdr>
        <w:spacing w:before="280" w:after="140" w:line="240" w:lineRule="auto"/>
        <w:rPr>
          <w:rFonts w:hint="eastAsia" w:ascii="宋体" w:hAnsi="宋体" w:eastAsia="宋体" w:cs="宋体"/>
          <w:color w:val="auto"/>
        </w:rPr>
      </w:pPr>
      <w:bookmarkStart w:id="49" w:name="_Toc1019"/>
      <w:bookmarkStart w:id="50" w:name="_Toc17321"/>
      <w:r>
        <w:rPr>
          <w:rFonts w:hint="eastAsia" w:ascii="宋体" w:hAnsi="宋体" w:eastAsia="宋体" w:cs="宋体"/>
          <w:b/>
          <w:color w:val="auto"/>
          <w:sz w:val="29"/>
        </w:rPr>
        <w:t>八、显示和维护说明</w:t>
      </w:r>
      <w:bookmarkEnd w:id="49"/>
      <w:bookmarkEnd w:id="50"/>
    </w:p>
    <w:p w14:paraId="21F7ACB3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17"/>
        </w:rPr>
        <w:t>表 8 显示和维护说明</w:t>
      </w:r>
    </w:p>
    <w:tbl>
      <w:tblPr>
        <w:tblStyle w:val="36"/>
        <w:tblW w:w="96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9"/>
        <w:gridCol w:w="7609"/>
      </w:tblGrid>
      <w:tr w14:paraId="44EB32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2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3EE9C4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主题</w:t>
            </w:r>
          </w:p>
        </w:tc>
        <w:tc>
          <w:tcPr>
            <w:tcW w:w="7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242B71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说明</w:t>
            </w:r>
          </w:p>
        </w:tc>
      </w:tr>
      <w:tr w14:paraId="505622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8E3293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选项型参数</w:t>
            </w:r>
          </w:p>
        </w:tc>
        <w:tc>
          <w:tcPr>
            <w:tcW w:w="7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1D14D5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上电默认指令、液位/水位测量方式、分布测顺序/模式、数据源、语言、屏幕亮度、COM 参数、继电器 K1~K4 配置、AO 输出使能、SI自动按候选项显示；越界值显示“非法配置”。</w:t>
            </w:r>
          </w:p>
        </w:tc>
      </w:tr>
      <w:tr w14:paraId="382681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124DDE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通信协议联动</w:t>
            </w:r>
          </w:p>
        </w:tc>
        <w:tc>
          <w:tcPr>
            <w:tcW w:w="7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25F43F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6"/>
              </w:rPr>
              <w:t>切换计量仪/DSM、瓦锡兰、LTD、SI7000 协议时带出推荐串口参数：计量仪/DSM 为 4800 8N1，瓦锡兰为 2400 8E1，LTD 为 115200 8N1，SI7000 为 9600 8O1。带出后仍可手动改波特率、数据位、校验和停止位。</w:t>
            </w:r>
          </w:p>
        </w:tc>
      </w:tr>
      <w:tr w14:paraId="2EF300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180735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只读参数</w:t>
            </w:r>
          </w:p>
        </w:tc>
        <w:tc>
          <w:tcPr>
            <w:tcW w:w="7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793E4E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6"/>
              </w:rPr>
              <w:t>CPU2/CPU3 版本、协议版本、参数版本、结构体大小、魔术字和 CRC 只用于现场核对。继电器 K1~K4 报警状态页只显示 CPU2 上报的报警运行态，不作为参数写入页。</w:t>
            </w:r>
          </w:p>
        </w:tc>
      </w:tr>
      <w:tr w14:paraId="7C01FC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DF202E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读取部件参数页</w:t>
            </w:r>
          </w:p>
        </w:tc>
        <w:tc>
          <w:tcPr>
            <w:tcW w:w="7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A9DD3D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读取完成后显示 CPU2 debug_data 快照：位置、扭力、温度、频率、电容、X/Y 角、当前连接 MAC 和蓝牙 RSSI。MAC 无效显示 MAC N/A，RSSI 无效显示 RSSI:N/A；</w:t>
            </w:r>
          </w:p>
        </w:tc>
      </w:tr>
      <w:tr w14:paraId="7F9B01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B4FBE6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7"/>
              </w:rPr>
              <w:t>RTC 设置</w:t>
            </w:r>
          </w:p>
        </w:tc>
        <w:tc>
          <w:tcPr>
            <w:tcW w:w="7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DA57D0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7"/>
              </w:rPr>
              <w:t>维护设置下新增 RTC 设置页面。状态行显示 RTC LSE/RTC LSI/RTC UNSET/RTC ERR；确认键逐字段前进，秒字段确认保存，返回键逐字段后退或退出。</w:t>
            </w:r>
          </w:p>
        </w:tc>
      </w:tr>
      <w:tr w14:paraId="5230BE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9" w:type="dxa"/>
          </w:tcPr>
          <w:p w14:paraId="0A67E17E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</w:rPr>
              <w:t>菜单空闲退出</w:t>
            </w:r>
          </w:p>
        </w:tc>
        <w:tc>
          <w:tcPr>
            <w:tcW w:w="7609" w:type="dxa"/>
          </w:tcPr>
          <w:p w14:paraId="2351001C">
            <w:pPr>
              <w:spacing w:before="0" w:after="0" w:line="247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</w:rPr>
              <w:t>CPU3 普通菜单页 120 秒无按键自动退出到状态页；电机运行监控页和扭力等待页不参与普通菜单空闲退出，避免打断业务等待。</w:t>
            </w:r>
          </w:p>
        </w:tc>
      </w:tr>
    </w:tbl>
    <w:p w14:paraId="08264554">
      <w:pPr>
        <w:spacing w:before="0" w:after="100" w:line="259" w:lineRule="auto"/>
        <w:rPr>
          <w:rFonts w:hint="eastAsia" w:ascii="宋体" w:hAnsi="宋体" w:eastAsia="宋体" w:cs="宋体"/>
          <w:color w:val="auto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879" w:right="1049" w:bottom="879" w:left="1049" w:header="397" w:footer="386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380F05">
    <w:pPr>
      <w:jc w:val="right"/>
    </w:pPr>
    <w:r>
      <w:rPr>
        <w:rFonts w:ascii="Calibri" w:hAnsi="Calibri" w:eastAsia="微软雅黑" w:cs="Calibri"/>
        <w:color w:val="000000"/>
        <w:sz w:val="16"/>
      </w:rPr>
      <w:t xml:space="preserve">第 </w:t>
    </w:r>
    <w:r>
      <w:rPr>
        <w:rFonts w:ascii="Calibri" w:hAnsi="Calibri" w:eastAsia="微软雅黑" w:cs="Calibri"/>
        <w:color w:val="000000"/>
        <w:sz w:val="16"/>
      </w:rPr>
      <w:fldChar w:fldCharType="begin"/>
    </w:r>
    <w:r>
      <w:rPr>
        <w:rFonts w:ascii="Calibri" w:hAnsi="Calibri" w:eastAsia="微软雅黑" w:cs="Calibri"/>
        <w:color w:val="000000"/>
        <w:sz w:val="16"/>
      </w:rPr>
      <w:instrText xml:space="preserve"> PAGE </w:instrText>
    </w:r>
    <w:r>
      <w:rPr>
        <w:rFonts w:ascii="Calibri" w:hAnsi="Calibri" w:eastAsia="微软雅黑" w:cs="Calibri"/>
        <w:color w:val="000000"/>
        <w:sz w:val="16"/>
      </w:rPr>
      <w:fldChar w:fldCharType="separate"/>
    </w:r>
    <w:r>
      <w:rPr>
        <w:rFonts w:ascii="Calibri" w:hAnsi="Calibri" w:eastAsia="微软雅黑" w:cs="Calibri"/>
        <w:color w:val="000000"/>
        <w:sz w:val="16"/>
      </w:rPr>
      <w:t>1</w:t>
    </w:r>
    <w:r>
      <w:rPr>
        <w:rFonts w:ascii="Calibri" w:hAnsi="Calibri" w:eastAsia="微软雅黑" w:cs="Calibri"/>
        <w:color w:val="000000"/>
        <w:sz w:val="16"/>
      </w:rPr>
      <w:fldChar w:fldCharType="end"/>
    </w:r>
    <w:r>
      <w:rPr>
        <w:rFonts w:ascii="Calibri" w:hAnsi="Calibri" w:eastAsia="微软雅黑" w:cs="Calibri"/>
        <w:color w:val="000000"/>
        <w:sz w:val="16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34D102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5896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0BE17A">
    <w:pPr>
      <w:pBdr>
        <w:bottom w:val="single" w:color="E9EEF3" w:sz="2" w:space="3"/>
      </w:pBdr>
      <w:tabs>
        <w:tab w:val="right" w:pos="9638"/>
      </w:tabs>
      <w:spacing w:after="20"/>
    </w:pPr>
    <w:r>
      <w:rPr>
        <w:rFonts w:ascii="Calibri" w:hAnsi="Calibri" w:eastAsia="微软雅黑" w:cs="Calibri"/>
        <w:b/>
        <w:color w:val="000000"/>
        <w:sz w:val="16"/>
      </w:rPr>
      <w:t>LNG 计量仪屏幕菜单</w:t>
    </w:r>
    <w:r>
      <w:rPr>
        <w:rFonts w:ascii="Calibri" w:hAnsi="Calibri" w:eastAsia="微软雅黑" w:cs="Calibri"/>
        <w:b/>
        <w:color w:val="000000"/>
        <w:sz w:val="16"/>
      </w:rPr>
      <w:tab/>
    </w:r>
    <w:r>
      <w:rPr>
        <w:rFonts w:ascii="Calibri" w:hAnsi="Calibri" w:eastAsia="微软雅黑" w:cs="Calibri"/>
        <w:b/>
        <w:color w:val="000000"/>
        <w:sz w:val="16"/>
      </w:rPr>
      <w:t>现场核对版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603E76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BEE0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422C20"/>
    <w:rsid w:val="13997668"/>
    <w:rsid w:val="16811EDF"/>
    <w:rsid w:val="1D970A2B"/>
    <w:rsid w:val="24F35D16"/>
    <w:rsid w:val="2A605BE2"/>
    <w:rsid w:val="2AC94A6A"/>
    <w:rsid w:val="2D6F57F1"/>
    <w:rsid w:val="31AC3C3F"/>
    <w:rsid w:val="37826121"/>
    <w:rsid w:val="3A02348F"/>
    <w:rsid w:val="3E0002ED"/>
    <w:rsid w:val="410865E2"/>
    <w:rsid w:val="41660D96"/>
    <w:rsid w:val="51270DC8"/>
    <w:rsid w:val="57EF3B87"/>
    <w:rsid w:val="5AD82DEA"/>
    <w:rsid w:val="60A1533F"/>
    <w:rsid w:val="61DC274E"/>
    <w:rsid w:val="62DE6052"/>
    <w:rsid w:val="686203BD"/>
    <w:rsid w:val="6DDE33AA"/>
    <w:rsid w:val="73C4734A"/>
    <w:rsid w:val="74A0076A"/>
    <w:rsid w:val="7FD4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80" w:line="276" w:lineRule="auto"/>
    </w:pPr>
    <w:rPr>
      <w:rFonts w:ascii="宋体" w:hAnsi="宋体" w:eastAsia="宋体" w:cstheme="minorBidi"/>
      <w:color w:val="000000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160" w:after="80" w:line="245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29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120" w:after="80" w:line="245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120" w:after="80" w:line="245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keepNext/>
      <w:spacing w:before="40" w:after="60" w:line="240" w:lineRule="auto"/>
    </w:pPr>
    <w:rPr>
      <w:rFonts w:ascii="宋体" w:hAnsi="宋体" w:eastAsia="宋体" w:cs="Calibri"/>
      <w:b/>
      <w:bCs/>
      <w:color w:val="4F81BD" w:themeColor="accent1"/>
      <w:sz w:val="17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before="0" w:after="80" w:line="276" w:lineRule="auto"/>
    </w:pPr>
    <w:rPr>
      <w:rFonts w:ascii="宋体" w:hAnsi="宋体" w:eastAsia="宋体"/>
      <w:color w:val="000000"/>
      <w:sz w:val="19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qFormat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6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themeColor="text1" w:sz="6" w:space="0"/>
        <w:bottom w:val="single" w:color="000000" w:themeColor="tex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6" w:space="0"/>
          <w:left w:val="single" w:color="000000" w:sz="6" w:space="0"/>
          <w:bottom w:val="single" w:color="000000" w:themeColor="text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6" w:space="0"/>
          <w:left w:val="single" w:color="000000" w:sz="6" w:space="0"/>
          <w:bottom w:val="single" w:color="000000" w:themeColor="text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000000"/>
    </w:rPr>
    <w:tblPr>
      <w:tblBorders>
        <w:top w:val="single" w:color="4F81BD" w:themeColor="accent1" w:sz="6" w:space="0"/>
        <w:bottom w:val="single" w:color="4F81BD" w:themeColor="accen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6" w:space="0"/>
          <w:left w:val="single" w:color="000000" w:sz="6" w:space="0"/>
          <w:bottom w:val="single" w:color="4F81BD" w:themeColor="accent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6" w:space="0"/>
          <w:left w:val="single" w:color="000000" w:sz="6" w:space="0"/>
          <w:bottom w:val="single" w:color="4F81BD" w:themeColor="accent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000000"/>
    </w:rPr>
    <w:tblPr>
      <w:tblBorders>
        <w:top w:val="single" w:color="C0504D" w:themeColor="accent2" w:sz="6" w:space="0"/>
        <w:bottom w:val="single" w:color="C0504D" w:themeColor="accent2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6" w:space="0"/>
          <w:left w:val="single" w:color="000000" w:sz="6" w:space="0"/>
          <w:bottom w:val="single" w:color="C0504D" w:themeColor="accent2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6" w:space="0"/>
          <w:left w:val="single" w:color="000000" w:sz="6" w:space="0"/>
          <w:bottom w:val="single" w:color="C0504D" w:themeColor="accent2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000000"/>
    </w:rPr>
    <w:tblPr>
      <w:tblBorders>
        <w:top w:val="single" w:color="9BBB59" w:themeColor="accent3" w:sz="6" w:space="0"/>
        <w:bottom w:val="single" w:color="9BBB59" w:themeColor="accent3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6" w:space="0"/>
          <w:left w:val="single" w:color="000000" w:sz="6" w:space="0"/>
          <w:bottom w:val="single" w:color="9BBB59" w:themeColor="accent3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6" w:space="0"/>
          <w:left w:val="single" w:color="000000" w:sz="6" w:space="0"/>
          <w:bottom w:val="single" w:color="9BBB59" w:themeColor="accent3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000000"/>
    </w:rPr>
    <w:tblPr>
      <w:tblBorders>
        <w:top w:val="single" w:color="8064A2" w:themeColor="accent4" w:sz="6" w:space="0"/>
        <w:bottom w:val="single" w:color="8064A2" w:themeColor="accent4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6" w:space="0"/>
          <w:left w:val="single" w:color="000000" w:sz="6" w:space="0"/>
          <w:bottom w:val="single" w:color="8064A2" w:themeColor="accent4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6" w:space="0"/>
          <w:left w:val="single" w:color="000000" w:sz="6" w:space="0"/>
          <w:bottom w:val="single" w:color="8064A2" w:themeColor="accent4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000000"/>
    </w:rPr>
    <w:tblPr>
      <w:tblBorders>
        <w:top w:val="single" w:color="4BACC6" w:themeColor="accent5" w:sz="6" w:space="0"/>
        <w:bottom w:val="single" w:color="4BACC6" w:themeColor="accent5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6" w:space="0"/>
          <w:left w:val="single" w:color="000000" w:sz="6" w:space="0"/>
          <w:bottom w:val="single" w:color="4BACC6" w:themeColor="accent5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6" w:space="0"/>
          <w:left w:val="single" w:color="000000" w:sz="6" w:space="0"/>
          <w:bottom w:val="single" w:color="4BACC6" w:themeColor="accent5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000000"/>
    </w:rPr>
    <w:tblPr>
      <w:tblBorders>
        <w:top w:val="single" w:color="F79646" w:themeColor="accent6" w:sz="6" w:space="0"/>
        <w:bottom w:val="single" w:color="F79646" w:themeColor="accent6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6" w:space="0"/>
          <w:left w:val="single" w:color="000000" w:sz="6" w:space="0"/>
          <w:bottom w:val="single" w:color="F79646" w:themeColor="accent6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6" w:space="0"/>
          <w:left w:val="single" w:color="000000" w:sz="6" w:space="0"/>
          <w:bottom w:val="single" w:color="F79646" w:themeColor="accent6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6" w:space="0"/>
        <w:left w:val="single" w:color="000000" w:themeColor="text1" w:sz="6" w:space="0"/>
        <w:bottom w:val="single" w:color="000000" w:themeColor="text1" w:sz="6" w:space="0"/>
        <w:right w:val="single" w:color="000000" w:themeColor="tex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</w:tcBorders>
      </w:tcPr>
    </w:tblStylePr>
    <w:tblStylePr w:type="band1Horz">
      <w:tblPr/>
      <w:tcPr>
        <w:tc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6" w:space="0"/>
        <w:left w:val="single" w:color="4F81BD" w:themeColor="accent1" w:sz="6" w:space="0"/>
        <w:bottom w:val="single" w:color="4F81BD" w:themeColor="accent1" w:sz="6" w:space="0"/>
        <w:right w:val="single" w:color="4F81BD" w:themeColor="accen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6" w:space="0"/>
          <w:left w:val="single" w:color="4F81BD" w:themeColor="accent1" w:sz="6" w:space="0"/>
          <w:bottom w:val="single" w:color="4F81BD" w:themeColor="accent1" w:sz="6" w:space="0"/>
          <w:right w:val="single" w:color="4F81BD" w:themeColor="accen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6" w:space="0"/>
          <w:left w:val="single" w:color="4F81BD" w:themeColor="accent1" w:sz="6" w:space="0"/>
          <w:bottom w:val="single" w:color="4F81BD" w:themeColor="accent1" w:sz="6" w:space="0"/>
          <w:right w:val="single" w:color="4F81BD" w:themeColor="accent1" w:sz="6" w:space="0"/>
        </w:tcBorders>
      </w:tcPr>
    </w:tblStylePr>
    <w:tblStylePr w:type="band1Horz">
      <w:tblPr/>
      <w:tcPr>
        <w:tcBorders>
          <w:top w:val="single" w:color="4F81BD" w:themeColor="accent1" w:sz="6" w:space="0"/>
          <w:left w:val="single" w:color="4F81BD" w:themeColor="accent1" w:sz="6" w:space="0"/>
          <w:bottom w:val="single" w:color="4F81BD" w:themeColor="accent1" w:sz="6" w:space="0"/>
          <w:right w:val="single" w:color="4F81BD" w:themeColor="accent1" w:sz="6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6" w:space="0"/>
        <w:left w:val="single" w:color="C0504D" w:themeColor="accent2" w:sz="6" w:space="0"/>
        <w:bottom w:val="single" w:color="C0504D" w:themeColor="accent2" w:sz="6" w:space="0"/>
        <w:right w:val="single" w:color="C0504D" w:themeColor="accent2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6" w:space="0"/>
          <w:left w:val="single" w:color="C0504D" w:themeColor="accent2" w:sz="6" w:space="0"/>
          <w:bottom w:val="single" w:color="C0504D" w:themeColor="accent2" w:sz="6" w:space="0"/>
          <w:right w:val="single" w:color="C0504D" w:themeColor="accent2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6" w:space="0"/>
          <w:left w:val="single" w:color="C0504D" w:themeColor="accent2" w:sz="6" w:space="0"/>
          <w:bottom w:val="single" w:color="C0504D" w:themeColor="accent2" w:sz="6" w:space="0"/>
          <w:right w:val="single" w:color="C0504D" w:themeColor="accent2" w:sz="6" w:space="0"/>
        </w:tcBorders>
      </w:tcPr>
    </w:tblStylePr>
    <w:tblStylePr w:type="band1Horz">
      <w:tblPr/>
      <w:tcPr>
        <w:tcBorders>
          <w:top w:val="single" w:color="C0504D" w:themeColor="accent2" w:sz="6" w:space="0"/>
          <w:left w:val="single" w:color="C0504D" w:themeColor="accent2" w:sz="6" w:space="0"/>
          <w:bottom w:val="single" w:color="C0504D" w:themeColor="accent2" w:sz="6" w:space="0"/>
          <w:right w:val="single" w:color="C0504D" w:themeColor="accent2" w:sz="6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6" w:space="0"/>
        <w:left w:val="single" w:color="9BBB59" w:themeColor="accent3" w:sz="6" w:space="0"/>
        <w:bottom w:val="single" w:color="9BBB59" w:themeColor="accent3" w:sz="6" w:space="0"/>
        <w:right w:val="single" w:color="9BBB59" w:themeColor="accent3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6" w:space="0"/>
          <w:left w:val="single" w:color="9BBB59" w:themeColor="accent3" w:sz="6" w:space="0"/>
          <w:bottom w:val="single" w:color="9BBB59" w:themeColor="accent3" w:sz="6" w:space="0"/>
          <w:right w:val="single" w:color="9BBB59" w:themeColor="accent3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6" w:space="0"/>
          <w:left w:val="single" w:color="9BBB59" w:themeColor="accent3" w:sz="6" w:space="0"/>
          <w:bottom w:val="single" w:color="9BBB59" w:themeColor="accent3" w:sz="6" w:space="0"/>
          <w:right w:val="single" w:color="9BBB59" w:themeColor="accent3" w:sz="6" w:space="0"/>
        </w:tcBorders>
      </w:tcPr>
    </w:tblStylePr>
    <w:tblStylePr w:type="band1Horz">
      <w:tblPr/>
      <w:tcPr>
        <w:tcBorders>
          <w:top w:val="single" w:color="9BBB59" w:themeColor="accent3" w:sz="6" w:space="0"/>
          <w:left w:val="single" w:color="9BBB59" w:themeColor="accent3" w:sz="6" w:space="0"/>
          <w:bottom w:val="single" w:color="9BBB59" w:themeColor="accent3" w:sz="6" w:space="0"/>
          <w:right w:val="single" w:color="9BBB59" w:themeColor="accent3" w:sz="6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6" w:space="0"/>
        <w:left w:val="single" w:color="8064A2" w:themeColor="accent4" w:sz="6" w:space="0"/>
        <w:bottom w:val="single" w:color="8064A2" w:themeColor="accent4" w:sz="6" w:space="0"/>
        <w:right w:val="single" w:color="8064A2" w:themeColor="accent4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6" w:space="0"/>
          <w:left w:val="single" w:color="8064A2" w:themeColor="accent4" w:sz="6" w:space="0"/>
          <w:bottom w:val="single" w:color="8064A2" w:themeColor="accent4" w:sz="6" w:space="0"/>
          <w:right w:val="single" w:color="8064A2" w:themeColor="accent4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6" w:space="0"/>
          <w:left w:val="single" w:color="8064A2" w:themeColor="accent4" w:sz="6" w:space="0"/>
          <w:bottom w:val="single" w:color="8064A2" w:themeColor="accent4" w:sz="6" w:space="0"/>
          <w:right w:val="single" w:color="8064A2" w:themeColor="accent4" w:sz="6" w:space="0"/>
        </w:tcBorders>
      </w:tcPr>
    </w:tblStylePr>
    <w:tblStylePr w:type="band1Horz">
      <w:tblPr/>
      <w:tcPr>
        <w:tcBorders>
          <w:top w:val="single" w:color="8064A2" w:themeColor="accent4" w:sz="6" w:space="0"/>
          <w:left w:val="single" w:color="8064A2" w:themeColor="accent4" w:sz="6" w:space="0"/>
          <w:bottom w:val="single" w:color="8064A2" w:themeColor="accent4" w:sz="6" w:space="0"/>
          <w:right w:val="single" w:color="8064A2" w:themeColor="accent4" w:sz="6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6" w:space="0"/>
        <w:left w:val="single" w:color="4BACC6" w:themeColor="accent5" w:sz="6" w:space="0"/>
        <w:bottom w:val="single" w:color="4BACC6" w:themeColor="accent5" w:sz="6" w:space="0"/>
        <w:right w:val="single" w:color="4BACC6" w:themeColor="accent5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6" w:space="0"/>
          <w:left w:val="single" w:color="4BACC6" w:themeColor="accent5" w:sz="6" w:space="0"/>
          <w:bottom w:val="single" w:color="4BACC6" w:themeColor="accent5" w:sz="6" w:space="0"/>
          <w:right w:val="single" w:color="4BACC6" w:themeColor="accent5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6" w:space="0"/>
          <w:left w:val="single" w:color="4BACC6" w:themeColor="accent5" w:sz="6" w:space="0"/>
          <w:bottom w:val="single" w:color="4BACC6" w:themeColor="accent5" w:sz="6" w:space="0"/>
          <w:right w:val="single" w:color="4BACC6" w:themeColor="accent5" w:sz="6" w:space="0"/>
        </w:tcBorders>
      </w:tcPr>
    </w:tblStylePr>
    <w:tblStylePr w:type="band1Horz">
      <w:tblPr/>
      <w:tcPr>
        <w:tcBorders>
          <w:top w:val="single" w:color="4BACC6" w:themeColor="accent5" w:sz="6" w:space="0"/>
          <w:left w:val="single" w:color="4BACC6" w:themeColor="accent5" w:sz="6" w:space="0"/>
          <w:bottom w:val="single" w:color="4BACC6" w:themeColor="accent5" w:sz="6" w:space="0"/>
          <w:right w:val="single" w:color="4BACC6" w:themeColor="accent5" w:sz="6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6" w:space="0"/>
        <w:left w:val="single" w:color="F79646" w:themeColor="accent6" w:sz="6" w:space="0"/>
        <w:bottom w:val="single" w:color="F79646" w:themeColor="accent6" w:sz="6" w:space="0"/>
        <w:right w:val="single" w:color="F79646" w:themeColor="accent6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6" w:space="0"/>
          <w:left w:val="single" w:color="F79646" w:themeColor="accent6" w:sz="6" w:space="0"/>
          <w:bottom w:val="single" w:color="F79646" w:themeColor="accent6" w:sz="6" w:space="0"/>
          <w:right w:val="single" w:color="F79646" w:themeColor="accent6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6" w:space="0"/>
          <w:left w:val="single" w:color="F79646" w:themeColor="accent6" w:sz="6" w:space="0"/>
          <w:bottom w:val="single" w:color="F79646" w:themeColor="accent6" w:sz="6" w:space="0"/>
          <w:right w:val="single" w:color="F79646" w:themeColor="accent6" w:sz="6" w:space="0"/>
        </w:tcBorders>
      </w:tcPr>
    </w:tblStylePr>
    <w:tblStylePr w:type="band1Horz">
      <w:tblPr/>
      <w:tcPr>
        <w:tcBorders>
          <w:top w:val="single" w:color="F79646" w:themeColor="accent6" w:sz="6" w:space="0"/>
          <w:left w:val="single" w:color="F79646" w:themeColor="accent6" w:sz="6" w:space="0"/>
          <w:bottom w:val="single" w:color="F79646" w:themeColor="accent6" w:sz="6" w:space="0"/>
          <w:right w:val="single" w:color="F79646" w:themeColor="accent6" w:sz="6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6" w:space="0"/>
        <w:left w:val="single" w:color="000000" w:themeColor="text1" w:sz="6" w:space="0"/>
        <w:bottom w:val="single" w:color="000000" w:themeColor="text1" w:sz="6" w:space="0"/>
        <w:right w:val="single" w:color="000000" w:themeColor="text1" w:sz="6" w:space="0"/>
        <w:insideH w:val="single" w:color="000000" w:themeColor="text1" w:sz="6" w:space="0"/>
        <w:insideV w:val="single" w:color="000000" w:themeColor="tex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sz="6" w:space="0"/>
          <w:insideV w:val="single" w:sz="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</w:tcBorders>
      </w:tcPr>
    </w:tblStylePr>
    <w:tblStylePr w:type="band1Vert">
      <w:tblPr/>
      <w:tcPr>
        <w:tc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</w:tcBorders>
      </w:tcPr>
    </w:tblStylePr>
    <w:tblStylePr w:type="band1Horz">
      <w:tblPr/>
      <w:tcPr>
        <w:tc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V w:val="single" w:sz="6" w:space="0"/>
        </w:tcBorders>
      </w:tcPr>
    </w:tblStylePr>
    <w:tblStylePr w:type="band2Horz">
      <w:tblPr/>
      <w:tcPr>
        <w:tc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V w:val="single" w:sz="6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6" w:space="0"/>
        <w:left w:val="single" w:color="4F81BD" w:themeColor="accent1" w:sz="6" w:space="0"/>
        <w:bottom w:val="single" w:color="4F81BD" w:themeColor="accent1" w:sz="6" w:space="0"/>
        <w:right w:val="single" w:color="4F81BD" w:themeColor="accent1" w:sz="6" w:space="0"/>
        <w:insideH w:val="single" w:color="4F81BD" w:themeColor="accent1" w:sz="6" w:space="0"/>
        <w:insideV w:val="single" w:color="4F81BD" w:themeColor="accen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6" w:space="0"/>
          <w:left w:val="single" w:color="4F81BD" w:themeColor="accent1" w:sz="6" w:space="0"/>
          <w:bottom w:val="single" w:color="4F81BD" w:themeColor="accent1" w:sz="6" w:space="0"/>
          <w:right w:val="single" w:color="4F81BD" w:themeColor="accent1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6" w:space="0"/>
          <w:left w:val="single" w:color="4F81BD" w:themeColor="accent1" w:sz="6" w:space="0"/>
          <w:bottom w:val="single" w:color="4F81BD" w:themeColor="accent1" w:sz="6" w:space="0"/>
          <w:right w:val="single" w:color="4F81BD" w:themeColor="accent1" w:sz="6" w:space="0"/>
          <w:insideH w:val="single" w:sz="6" w:space="0"/>
          <w:insideV w:val="single" w:sz="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6" w:space="0"/>
          <w:left w:val="single" w:color="4F81BD" w:themeColor="accent1" w:sz="6" w:space="0"/>
          <w:bottom w:val="single" w:color="4F81BD" w:themeColor="accent1" w:sz="6" w:space="0"/>
          <w:right w:val="single" w:color="4F81BD" w:themeColor="accent1" w:sz="6" w:space="0"/>
        </w:tcBorders>
      </w:tcPr>
    </w:tblStylePr>
    <w:tblStylePr w:type="band1Vert">
      <w:tblPr/>
      <w:tcPr>
        <w:tcBorders>
          <w:top w:val="single" w:color="4F81BD" w:themeColor="accent1" w:sz="6" w:space="0"/>
          <w:left w:val="single" w:color="4F81BD" w:themeColor="accent1" w:sz="6" w:space="0"/>
          <w:bottom w:val="single" w:color="4F81BD" w:themeColor="accent1" w:sz="6" w:space="0"/>
          <w:right w:val="single" w:color="4F81BD" w:themeColor="accent1" w:sz="6" w:space="0"/>
        </w:tcBorders>
      </w:tcPr>
    </w:tblStylePr>
    <w:tblStylePr w:type="band1Horz">
      <w:tblPr/>
      <w:tcPr>
        <w:tcBorders>
          <w:top w:val="single" w:color="4F81BD" w:themeColor="accent1" w:sz="6" w:space="0"/>
          <w:left w:val="single" w:color="4F81BD" w:themeColor="accent1" w:sz="6" w:space="0"/>
          <w:bottom w:val="single" w:color="4F81BD" w:themeColor="accent1" w:sz="6" w:space="0"/>
          <w:right w:val="single" w:color="4F81BD" w:themeColor="accent1" w:sz="6" w:space="0"/>
          <w:insideV w:val="single" w:sz="6" w:space="0"/>
        </w:tcBorders>
      </w:tcPr>
    </w:tblStylePr>
    <w:tblStylePr w:type="band2Horz">
      <w:tblPr/>
      <w:tcPr>
        <w:tcBorders>
          <w:top w:val="single" w:color="4F81BD" w:themeColor="accent1" w:sz="6" w:space="0"/>
          <w:left w:val="single" w:color="4F81BD" w:themeColor="accent1" w:sz="6" w:space="0"/>
          <w:bottom w:val="single" w:color="4F81BD" w:themeColor="accent1" w:sz="6" w:space="0"/>
          <w:right w:val="single" w:color="4F81BD" w:themeColor="accent1" w:sz="6" w:space="0"/>
          <w:insideV w:val="single" w:sz="6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6" w:space="0"/>
        <w:left w:val="single" w:color="C0504D" w:themeColor="accent2" w:sz="6" w:space="0"/>
        <w:bottom w:val="single" w:color="C0504D" w:themeColor="accent2" w:sz="6" w:space="0"/>
        <w:right w:val="single" w:color="C0504D" w:themeColor="accent2" w:sz="6" w:space="0"/>
        <w:insideH w:val="single" w:color="C0504D" w:themeColor="accent2" w:sz="6" w:space="0"/>
        <w:insideV w:val="single" w:color="C0504D" w:themeColor="accent2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6" w:space="0"/>
          <w:left w:val="single" w:color="C0504D" w:themeColor="accent2" w:sz="6" w:space="0"/>
          <w:bottom w:val="single" w:color="C0504D" w:themeColor="accent2" w:sz="6" w:space="0"/>
          <w:right w:val="single" w:color="C0504D" w:themeColor="accent2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6" w:space="0"/>
          <w:left w:val="single" w:color="C0504D" w:themeColor="accent2" w:sz="6" w:space="0"/>
          <w:bottom w:val="single" w:color="C0504D" w:themeColor="accent2" w:sz="6" w:space="0"/>
          <w:right w:val="single" w:color="C0504D" w:themeColor="accent2" w:sz="6" w:space="0"/>
          <w:insideH w:val="single" w:sz="6" w:space="0"/>
          <w:insideV w:val="single" w:sz="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6" w:space="0"/>
          <w:left w:val="single" w:color="C0504D" w:themeColor="accent2" w:sz="6" w:space="0"/>
          <w:bottom w:val="single" w:color="C0504D" w:themeColor="accent2" w:sz="6" w:space="0"/>
          <w:right w:val="single" w:color="C0504D" w:themeColor="accent2" w:sz="6" w:space="0"/>
        </w:tcBorders>
      </w:tcPr>
    </w:tblStylePr>
    <w:tblStylePr w:type="band1Vert">
      <w:tblPr/>
      <w:tcPr>
        <w:tcBorders>
          <w:top w:val="single" w:color="C0504D" w:themeColor="accent2" w:sz="6" w:space="0"/>
          <w:left w:val="single" w:color="C0504D" w:themeColor="accent2" w:sz="6" w:space="0"/>
          <w:bottom w:val="single" w:color="C0504D" w:themeColor="accent2" w:sz="6" w:space="0"/>
          <w:right w:val="single" w:color="C0504D" w:themeColor="accent2" w:sz="6" w:space="0"/>
        </w:tcBorders>
      </w:tcPr>
    </w:tblStylePr>
    <w:tblStylePr w:type="band1Horz">
      <w:tblPr/>
      <w:tcPr>
        <w:tcBorders>
          <w:top w:val="single" w:color="C0504D" w:themeColor="accent2" w:sz="6" w:space="0"/>
          <w:left w:val="single" w:color="C0504D" w:themeColor="accent2" w:sz="6" w:space="0"/>
          <w:bottom w:val="single" w:color="C0504D" w:themeColor="accent2" w:sz="6" w:space="0"/>
          <w:right w:val="single" w:color="C0504D" w:themeColor="accent2" w:sz="6" w:space="0"/>
          <w:insideV w:val="single" w:sz="6" w:space="0"/>
        </w:tcBorders>
      </w:tcPr>
    </w:tblStylePr>
    <w:tblStylePr w:type="band2Horz">
      <w:tblPr/>
      <w:tcPr>
        <w:tcBorders>
          <w:top w:val="single" w:color="C0504D" w:themeColor="accent2" w:sz="6" w:space="0"/>
          <w:left w:val="single" w:color="C0504D" w:themeColor="accent2" w:sz="6" w:space="0"/>
          <w:bottom w:val="single" w:color="C0504D" w:themeColor="accent2" w:sz="6" w:space="0"/>
          <w:right w:val="single" w:color="C0504D" w:themeColor="accent2" w:sz="6" w:space="0"/>
          <w:insideV w:val="single" w:sz="6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6" w:space="0"/>
        <w:left w:val="single" w:color="9BBB59" w:themeColor="accent3" w:sz="6" w:space="0"/>
        <w:bottom w:val="single" w:color="9BBB59" w:themeColor="accent3" w:sz="6" w:space="0"/>
        <w:right w:val="single" w:color="9BBB59" w:themeColor="accent3" w:sz="6" w:space="0"/>
        <w:insideH w:val="single" w:color="9BBB59" w:themeColor="accent3" w:sz="6" w:space="0"/>
        <w:insideV w:val="single" w:color="9BBB59" w:themeColor="accent3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6" w:space="0"/>
          <w:left w:val="single" w:color="9BBB59" w:themeColor="accent3" w:sz="6" w:space="0"/>
          <w:bottom w:val="single" w:color="9BBB59" w:themeColor="accent3" w:sz="6" w:space="0"/>
          <w:right w:val="single" w:color="9BBB59" w:themeColor="accent3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6" w:space="0"/>
          <w:left w:val="single" w:color="9BBB59" w:themeColor="accent3" w:sz="6" w:space="0"/>
          <w:bottom w:val="single" w:color="9BBB59" w:themeColor="accent3" w:sz="6" w:space="0"/>
          <w:right w:val="single" w:color="9BBB59" w:themeColor="accent3" w:sz="6" w:space="0"/>
          <w:insideH w:val="single" w:sz="6" w:space="0"/>
          <w:insideV w:val="single" w:sz="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6" w:space="0"/>
          <w:left w:val="single" w:color="9BBB59" w:themeColor="accent3" w:sz="6" w:space="0"/>
          <w:bottom w:val="single" w:color="9BBB59" w:themeColor="accent3" w:sz="6" w:space="0"/>
          <w:right w:val="single" w:color="9BBB59" w:themeColor="accent3" w:sz="6" w:space="0"/>
        </w:tcBorders>
      </w:tcPr>
    </w:tblStylePr>
    <w:tblStylePr w:type="band1Vert">
      <w:tblPr/>
      <w:tcPr>
        <w:tcBorders>
          <w:top w:val="single" w:color="9BBB59" w:themeColor="accent3" w:sz="6" w:space="0"/>
          <w:left w:val="single" w:color="9BBB59" w:themeColor="accent3" w:sz="6" w:space="0"/>
          <w:bottom w:val="single" w:color="9BBB59" w:themeColor="accent3" w:sz="6" w:space="0"/>
          <w:right w:val="single" w:color="9BBB59" w:themeColor="accent3" w:sz="6" w:space="0"/>
        </w:tcBorders>
      </w:tcPr>
    </w:tblStylePr>
    <w:tblStylePr w:type="band1Horz">
      <w:tblPr/>
      <w:tcPr>
        <w:tcBorders>
          <w:top w:val="single" w:color="9BBB59" w:themeColor="accent3" w:sz="6" w:space="0"/>
          <w:left w:val="single" w:color="9BBB59" w:themeColor="accent3" w:sz="6" w:space="0"/>
          <w:bottom w:val="single" w:color="9BBB59" w:themeColor="accent3" w:sz="6" w:space="0"/>
          <w:right w:val="single" w:color="9BBB59" w:themeColor="accent3" w:sz="6" w:space="0"/>
          <w:insideV w:val="single" w:sz="6" w:space="0"/>
        </w:tcBorders>
      </w:tcPr>
    </w:tblStylePr>
    <w:tblStylePr w:type="band2Horz">
      <w:tblPr/>
      <w:tcPr>
        <w:tcBorders>
          <w:top w:val="single" w:color="9BBB59" w:themeColor="accent3" w:sz="6" w:space="0"/>
          <w:left w:val="single" w:color="9BBB59" w:themeColor="accent3" w:sz="6" w:space="0"/>
          <w:bottom w:val="single" w:color="9BBB59" w:themeColor="accent3" w:sz="6" w:space="0"/>
          <w:right w:val="single" w:color="9BBB59" w:themeColor="accent3" w:sz="6" w:space="0"/>
          <w:insideV w:val="single" w:sz="6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6" w:space="0"/>
        <w:left w:val="single" w:color="8064A2" w:themeColor="accent4" w:sz="6" w:space="0"/>
        <w:bottom w:val="single" w:color="8064A2" w:themeColor="accent4" w:sz="6" w:space="0"/>
        <w:right w:val="single" w:color="8064A2" w:themeColor="accent4" w:sz="6" w:space="0"/>
        <w:insideH w:val="single" w:color="8064A2" w:themeColor="accent4" w:sz="6" w:space="0"/>
        <w:insideV w:val="single" w:color="8064A2" w:themeColor="accent4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6" w:space="0"/>
          <w:left w:val="single" w:color="8064A2" w:themeColor="accent4" w:sz="6" w:space="0"/>
          <w:bottom w:val="single" w:color="8064A2" w:themeColor="accent4" w:sz="6" w:space="0"/>
          <w:right w:val="single" w:color="8064A2" w:themeColor="accent4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6" w:space="0"/>
          <w:left w:val="single" w:color="8064A2" w:themeColor="accent4" w:sz="6" w:space="0"/>
          <w:bottom w:val="single" w:color="8064A2" w:themeColor="accent4" w:sz="6" w:space="0"/>
          <w:right w:val="single" w:color="8064A2" w:themeColor="accent4" w:sz="6" w:space="0"/>
          <w:insideH w:val="single" w:sz="6" w:space="0"/>
          <w:insideV w:val="single" w:sz="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6" w:space="0"/>
          <w:left w:val="single" w:color="8064A2" w:themeColor="accent4" w:sz="6" w:space="0"/>
          <w:bottom w:val="single" w:color="8064A2" w:themeColor="accent4" w:sz="6" w:space="0"/>
          <w:right w:val="single" w:color="8064A2" w:themeColor="accent4" w:sz="6" w:space="0"/>
        </w:tcBorders>
      </w:tcPr>
    </w:tblStylePr>
    <w:tblStylePr w:type="band1Vert">
      <w:tblPr/>
      <w:tcPr>
        <w:tcBorders>
          <w:top w:val="single" w:color="8064A2" w:themeColor="accent4" w:sz="6" w:space="0"/>
          <w:left w:val="single" w:color="8064A2" w:themeColor="accent4" w:sz="6" w:space="0"/>
          <w:bottom w:val="single" w:color="8064A2" w:themeColor="accent4" w:sz="6" w:space="0"/>
          <w:right w:val="single" w:color="8064A2" w:themeColor="accent4" w:sz="6" w:space="0"/>
        </w:tcBorders>
      </w:tcPr>
    </w:tblStylePr>
    <w:tblStylePr w:type="band1Horz">
      <w:tblPr/>
      <w:tcPr>
        <w:tcBorders>
          <w:top w:val="single" w:color="8064A2" w:themeColor="accent4" w:sz="6" w:space="0"/>
          <w:left w:val="single" w:color="8064A2" w:themeColor="accent4" w:sz="6" w:space="0"/>
          <w:bottom w:val="single" w:color="8064A2" w:themeColor="accent4" w:sz="6" w:space="0"/>
          <w:right w:val="single" w:color="8064A2" w:themeColor="accent4" w:sz="6" w:space="0"/>
          <w:insideV w:val="single" w:sz="6" w:space="0"/>
        </w:tcBorders>
      </w:tcPr>
    </w:tblStylePr>
    <w:tblStylePr w:type="band2Horz">
      <w:tblPr/>
      <w:tcPr>
        <w:tcBorders>
          <w:top w:val="single" w:color="8064A2" w:themeColor="accent4" w:sz="6" w:space="0"/>
          <w:left w:val="single" w:color="8064A2" w:themeColor="accent4" w:sz="6" w:space="0"/>
          <w:bottom w:val="single" w:color="8064A2" w:themeColor="accent4" w:sz="6" w:space="0"/>
          <w:right w:val="single" w:color="8064A2" w:themeColor="accent4" w:sz="6" w:space="0"/>
          <w:insideV w:val="single" w:sz="6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6" w:space="0"/>
        <w:left w:val="single" w:color="4BACC6" w:themeColor="accent5" w:sz="6" w:space="0"/>
        <w:bottom w:val="single" w:color="4BACC6" w:themeColor="accent5" w:sz="6" w:space="0"/>
        <w:right w:val="single" w:color="4BACC6" w:themeColor="accent5" w:sz="6" w:space="0"/>
        <w:insideH w:val="single" w:color="4BACC6" w:themeColor="accent5" w:sz="6" w:space="0"/>
        <w:insideV w:val="single" w:color="4BACC6" w:themeColor="accent5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6" w:space="0"/>
          <w:left w:val="single" w:color="4BACC6" w:themeColor="accent5" w:sz="6" w:space="0"/>
          <w:bottom w:val="single" w:color="4BACC6" w:themeColor="accent5" w:sz="6" w:space="0"/>
          <w:right w:val="single" w:color="4BACC6" w:themeColor="accent5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6" w:space="0"/>
          <w:left w:val="single" w:color="4BACC6" w:themeColor="accent5" w:sz="6" w:space="0"/>
          <w:bottom w:val="single" w:color="4BACC6" w:themeColor="accent5" w:sz="6" w:space="0"/>
          <w:right w:val="single" w:color="4BACC6" w:themeColor="accent5" w:sz="6" w:space="0"/>
          <w:insideH w:val="single" w:sz="6" w:space="0"/>
          <w:insideV w:val="single" w:sz="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6" w:space="0"/>
          <w:left w:val="single" w:color="4BACC6" w:themeColor="accent5" w:sz="6" w:space="0"/>
          <w:bottom w:val="single" w:color="4BACC6" w:themeColor="accent5" w:sz="6" w:space="0"/>
          <w:right w:val="single" w:color="4BACC6" w:themeColor="accent5" w:sz="6" w:space="0"/>
        </w:tcBorders>
      </w:tcPr>
    </w:tblStylePr>
    <w:tblStylePr w:type="band1Vert">
      <w:tblPr/>
      <w:tcPr>
        <w:tcBorders>
          <w:top w:val="single" w:color="4BACC6" w:themeColor="accent5" w:sz="6" w:space="0"/>
          <w:left w:val="single" w:color="4BACC6" w:themeColor="accent5" w:sz="6" w:space="0"/>
          <w:bottom w:val="single" w:color="4BACC6" w:themeColor="accent5" w:sz="6" w:space="0"/>
          <w:right w:val="single" w:color="4BACC6" w:themeColor="accent5" w:sz="6" w:space="0"/>
        </w:tcBorders>
      </w:tcPr>
    </w:tblStylePr>
    <w:tblStylePr w:type="band1Horz">
      <w:tblPr/>
      <w:tcPr>
        <w:tcBorders>
          <w:top w:val="single" w:color="4BACC6" w:themeColor="accent5" w:sz="6" w:space="0"/>
          <w:left w:val="single" w:color="4BACC6" w:themeColor="accent5" w:sz="6" w:space="0"/>
          <w:bottom w:val="single" w:color="4BACC6" w:themeColor="accent5" w:sz="6" w:space="0"/>
          <w:right w:val="single" w:color="4BACC6" w:themeColor="accent5" w:sz="6" w:space="0"/>
          <w:insideV w:val="single" w:sz="6" w:space="0"/>
        </w:tcBorders>
      </w:tcPr>
    </w:tblStylePr>
    <w:tblStylePr w:type="band2Horz">
      <w:tblPr/>
      <w:tcPr>
        <w:tcBorders>
          <w:top w:val="single" w:color="4BACC6" w:themeColor="accent5" w:sz="6" w:space="0"/>
          <w:left w:val="single" w:color="4BACC6" w:themeColor="accent5" w:sz="6" w:space="0"/>
          <w:bottom w:val="single" w:color="4BACC6" w:themeColor="accent5" w:sz="6" w:space="0"/>
          <w:right w:val="single" w:color="4BACC6" w:themeColor="accent5" w:sz="6" w:space="0"/>
          <w:insideV w:val="single" w:sz="6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6" w:space="0"/>
        <w:left w:val="single" w:color="F79646" w:themeColor="accent6" w:sz="6" w:space="0"/>
        <w:bottom w:val="single" w:color="F79646" w:themeColor="accent6" w:sz="6" w:space="0"/>
        <w:right w:val="single" w:color="F79646" w:themeColor="accent6" w:sz="6" w:space="0"/>
        <w:insideH w:val="single" w:color="F79646" w:themeColor="accent6" w:sz="6" w:space="0"/>
        <w:insideV w:val="single" w:color="F79646" w:themeColor="accent6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6" w:space="0"/>
          <w:left w:val="single" w:color="F79646" w:themeColor="accent6" w:sz="6" w:space="0"/>
          <w:bottom w:val="single" w:color="F79646" w:themeColor="accent6" w:sz="6" w:space="0"/>
          <w:right w:val="single" w:color="F79646" w:themeColor="accent6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6" w:space="0"/>
          <w:left w:val="single" w:color="F79646" w:themeColor="accent6" w:sz="6" w:space="0"/>
          <w:bottom w:val="single" w:color="F79646" w:themeColor="accent6" w:sz="6" w:space="0"/>
          <w:right w:val="single" w:color="F79646" w:themeColor="accent6" w:sz="6" w:space="0"/>
          <w:insideH w:val="single" w:sz="6" w:space="0"/>
          <w:insideV w:val="single" w:sz="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6" w:space="0"/>
          <w:left w:val="single" w:color="F79646" w:themeColor="accent6" w:sz="6" w:space="0"/>
          <w:bottom w:val="single" w:color="F79646" w:themeColor="accent6" w:sz="6" w:space="0"/>
          <w:right w:val="single" w:color="F79646" w:themeColor="accent6" w:sz="6" w:space="0"/>
        </w:tcBorders>
      </w:tcPr>
    </w:tblStylePr>
    <w:tblStylePr w:type="band1Vert">
      <w:tblPr/>
      <w:tcPr>
        <w:tcBorders>
          <w:top w:val="single" w:color="F79646" w:themeColor="accent6" w:sz="6" w:space="0"/>
          <w:left w:val="single" w:color="F79646" w:themeColor="accent6" w:sz="6" w:space="0"/>
          <w:bottom w:val="single" w:color="F79646" w:themeColor="accent6" w:sz="6" w:space="0"/>
          <w:right w:val="single" w:color="F79646" w:themeColor="accent6" w:sz="6" w:space="0"/>
        </w:tcBorders>
      </w:tcPr>
    </w:tblStylePr>
    <w:tblStylePr w:type="band1Horz">
      <w:tblPr/>
      <w:tcPr>
        <w:tcBorders>
          <w:top w:val="single" w:color="F79646" w:themeColor="accent6" w:sz="6" w:space="0"/>
          <w:left w:val="single" w:color="F79646" w:themeColor="accent6" w:sz="6" w:space="0"/>
          <w:bottom w:val="single" w:color="F79646" w:themeColor="accent6" w:sz="6" w:space="0"/>
          <w:right w:val="single" w:color="F79646" w:themeColor="accent6" w:sz="6" w:space="0"/>
          <w:insideV w:val="single" w:sz="6" w:space="0"/>
        </w:tcBorders>
      </w:tcPr>
    </w:tblStylePr>
    <w:tblStylePr w:type="band2Horz">
      <w:tblPr/>
      <w:tcPr>
        <w:tcBorders>
          <w:top w:val="single" w:color="F79646" w:themeColor="accent6" w:sz="6" w:space="0"/>
          <w:left w:val="single" w:color="F79646" w:themeColor="accent6" w:sz="6" w:space="0"/>
          <w:bottom w:val="single" w:color="F79646" w:themeColor="accent6" w:sz="6" w:space="0"/>
          <w:right w:val="single" w:color="F79646" w:themeColor="accent6" w:sz="6" w:space="0"/>
          <w:insideV w:val="single" w:sz="6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6" w:space="0"/>
        <w:left w:val="single" w:color="3F3F3F" w:themeColor="text1" w:themeTint="BF" w:sz="6" w:space="0"/>
        <w:bottom w:val="single" w:color="3F3F3F" w:themeColor="text1" w:themeTint="BF" w:sz="6" w:space="0"/>
        <w:right w:val="single" w:color="3F3F3F" w:themeColor="text1" w:themeTint="BF" w:sz="6" w:space="0"/>
        <w:insideH w:val="single" w:color="3F3F3F" w:themeColor="text1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6" w:space="0"/>
          <w:left w:val="single" w:color="3F3F3F" w:themeColor="text1" w:themeTint="BF" w:sz="6" w:space="0"/>
          <w:bottom w:val="single" w:color="3F3F3F" w:themeColor="text1" w:themeTint="BF" w:sz="6" w:space="0"/>
          <w:right w:val="single" w:color="3F3F3F" w:themeColor="text1" w:themeTint="BF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F3F3F" w:themeColor="text1" w:themeTint="BF" w:sz="6" w:space="0"/>
          <w:left w:val="single" w:color="3F3F3F" w:themeColor="text1" w:themeTint="BF" w:sz="6" w:space="0"/>
          <w:bottom w:val="single" w:color="3F3F3F" w:themeColor="text1" w:themeTint="BF" w:sz="6" w:space="0"/>
          <w:right w:val="single" w:color="3F3F3F" w:themeColor="text1" w:themeTint="BF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band2Horz">
      <w:tblPr/>
      <w:tcPr>
        <w:tcBorders>
          <w:insideH w:val="single" w:sz="6" w:space="0"/>
          <w:insideV w:val="single" w:sz="6" w:space="0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6" w:space="0"/>
        <w:left w:val="single" w:color="7BA0CD" w:themeColor="accent1" w:themeTint="BF" w:sz="6" w:space="0"/>
        <w:bottom w:val="single" w:color="7BA0CD" w:themeColor="accent1" w:themeTint="BF" w:sz="6" w:space="0"/>
        <w:right w:val="single" w:color="7BA0CD" w:themeColor="accent1" w:themeTint="BF" w:sz="6" w:space="0"/>
        <w:insideH w:val="single" w:color="7BA0CD" w:themeColor="accent1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6" w:space="0"/>
          <w:left w:val="single" w:color="7BA0CD" w:themeColor="accent1" w:themeTint="BF" w:sz="6" w:space="0"/>
          <w:bottom w:val="single" w:color="7BA0CD" w:themeColor="accent1" w:themeTint="BF" w:sz="6" w:space="0"/>
          <w:right w:val="single" w:color="7BA0CD" w:themeColor="accent1" w:themeTint="BF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BA0CD" w:themeColor="accent1" w:themeTint="BF" w:sz="6" w:space="0"/>
          <w:left w:val="single" w:color="7BA0CD" w:themeColor="accent1" w:themeTint="BF" w:sz="6" w:space="0"/>
          <w:bottom w:val="single" w:color="7BA0CD" w:themeColor="accent1" w:themeTint="BF" w:sz="6" w:space="0"/>
          <w:right w:val="single" w:color="7BA0CD" w:themeColor="accent1" w:themeTint="BF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band2Horz">
      <w:tblPr/>
      <w:tcPr>
        <w:tcBorders>
          <w:insideH w:val="single" w:sz="6" w:space="0"/>
          <w:insideV w:val="single" w:sz="6" w:space="0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6" w:space="0"/>
        <w:left w:val="single" w:color="CF7B79" w:themeColor="accent2" w:themeTint="BF" w:sz="6" w:space="0"/>
        <w:bottom w:val="single" w:color="CF7B79" w:themeColor="accent2" w:themeTint="BF" w:sz="6" w:space="0"/>
        <w:right w:val="single" w:color="CF7B79" w:themeColor="accent2" w:themeTint="BF" w:sz="6" w:space="0"/>
        <w:insideH w:val="single" w:color="CF7B79" w:themeColor="accent2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6" w:space="0"/>
          <w:left w:val="single" w:color="CF7B79" w:themeColor="accent2" w:themeTint="BF" w:sz="6" w:space="0"/>
          <w:bottom w:val="single" w:color="CF7B79" w:themeColor="accent2" w:themeTint="BF" w:sz="6" w:space="0"/>
          <w:right w:val="single" w:color="CF7B79" w:themeColor="accent2" w:themeTint="BF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F7B79" w:themeColor="accent2" w:themeTint="BF" w:sz="6" w:space="0"/>
          <w:left w:val="single" w:color="CF7B79" w:themeColor="accent2" w:themeTint="BF" w:sz="6" w:space="0"/>
          <w:bottom w:val="single" w:color="CF7B79" w:themeColor="accent2" w:themeTint="BF" w:sz="6" w:space="0"/>
          <w:right w:val="single" w:color="CF7B79" w:themeColor="accent2" w:themeTint="BF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band2Horz">
      <w:tblPr/>
      <w:tcPr>
        <w:tcBorders>
          <w:insideH w:val="single" w:sz="6" w:space="0"/>
          <w:insideV w:val="single" w:sz="6" w:space="0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6" w:space="0"/>
        <w:left w:val="single" w:color="B4CC82" w:themeColor="accent3" w:themeTint="BF" w:sz="6" w:space="0"/>
        <w:bottom w:val="single" w:color="B4CC82" w:themeColor="accent3" w:themeTint="BF" w:sz="6" w:space="0"/>
        <w:right w:val="single" w:color="B4CC82" w:themeColor="accent3" w:themeTint="BF" w:sz="6" w:space="0"/>
        <w:insideH w:val="single" w:color="B4CC82" w:themeColor="accent3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6" w:space="0"/>
          <w:left w:val="single" w:color="B4CC82" w:themeColor="accent3" w:themeTint="BF" w:sz="6" w:space="0"/>
          <w:bottom w:val="single" w:color="B4CC82" w:themeColor="accent3" w:themeTint="BF" w:sz="6" w:space="0"/>
          <w:right w:val="single" w:color="B4CC82" w:themeColor="accent3" w:themeTint="BF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4CC82" w:themeColor="accent3" w:themeTint="BF" w:sz="6" w:space="0"/>
          <w:left w:val="single" w:color="B4CC82" w:themeColor="accent3" w:themeTint="BF" w:sz="6" w:space="0"/>
          <w:bottom w:val="single" w:color="B4CC82" w:themeColor="accent3" w:themeTint="BF" w:sz="6" w:space="0"/>
          <w:right w:val="single" w:color="B4CC82" w:themeColor="accent3" w:themeTint="BF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band2Horz">
      <w:tblPr/>
      <w:tcPr>
        <w:tcBorders>
          <w:insideH w:val="single" w:sz="6" w:space="0"/>
          <w:insideV w:val="single" w:sz="6" w:space="0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6" w:space="0"/>
        <w:left w:val="single" w:color="9F8AB9" w:themeColor="accent4" w:themeTint="BF" w:sz="6" w:space="0"/>
        <w:bottom w:val="single" w:color="9F8AB9" w:themeColor="accent4" w:themeTint="BF" w:sz="6" w:space="0"/>
        <w:right w:val="single" w:color="9F8AB9" w:themeColor="accent4" w:themeTint="BF" w:sz="6" w:space="0"/>
        <w:insideH w:val="single" w:color="9F8AB9" w:themeColor="accent4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6" w:space="0"/>
          <w:left w:val="single" w:color="9F8AB9" w:themeColor="accent4" w:themeTint="BF" w:sz="6" w:space="0"/>
          <w:bottom w:val="single" w:color="9F8AB9" w:themeColor="accent4" w:themeTint="BF" w:sz="6" w:space="0"/>
          <w:right w:val="single" w:color="9F8AB9" w:themeColor="accent4" w:themeTint="BF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F8AB9" w:themeColor="accent4" w:themeTint="BF" w:sz="6" w:space="0"/>
          <w:left w:val="single" w:color="9F8AB9" w:themeColor="accent4" w:themeTint="BF" w:sz="6" w:space="0"/>
          <w:bottom w:val="single" w:color="9F8AB9" w:themeColor="accent4" w:themeTint="BF" w:sz="6" w:space="0"/>
          <w:right w:val="single" w:color="9F8AB9" w:themeColor="accent4" w:themeTint="BF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band2Horz">
      <w:tblPr/>
      <w:tcPr>
        <w:tcBorders>
          <w:insideH w:val="single" w:sz="6" w:space="0"/>
          <w:insideV w:val="single" w:sz="6" w:space="0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6" w:space="0"/>
        <w:left w:val="single" w:color="78C0D4" w:themeColor="accent5" w:themeTint="BF" w:sz="6" w:space="0"/>
        <w:bottom w:val="single" w:color="78C0D4" w:themeColor="accent5" w:themeTint="BF" w:sz="6" w:space="0"/>
        <w:right w:val="single" w:color="78C0D4" w:themeColor="accent5" w:themeTint="BF" w:sz="6" w:space="0"/>
        <w:insideH w:val="single" w:color="78C0D4" w:themeColor="accent5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6" w:space="0"/>
          <w:left w:val="single" w:color="78C0D4" w:themeColor="accent5" w:themeTint="BF" w:sz="6" w:space="0"/>
          <w:bottom w:val="single" w:color="78C0D4" w:themeColor="accent5" w:themeTint="BF" w:sz="6" w:space="0"/>
          <w:right w:val="single" w:color="78C0D4" w:themeColor="accent5" w:themeTint="BF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8C0D4" w:themeColor="accent5" w:themeTint="BF" w:sz="6" w:space="0"/>
          <w:left w:val="single" w:color="78C0D4" w:themeColor="accent5" w:themeTint="BF" w:sz="6" w:space="0"/>
          <w:bottom w:val="single" w:color="78C0D4" w:themeColor="accent5" w:themeTint="BF" w:sz="6" w:space="0"/>
          <w:right w:val="single" w:color="78C0D4" w:themeColor="accent5" w:themeTint="BF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band2Horz">
      <w:tblPr/>
      <w:tcPr>
        <w:tcBorders>
          <w:insideH w:val="single" w:sz="6" w:space="0"/>
          <w:insideV w:val="single" w:sz="6" w:space="0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6" w:space="0"/>
        <w:left w:val="single" w:color="F9B074" w:themeColor="accent6" w:themeTint="BF" w:sz="6" w:space="0"/>
        <w:bottom w:val="single" w:color="F9B074" w:themeColor="accent6" w:themeTint="BF" w:sz="6" w:space="0"/>
        <w:right w:val="single" w:color="F9B074" w:themeColor="accent6" w:themeTint="BF" w:sz="6" w:space="0"/>
        <w:insideH w:val="single" w:color="F9B074" w:themeColor="accent6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6" w:space="0"/>
          <w:left w:val="single" w:color="F9B074" w:themeColor="accent6" w:themeTint="BF" w:sz="6" w:space="0"/>
          <w:bottom w:val="single" w:color="F9B074" w:themeColor="accent6" w:themeTint="BF" w:sz="6" w:space="0"/>
          <w:right w:val="single" w:color="F9B074" w:themeColor="accent6" w:themeTint="BF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9B074" w:themeColor="accent6" w:themeTint="BF" w:sz="6" w:space="0"/>
          <w:left w:val="single" w:color="F9B074" w:themeColor="accent6" w:themeTint="BF" w:sz="6" w:space="0"/>
          <w:bottom w:val="single" w:color="F9B074" w:themeColor="accent6" w:themeTint="BF" w:sz="6" w:space="0"/>
          <w:right w:val="single" w:color="F9B074" w:themeColor="accent6" w:themeTint="BF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band2Horz">
      <w:tblPr/>
      <w:tcPr>
        <w:tcBorders>
          <w:insideH w:val="single" w:sz="6" w:space="0"/>
          <w:insideV w:val="single" w:sz="6" w:space="0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000000" w:sz="6" w:space="0"/>
        <w:bottom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  <w:tblStylePr w:type="neCel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000000" w:sz="6" w:space="0"/>
        <w:bottom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  <w:tblStylePr w:type="neCel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000000" w:sz="6" w:space="0"/>
        <w:bottom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  <w:tblStylePr w:type="neCel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000000" w:sz="6" w:space="0"/>
        <w:bottom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  <w:tblStylePr w:type="neCel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000000" w:sz="6" w:space="0"/>
        <w:bottom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  <w:tblStylePr w:type="neCel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000000" w:sz="6" w:space="0"/>
        <w:bottom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  <w:tblStylePr w:type="neCel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000000" w:sz="6" w:space="0"/>
        <w:bottom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  <w:tblStylePr w:type="neCel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6" w:space="0"/>
        <w:bottom w:val="single" w:color="000000" w:themeColor="tex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single" w:color="000000" w:sz="6" w:space="0"/>
          <w:bottom w:val="single" w:color="000000" w:themeColor="text1" w:sz="6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6" w:space="0"/>
          <w:bottom w:val="single" w:color="000000" w:themeColor="tex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6" w:space="0"/>
          <w:bottom w:val="single" w:color="000000" w:themeColor="text1" w:sz="6" w:space="0"/>
        </w:tcBorders>
      </w:tcPr>
    </w:tblStylePr>
    <w:tblStylePr w:type="band1Vert">
      <w:tblPr/>
    </w:tblStylePr>
    <w:tblStylePr w:type="band1Horz">
      <w:tblPr/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6" w:space="0"/>
        <w:bottom w:val="single" w:color="4F81BD" w:themeColor="accen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single" w:color="000000" w:sz="6" w:space="0"/>
          <w:bottom w:val="single" w:color="4F81BD" w:themeColor="accent1" w:sz="6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6" w:space="0"/>
          <w:bottom w:val="single" w:color="4F81BD" w:themeColor="accen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6" w:space="0"/>
          <w:bottom w:val="single" w:color="4F81BD" w:themeColor="accent1" w:sz="6" w:space="0"/>
        </w:tcBorders>
      </w:tcPr>
    </w:tblStylePr>
    <w:tblStylePr w:type="band1Vert">
      <w:tblPr/>
    </w:tblStylePr>
    <w:tblStylePr w:type="band1Horz">
      <w:tblPr/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6" w:space="0"/>
        <w:bottom w:val="single" w:color="C0504D" w:themeColor="accent2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single" w:color="000000" w:sz="6" w:space="0"/>
          <w:bottom w:val="single" w:color="C0504D" w:themeColor="accent2" w:sz="6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6" w:space="0"/>
          <w:bottom w:val="single" w:color="C0504D" w:themeColor="accent2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6" w:space="0"/>
          <w:bottom w:val="single" w:color="C0504D" w:themeColor="accent2" w:sz="6" w:space="0"/>
        </w:tcBorders>
      </w:tcPr>
    </w:tblStylePr>
    <w:tblStylePr w:type="band1Vert">
      <w:tblPr/>
    </w:tblStylePr>
    <w:tblStylePr w:type="band1Horz">
      <w:tblPr/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6" w:space="0"/>
        <w:bottom w:val="single" w:color="9BBB59" w:themeColor="accent3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single" w:color="000000" w:sz="6" w:space="0"/>
          <w:bottom w:val="single" w:color="9BBB59" w:themeColor="accent3" w:sz="6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6" w:space="0"/>
          <w:bottom w:val="single" w:color="9BBB59" w:themeColor="accent3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6" w:space="0"/>
          <w:bottom w:val="single" w:color="9BBB59" w:themeColor="accent3" w:sz="6" w:space="0"/>
        </w:tcBorders>
      </w:tcPr>
    </w:tblStylePr>
    <w:tblStylePr w:type="band1Vert">
      <w:tblPr/>
    </w:tblStylePr>
    <w:tblStylePr w:type="band1Horz">
      <w:tblPr/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6" w:space="0"/>
        <w:bottom w:val="single" w:color="8064A2" w:themeColor="accent4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single" w:color="000000" w:sz="6" w:space="0"/>
          <w:bottom w:val="single" w:color="8064A2" w:themeColor="accent4" w:sz="6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6" w:space="0"/>
          <w:bottom w:val="single" w:color="8064A2" w:themeColor="accent4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6" w:space="0"/>
          <w:bottom w:val="single" w:color="8064A2" w:themeColor="accent4" w:sz="6" w:space="0"/>
        </w:tcBorders>
      </w:tcPr>
    </w:tblStylePr>
    <w:tblStylePr w:type="band1Vert">
      <w:tblPr/>
    </w:tblStylePr>
    <w:tblStylePr w:type="band1Horz">
      <w:tblPr/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6" w:space="0"/>
        <w:bottom w:val="single" w:color="4BACC6" w:themeColor="accent5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single" w:color="000000" w:sz="6" w:space="0"/>
          <w:bottom w:val="single" w:color="4BACC6" w:themeColor="accent5" w:sz="6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6" w:space="0"/>
          <w:bottom w:val="single" w:color="4BACC6" w:themeColor="accent5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6" w:space="0"/>
          <w:bottom w:val="single" w:color="4BACC6" w:themeColor="accent5" w:sz="6" w:space="0"/>
        </w:tcBorders>
      </w:tcPr>
    </w:tblStylePr>
    <w:tblStylePr w:type="band1Vert">
      <w:tblPr/>
    </w:tblStylePr>
    <w:tblStylePr w:type="band1Horz">
      <w:tblPr/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6" w:space="0"/>
        <w:bottom w:val="single" w:color="F79646" w:themeColor="accent6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single" w:color="000000" w:sz="6" w:space="0"/>
          <w:bottom w:val="single" w:color="F79646" w:themeColor="accent6" w:sz="6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6" w:space="0"/>
          <w:bottom w:val="single" w:color="F79646" w:themeColor="accent6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6" w:space="0"/>
          <w:bottom w:val="single" w:color="F79646" w:themeColor="accent6" w:sz="6" w:space="0"/>
        </w:tcBorders>
      </w:tcPr>
    </w:tblStylePr>
    <w:tblStylePr w:type="band1Vert">
      <w:tblPr/>
    </w:tblStylePr>
    <w:tblStylePr w:type="band1Horz">
      <w:tblPr/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6" w:space="0"/>
        <w:left w:val="single" w:color="000000" w:themeColor="text1" w:sz="6" w:space="0"/>
        <w:bottom w:val="single" w:color="000000" w:themeColor="text1" w:sz="6" w:space="0"/>
        <w:right w:val="single" w:color="000000" w:themeColor="tex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single" w:color="000000" w:sz="6" w:space="0"/>
          <w:left w:val="single" w:color="000000" w:sz="6" w:space="0"/>
          <w:bottom w:val="single" w:color="000000" w:themeColor="text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000000" w:themeColor="text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themeColor="text1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000000" w:themeColor="text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bottom w:val="single" w:color="000000" w:sz="6" w:space="0"/>
          <w:insideH w:val="single" w:sz="6" w:space="0"/>
          <w:insideV w:val="single" w:sz="6" w:space="0"/>
        </w:tcBorders>
      </w:tcPr>
    </w:tblStylePr>
    <w:tblStylePr w:type="nwCell">
      <w:tblPr/>
    </w:tblStylePr>
    <w:tblStylePr w:type="swCell">
      <w:tblPr/>
      <w:tcPr>
        <w:tcBorders>
          <w:top w:val="single" w:color="000000" w:sz="6" w:space="0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6" w:space="0"/>
        <w:left w:val="single" w:color="4F81BD" w:themeColor="accent1" w:sz="6" w:space="0"/>
        <w:bottom w:val="single" w:color="4F81BD" w:themeColor="accent1" w:sz="6" w:space="0"/>
        <w:right w:val="single" w:color="4F81BD" w:themeColor="accen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single" w:color="000000" w:sz="6" w:space="0"/>
          <w:left w:val="single" w:color="000000" w:sz="6" w:space="0"/>
          <w:bottom w:val="single" w:color="4F81BD" w:themeColor="accent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4F81BD" w:themeColor="accent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4F81BD" w:themeColor="accent1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4F81BD" w:themeColor="accent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bottom w:val="single" w:color="000000" w:sz="6" w:space="0"/>
          <w:insideH w:val="single" w:sz="6" w:space="0"/>
          <w:insideV w:val="single" w:sz="6" w:space="0"/>
        </w:tcBorders>
      </w:tcPr>
    </w:tblStylePr>
    <w:tblStylePr w:type="nwCell">
      <w:tblPr/>
    </w:tblStylePr>
    <w:tblStylePr w:type="swCell">
      <w:tblPr/>
      <w:tcPr>
        <w:tcBorders>
          <w:top w:val="single" w:color="000000" w:sz="6" w:space="0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6" w:space="0"/>
        <w:left w:val="single" w:color="C0504D" w:themeColor="accent2" w:sz="6" w:space="0"/>
        <w:bottom w:val="single" w:color="C0504D" w:themeColor="accent2" w:sz="6" w:space="0"/>
        <w:right w:val="single" w:color="C0504D" w:themeColor="accent2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single" w:color="000000" w:sz="6" w:space="0"/>
          <w:left w:val="single" w:color="000000" w:sz="6" w:space="0"/>
          <w:bottom w:val="single" w:color="C0504D" w:themeColor="accent2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C0504D" w:themeColor="accent2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C0504D" w:themeColor="accent2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C0504D" w:themeColor="accent2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bottom w:val="single" w:color="000000" w:sz="6" w:space="0"/>
          <w:insideH w:val="single" w:sz="6" w:space="0"/>
          <w:insideV w:val="single" w:sz="6" w:space="0"/>
        </w:tcBorders>
      </w:tcPr>
    </w:tblStylePr>
    <w:tblStylePr w:type="nwCell">
      <w:tblPr/>
    </w:tblStylePr>
    <w:tblStylePr w:type="swCell">
      <w:tblPr/>
      <w:tcPr>
        <w:tcBorders>
          <w:top w:val="single" w:color="000000" w:sz="6" w:space="0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6" w:space="0"/>
        <w:left w:val="single" w:color="9BBB59" w:themeColor="accent3" w:sz="6" w:space="0"/>
        <w:bottom w:val="single" w:color="9BBB59" w:themeColor="accent3" w:sz="6" w:space="0"/>
        <w:right w:val="single" w:color="9BBB59" w:themeColor="accent3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single" w:color="000000" w:sz="6" w:space="0"/>
          <w:left w:val="single" w:color="000000" w:sz="6" w:space="0"/>
          <w:bottom w:val="single" w:color="9BBB59" w:themeColor="accent3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9BBB59" w:themeColor="accent3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9BBB59" w:themeColor="accent3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9BBB59" w:themeColor="accent3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bottom w:val="single" w:color="000000" w:sz="6" w:space="0"/>
          <w:insideH w:val="single" w:sz="6" w:space="0"/>
          <w:insideV w:val="single" w:sz="6" w:space="0"/>
        </w:tcBorders>
      </w:tcPr>
    </w:tblStylePr>
    <w:tblStylePr w:type="nwCell">
      <w:tblPr/>
    </w:tblStylePr>
    <w:tblStylePr w:type="swCell">
      <w:tblPr/>
      <w:tcPr>
        <w:tcBorders>
          <w:top w:val="single" w:color="000000" w:sz="6" w:space="0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6" w:space="0"/>
        <w:left w:val="single" w:color="8064A2" w:themeColor="accent4" w:sz="6" w:space="0"/>
        <w:bottom w:val="single" w:color="8064A2" w:themeColor="accent4" w:sz="6" w:space="0"/>
        <w:right w:val="single" w:color="8064A2" w:themeColor="accent4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single" w:color="000000" w:sz="6" w:space="0"/>
          <w:left w:val="single" w:color="000000" w:sz="6" w:space="0"/>
          <w:bottom w:val="single" w:color="8064A2" w:themeColor="accent4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8064A2" w:themeColor="accent4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8064A2" w:themeColor="accent4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8064A2" w:themeColor="accent4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bottom w:val="single" w:color="000000" w:sz="6" w:space="0"/>
          <w:insideH w:val="single" w:sz="6" w:space="0"/>
          <w:insideV w:val="single" w:sz="6" w:space="0"/>
        </w:tcBorders>
      </w:tcPr>
    </w:tblStylePr>
    <w:tblStylePr w:type="nwCell">
      <w:tblPr/>
    </w:tblStylePr>
    <w:tblStylePr w:type="swCell">
      <w:tblPr/>
      <w:tcPr>
        <w:tcBorders>
          <w:top w:val="single" w:color="000000" w:sz="6" w:space="0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6" w:space="0"/>
        <w:left w:val="single" w:color="4BACC6" w:themeColor="accent5" w:sz="6" w:space="0"/>
        <w:bottom w:val="single" w:color="4BACC6" w:themeColor="accent5" w:sz="6" w:space="0"/>
        <w:right w:val="single" w:color="4BACC6" w:themeColor="accent5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single" w:color="000000" w:sz="6" w:space="0"/>
          <w:left w:val="single" w:color="000000" w:sz="6" w:space="0"/>
          <w:bottom w:val="single" w:color="4BACC6" w:themeColor="accent5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4BACC6" w:themeColor="accent5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4BACC6" w:themeColor="accent5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4BACC6" w:themeColor="accent5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bottom w:val="single" w:color="000000" w:sz="6" w:space="0"/>
          <w:insideH w:val="single" w:sz="6" w:space="0"/>
          <w:insideV w:val="single" w:sz="6" w:space="0"/>
        </w:tcBorders>
      </w:tcPr>
    </w:tblStylePr>
    <w:tblStylePr w:type="nwCell">
      <w:tblPr/>
    </w:tblStylePr>
    <w:tblStylePr w:type="swCell">
      <w:tblPr/>
      <w:tcPr>
        <w:tcBorders>
          <w:top w:val="single" w:color="000000" w:sz="6" w:space="0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6" w:space="0"/>
        <w:left w:val="single" w:color="F79646" w:themeColor="accent6" w:sz="6" w:space="0"/>
        <w:bottom w:val="single" w:color="F79646" w:themeColor="accent6" w:sz="6" w:space="0"/>
        <w:right w:val="single" w:color="F79646" w:themeColor="accent6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single" w:color="000000" w:sz="6" w:space="0"/>
          <w:left w:val="single" w:color="000000" w:sz="6" w:space="0"/>
          <w:bottom w:val="single" w:color="F79646" w:themeColor="accent6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F79646" w:themeColor="accent6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F79646" w:themeColor="accent6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F79646" w:themeColor="accent6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left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bottom w:val="single" w:color="000000" w:sz="6" w:space="0"/>
          <w:insideH w:val="single" w:sz="6" w:space="0"/>
          <w:insideV w:val="single" w:sz="6" w:space="0"/>
        </w:tcBorders>
      </w:tcPr>
    </w:tblStylePr>
    <w:tblStylePr w:type="nwCell">
      <w:tblPr/>
    </w:tblStylePr>
    <w:tblStylePr w:type="swCell">
      <w:tblPr/>
      <w:tcPr>
        <w:tcBorders>
          <w:top w:val="single" w:color="000000" w:sz="6" w:space="0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6" w:space="0"/>
        <w:left w:val="single" w:color="3F3F3F" w:themeColor="text1" w:themeTint="BF" w:sz="6" w:space="0"/>
        <w:bottom w:val="single" w:color="3F3F3F" w:themeColor="text1" w:themeTint="BF" w:sz="6" w:space="0"/>
        <w:right w:val="single" w:color="3F3F3F" w:themeColor="text1" w:themeTint="BF" w:sz="6" w:space="0"/>
        <w:insideH w:val="single" w:color="3F3F3F" w:themeColor="text1" w:themeTint="BF" w:sz="6" w:space="0"/>
        <w:insideV w:val="single" w:color="3F3F3F" w:themeColor="text1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6" w:space="0"/>
        <w:left w:val="single" w:color="7BA0CD" w:themeColor="accent1" w:themeTint="BF" w:sz="6" w:space="0"/>
        <w:bottom w:val="single" w:color="7BA0CD" w:themeColor="accent1" w:themeTint="BF" w:sz="6" w:space="0"/>
        <w:right w:val="single" w:color="7BA0CD" w:themeColor="accent1" w:themeTint="BF" w:sz="6" w:space="0"/>
        <w:insideH w:val="single" w:color="7BA0CD" w:themeColor="accent1" w:themeTint="BF" w:sz="6" w:space="0"/>
        <w:insideV w:val="single" w:color="7BA0CD" w:themeColor="accent1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6" w:space="0"/>
        <w:left w:val="single" w:color="CF7B79" w:themeColor="accent2" w:themeTint="BF" w:sz="6" w:space="0"/>
        <w:bottom w:val="single" w:color="CF7B79" w:themeColor="accent2" w:themeTint="BF" w:sz="6" w:space="0"/>
        <w:right w:val="single" w:color="CF7B79" w:themeColor="accent2" w:themeTint="BF" w:sz="6" w:space="0"/>
        <w:insideH w:val="single" w:color="CF7B79" w:themeColor="accent2" w:themeTint="BF" w:sz="6" w:space="0"/>
        <w:insideV w:val="single" w:color="CF7B79" w:themeColor="accent2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6" w:space="0"/>
        <w:left w:val="single" w:color="B4CC82" w:themeColor="accent3" w:themeTint="BF" w:sz="6" w:space="0"/>
        <w:bottom w:val="single" w:color="B4CC82" w:themeColor="accent3" w:themeTint="BF" w:sz="6" w:space="0"/>
        <w:right w:val="single" w:color="B4CC82" w:themeColor="accent3" w:themeTint="BF" w:sz="6" w:space="0"/>
        <w:insideH w:val="single" w:color="B4CC82" w:themeColor="accent3" w:themeTint="BF" w:sz="6" w:space="0"/>
        <w:insideV w:val="single" w:color="B4CC82" w:themeColor="accent3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6" w:space="0"/>
        <w:left w:val="single" w:color="9F8AB9" w:themeColor="accent4" w:themeTint="BF" w:sz="6" w:space="0"/>
        <w:bottom w:val="single" w:color="9F8AB9" w:themeColor="accent4" w:themeTint="BF" w:sz="6" w:space="0"/>
        <w:right w:val="single" w:color="9F8AB9" w:themeColor="accent4" w:themeTint="BF" w:sz="6" w:space="0"/>
        <w:insideH w:val="single" w:color="9F8AB9" w:themeColor="accent4" w:themeTint="BF" w:sz="6" w:space="0"/>
        <w:insideV w:val="single" w:color="9F8AB9" w:themeColor="accent4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6" w:space="0"/>
        <w:left w:val="single" w:color="78C0D4" w:themeColor="accent5" w:themeTint="BF" w:sz="6" w:space="0"/>
        <w:bottom w:val="single" w:color="78C0D4" w:themeColor="accent5" w:themeTint="BF" w:sz="6" w:space="0"/>
        <w:right w:val="single" w:color="78C0D4" w:themeColor="accent5" w:themeTint="BF" w:sz="6" w:space="0"/>
        <w:insideH w:val="single" w:color="78C0D4" w:themeColor="accent5" w:themeTint="BF" w:sz="6" w:space="0"/>
        <w:insideV w:val="single" w:color="78C0D4" w:themeColor="accent5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6" w:space="0"/>
        <w:left w:val="single" w:color="F9B074" w:themeColor="accent6" w:themeTint="BF" w:sz="6" w:space="0"/>
        <w:bottom w:val="single" w:color="F9B074" w:themeColor="accent6" w:themeTint="BF" w:sz="6" w:space="0"/>
        <w:right w:val="single" w:color="F9B074" w:themeColor="accent6" w:themeTint="BF" w:sz="6" w:space="0"/>
        <w:insideH w:val="single" w:color="F9B074" w:themeColor="accent6" w:themeTint="BF" w:sz="6" w:space="0"/>
        <w:insideV w:val="single" w:color="F9B074" w:themeColor="accent6" w:themeTint="B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6" w:space="0"/>
        <w:left w:val="single" w:color="000000" w:themeColor="text1" w:sz="6" w:space="0"/>
        <w:bottom w:val="single" w:color="000000" w:themeColor="text1" w:sz="6" w:space="0"/>
        <w:right w:val="single" w:color="000000" w:themeColor="text1" w:sz="6" w:space="0"/>
        <w:insideH w:val="single" w:color="000000" w:themeColor="text1" w:sz="6" w:space="0"/>
        <w:insideV w:val="single" w:color="000000" w:themeColor="tex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6" w:space="0"/>
        <w:left w:val="single" w:color="4F81BD" w:themeColor="accent1" w:sz="6" w:space="0"/>
        <w:bottom w:val="single" w:color="4F81BD" w:themeColor="accent1" w:sz="6" w:space="0"/>
        <w:right w:val="single" w:color="4F81BD" w:themeColor="accent1" w:sz="6" w:space="0"/>
        <w:insideH w:val="single" w:color="4F81BD" w:themeColor="accent1" w:sz="6" w:space="0"/>
        <w:insideV w:val="single" w:color="4F81BD" w:themeColor="accent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6" w:space="0"/>
        <w:left w:val="single" w:color="C0504D" w:themeColor="accent2" w:sz="6" w:space="0"/>
        <w:bottom w:val="single" w:color="C0504D" w:themeColor="accent2" w:sz="6" w:space="0"/>
        <w:right w:val="single" w:color="C0504D" w:themeColor="accent2" w:sz="6" w:space="0"/>
        <w:insideH w:val="single" w:color="C0504D" w:themeColor="accent2" w:sz="6" w:space="0"/>
        <w:insideV w:val="single" w:color="C0504D" w:themeColor="accent2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6" w:space="0"/>
        <w:left w:val="single" w:color="9BBB59" w:themeColor="accent3" w:sz="6" w:space="0"/>
        <w:bottom w:val="single" w:color="9BBB59" w:themeColor="accent3" w:sz="6" w:space="0"/>
        <w:right w:val="single" w:color="9BBB59" w:themeColor="accent3" w:sz="6" w:space="0"/>
        <w:insideH w:val="single" w:color="9BBB59" w:themeColor="accent3" w:sz="6" w:space="0"/>
        <w:insideV w:val="single" w:color="9BBB59" w:themeColor="accent3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6" w:space="0"/>
        <w:left w:val="single" w:color="8064A2" w:themeColor="accent4" w:sz="6" w:space="0"/>
        <w:bottom w:val="single" w:color="8064A2" w:themeColor="accent4" w:sz="6" w:space="0"/>
        <w:right w:val="single" w:color="8064A2" w:themeColor="accent4" w:sz="6" w:space="0"/>
        <w:insideH w:val="single" w:color="8064A2" w:themeColor="accent4" w:sz="6" w:space="0"/>
        <w:insideV w:val="single" w:color="8064A2" w:themeColor="accent4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6" w:space="0"/>
        <w:left w:val="single" w:color="4BACC6" w:themeColor="accent5" w:sz="6" w:space="0"/>
        <w:bottom w:val="single" w:color="4BACC6" w:themeColor="accent5" w:sz="6" w:space="0"/>
        <w:right w:val="single" w:color="4BACC6" w:themeColor="accent5" w:sz="6" w:space="0"/>
        <w:insideH w:val="single" w:color="4BACC6" w:themeColor="accent5" w:sz="6" w:space="0"/>
        <w:insideV w:val="single" w:color="4BACC6" w:themeColor="accent5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6" w:space="0"/>
        <w:left w:val="single" w:color="F79646" w:themeColor="accent6" w:sz="6" w:space="0"/>
        <w:bottom w:val="single" w:color="F79646" w:themeColor="accent6" w:sz="6" w:space="0"/>
        <w:right w:val="single" w:color="F79646" w:themeColor="accent6" w:sz="6" w:space="0"/>
        <w:insideH w:val="single" w:color="F79646" w:themeColor="accent6" w:sz="6" w:space="0"/>
        <w:insideV w:val="single" w:color="F79646" w:themeColor="accent6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FFFFFF" w:themeColor="background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FFFFFF" w:themeColor="background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FFFFFF" w:themeColor="background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FFFFFF" w:themeColor="background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FFFFFF" w:themeColor="background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FFFFFF" w:themeColor="background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FFFFFF" w:themeColor="background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FFFFFF" w:themeColor="background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FFFFFF" w:themeColor="background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FFFFFF" w:themeColor="background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FFFFFF" w:themeColor="background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FFFFFF" w:themeColor="background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FFFFFF" w:themeColor="background1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tblPr/>
      <w:tcPr>
        <w:tcBorders>
          <w:top w:val="single" w:color="FFFFFF" w:themeColor="background1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FFFFFF" w:themeColor="background1" w:sz="6" w:space="0"/>
          <w:insideH w:val="single" w:sz="6" w:space="0"/>
          <w:insideV w:val="single" w:sz="6" w:space="0"/>
        </w:tcBorders>
      </w:tcPr>
    </w:tblStylePr>
    <w:tblStylePr w:type="lastCol">
      <w:tblPr/>
      <w:tcPr>
        <w:tcBorders>
          <w:top w:val="single" w:color="000000" w:sz="6" w:space="0"/>
          <w:left w:val="single" w:color="FFFFFF" w:themeColor="background1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6" w:space="0"/>
        <w:left w:val="single" w:color="000000" w:themeColor="text1" w:sz="6" w:space="0"/>
        <w:bottom w:val="single" w:color="000000" w:themeColor="text1" w:sz="6" w:space="0"/>
        <w:right w:val="single" w:color="000000" w:themeColor="text1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C0504D" w:themeColor="accent2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6" w:space="0"/>
        <w:left w:val="single" w:color="4F81BD" w:themeColor="accent1" w:sz="6" w:space="0"/>
        <w:bottom w:val="single" w:color="4F81BD" w:themeColor="accent1" w:sz="6" w:space="0"/>
        <w:right w:val="single" w:color="4F81BD" w:themeColor="accent1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C0504D" w:themeColor="accent2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6" w:space="0"/>
        <w:left w:val="single" w:color="C0504D" w:themeColor="accent2" w:sz="6" w:space="0"/>
        <w:bottom w:val="single" w:color="C0504D" w:themeColor="accent2" w:sz="6" w:space="0"/>
        <w:right w:val="single" w:color="C0504D" w:themeColor="accent2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C0504D" w:themeColor="accent2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6" w:space="0"/>
        <w:left w:val="single" w:color="9BBB59" w:themeColor="accent3" w:sz="6" w:space="0"/>
        <w:bottom w:val="single" w:color="9BBB59" w:themeColor="accent3" w:sz="6" w:space="0"/>
        <w:right w:val="single" w:color="9BBB59" w:themeColor="accent3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8064A2" w:themeColor="accent4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6" w:space="0"/>
        <w:left w:val="single" w:color="8064A2" w:themeColor="accent4" w:sz="6" w:space="0"/>
        <w:bottom w:val="single" w:color="8064A2" w:themeColor="accent4" w:sz="6" w:space="0"/>
        <w:right w:val="single" w:color="8064A2" w:themeColor="accent4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9BBB59" w:themeColor="accent3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6" w:space="0"/>
        <w:left w:val="single" w:color="4BACC6" w:themeColor="accent5" w:sz="6" w:space="0"/>
        <w:bottom w:val="single" w:color="4BACC6" w:themeColor="accent5" w:sz="6" w:space="0"/>
        <w:right w:val="single" w:color="4BACC6" w:themeColor="accent5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F79646" w:themeColor="accent6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6" w:space="0"/>
        <w:left w:val="single" w:color="F79646" w:themeColor="accent6" w:sz="6" w:space="0"/>
        <w:bottom w:val="single" w:color="F79646" w:themeColor="accent6" w:sz="6" w:space="0"/>
        <w:right w:val="single" w:color="F79646" w:themeColor="accent6" w:sz="6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6" w:space="0"/>
          <w:left w:val="single" w:color="000000" w:sz="6" w:space="0"/>
          <w:bottom w:val="single" w:color="4BACC6" w:themeColor="accent5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6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6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6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6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6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6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6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tblPr/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band1Vert">
      <w:tblPr/>
    </w:tblStylePr>
    <w:tblStylePr w:type="band1Horz">
      <w:tblPr/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band1Vert">
      <w:tblPr/>
    </w:tblStylePr>
    <w:tblStylePr w:type="band1Horz">
      <w:tblPr/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band1Vert">
      <w:tblPr/>
    </w:tblStylePr>
    <w:tblStylePr w:type="band1Horz">
      <w:tblPr/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band1Vert">
      <w:tblPr/>
    </w:tblStylePr>
    <w:tblStylePr w:type="band1Horz">
      <w:tblPr/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band1Vert">
      <w:tblPr/>
    </w:tblStylePr>
    <w:tblStylePr w:type="band1Horz">
      <w:tblPr/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band1Vert">
      <w:tblPr/>
    </w:tblStylePr>
    <w:tblStylePr w:type="band1Horz">
      <w:tblPr/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</w:tblStylePr>
    <w:tblStylePr w:type="band1Vert">
      <w:tblPr/>
    </w:tblStylePr>
    <w:tblStylePr w:type="band1Horz">
      <w:tblPr/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qFormat/>
    <w:uiPriority w:val="99"/>
  </w:style>
  <w:style w:type="character" w:customStyle="1" w:styleId="139">
    <w:name w:val="Footer Char"/>
    <w:basedOn w:val="135"/>
    <w:link w:val="25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customStyle="1" w:styleId="142">
    <w:name w:val="Heading 2 Char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qFormat/>
    <w:uiPriority w:val="99"/>
  </w:style>
  <w:style w:type="character" w:customStyle="1" w:styleId="148">
    <w:name w:val="Body Text 2 Char"/>
    <w:basedOn w:val="135"/>
    <w:link w:val="31"/>
    <w:qFormat/>
    <w:uiPriority w:val="99"/>
  </w:style>
  <w:style w:type="character" w:customStyle="1" w:styleId="149">
    <w:name w:val="Body Text 3 Char"/>
    <w:basedOn w:val="135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000000"/>
    </w:rPr>
  </w:style>
  <w:style w:type="character" w:customStyle="1" w:styleId="155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2642</Words>
  <Characters>3122</Characters>
  <Lines>0</Lines>
  <Paragraphs>0</Paragraphs>
  <TotalTime>1</TotalTime>
  <ScaleCrop>false</ScaleCrop>
  <LinksUpToDate>false</LinksUpToDate>
  <CharactersWithSpaces>3347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现场核对版</dc:description>
  <cp:lastModifiedBy>admin</cp:lastModifiedBy>
  <dcterms:modified xsi:type="dcterms:W3CDTF">2026-07-07T01:35:32Z</dcterms:modified>
  <dc:subject>CPU2 V1.17.0.0 / CPU3 V1.16.0.0 / 共享协议版本10</dc:subject>
  <dc:title>LNG计量仪屏幕菜单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eyJoZGlkIjoiMDVkYThhNzYyODYyMjdhNTRmYmUyZjBlOThlODQwMDkiLCJ1c2VySWQiOiIxMjA0MTQyODE0In0=</vt:lpwstr>
  </property>
  <property fmtid="{D5CDD505-2E9C-101B-9397-08002B2CF9AE}" pid="3" name="KSOProductBuildVer">
    <vt:lpwstr>2052-12.1.0.26884</vt:lpwstr>
  </property>
  <property fmtid="{D5CDD505-2E9C-101B-9397-08002B2CF9AE}" pid="4" name="ICV">
    <vt:lpwstr>8129ECBF267341D795AB5EFD4945F95A_12</vt:lpwstr>
  </property>
</Properties>
</file>