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周口现场 SI-7000 LTD 线盘报警</w:t>
        <w:br/>
        <w:t>排查结果及后续建议</w:t>
      </w:r>
    </w:p>
    <w:p>
      <w:pPr>
        <w:spacing w:after="180"/>
        <w:jc w:val="center"/>
      </w:pPr>
      <w:r>
        <w:rPr>
          <w:rFonts w:ascii="Arial" w:hAnsi="Arial" w:eastAsia="Microsoft YaHei"/>
          <w:b/>
          <w:color w:val="666666"/>
          <w:sz w:val="23"/>
        </w:rPr>
        <w:t>客户沟通版</w:t>
      </w:r>
    </w:p>
    <w:p>
      <w:pPr>
        <w:spacing w:after="160"/>
        <w:jc w:val="center"/>
      </w:pPr>
      <w:r>
        <w:rPr>
          <w:rFonts w:ascii="Arial" w:hAnsi="Arial" w:eastAsia="Microsoft YaHei"/>
          <w:color w:val="666666"/>
          <w:sz w:val="18"/>
        </w:rPr>
        <w:t>文档版本 V1.2　排查日期 2026年9月11日</w:t>
      </w:r>
    </w:p>
    <w:tbl>
      <w:tblPr>
        <w:tblW w:type="dxa" w:w="9936"/>
        <w:jc w:val="center"/>
        <w:tblLayout w:type="fixed"/>
        <w:tblLook w:firstColumn="1" w:firstRow="1" w:lastColumn="0" w:lastRow="0" w:noHBand="0" w:noVBand="1" w:val="04A0"/>
        <w:tblBorders>
          <w:top w:val="single" w:sz="6" w:space="0" w:color="C9D2DA"/>
          <w:left w:val="single" w:sz="6" w:space="0" w:color="C9D2DA"/>
          <w:bottom w:val="single" w:sz="6" w:space="0" w:color="C9D2DA"/>
          <w:right w:val="single" w:sz="6" w:space="0" w:color="C9D2DA"/>
          <w:insideH w:val="single" w:sz="6" w:space="0" w:color="C9D2DA"/>
          <w:insideV w:val="single" w:sz="6" w:space="0" w:color="C9D2DA"/>
        </w:tblBorders>
        <w:tblCaption w:val="文档信息"/>
        <w:tblDescription w:val="现场地点、设备对象、本次工作和当前状态"/>
        <w:tblInd w:w="100" w:type="dxa"/>
      </w:tblPr>
      <w:tblGrid>
        <w:gridCol w:w="1944"/>
        <w:gridCol w:w="7992"/>
      </w:tblGrid>
      <w:tr>
        <w:trPr>
          <w:tblHeader w:val="true"/>
          <w:cantSplit/>
        </w:trPr>
        <w:tc>
          <w:tcPr>
            <w:tcW w:type="dxa" w:w="1944"/>
            <w:shd w:fill="1F4E78"/>
            <w:vAlign w:val="center"/>
            <w:tcMar>
              <w:top w:w="70" w:type="dxa"/>
              <w:start w:w="100" w:type="dxa"/>
              <w:bottom w:w="70" w:type="dxa"/>
              <w:end w:w="100" w:type="dxa"/>
            </w:tcMar>
          </w:tcPr>
          <w:p>
            <w:pPr>
              <w:spacing w:before="0" w:after="0" w:line="269" w:lineRule="auto"/>
              <w:jc w:val="center"/>
            </w:pPr>
            <w:r>
              <w:rPr>
                <w:rFonts w:ascii="Arial" w:hAnsi="Arial" w:eastAsia="Microsoft YaHei"/>
                <w:b/>
                <w:color w:val="FFFFFF"/>
                <w:sz w:val="18"/>
              </w:rPr>
              <w:t>项目</w:t>
            </w:r>
          </w:p>
        </w:tc>
        <w:tc>
          <w:tcPr>
            <w:tcW w:type="dxa" w:w="7992"/>
            <w:shd w:fill="1F4E78"/>
            <w:vAlign w:val="center"/>
            <w:tcMar>
              <w:top w:w="70" w:type="dxa"/>
              <w:start w:w="100" w:type="dxa"/>
              <w:bottom w:w="70" w:type="dxa"/>
              <w:end w:w="100" w:type="dxa"/>
            </w:tcMar>
          </w:tcPr>
          <w:p>
            <w:pPr>
              <w:spacing w:before="0" w:after="0" w:line="269" w:lineRule="auto"/>
              <w:jc w:val="center"/>
            </w:pPr>
            <w:r>
              <w:rPr>
                <w:rFonts w:ascii="Arial" w:hAnsi="Arial" w:eastAsia="Microsoft YaHei"/>
                <w:b/>
                <w:color w:val="FFFFFF"/>
                <w:sz w:val="18"/>
              </w:rPr>
              <w:t>内容</w:t>
            </w:r>
          </w:p>
        </w:tc>
      </w:tr>
      <w:tr>
        <w:trPr>
          <w:cantSplit/>
          <w:trHeight w:val="533" w:hRule="atLeast"/>
        </w:trPr>
        <w:tc>
          <w:tcPr>
            <w:tcW w:type="dxa" w:w="1944"/>
            <w:vAlign w:val="center"/>
            <w:tcMar>
              <w:top w:w="70" w:type="dxa"/>
              <w:start w:w="100" w:type="dxa"/>
              <w:bottom w:w="70" w:type="dxa"/>
              <w:end w:w="100" w:type="dxa"/>
            </w:tcMar>
          </w:tcPr>
          <w:p>
            <w:pPr>
              <w:spacing w:before="0" w:after="0" w:line="269" w:lineRule="auto"/>
              <w:jc w:val="center"/>
            </w:pPr>
            <w:r>
              <w:rPr>
                <w:rFonts w:ascii="Arial" w:hAnsi="Arial" w:eastAsia="SimSun"/>
                <w:color w:val="222222"/>
                <w:sz w:val="18"/>
              </w:rPr>
              <w:t>现场地点</w:t>
            </w:r>
          </w:p>
        </w:tc>
        <w:tc>
          <w:tcPr>
            <w:tcW w:type="dxa" w:w="7992"/>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8"/>
              </w:rPr>
              <w:t>周口</w:t>
            </w:r>
          </w:p>
        </w:tc>
      </w:tr>
      <w:tr>
        <w:trPr>
          <w:cantSplit/>
          <w:trHeight w:val="533" w:hRule="atLeast"/>
        </w:trPr>
        <w:tc>
          <w:tcPr>
            <w:tcW w:type="dxa" w:w="1944"/>
            <w:shd w:fill="F5F7F9"/>
            <w:vAlign w:val="center"/>
            <w:tcMar>
              <w:top w:w="70" w:type="dxa"/>
              <w:start w:w="100" w:type="dxa"/>
              <w:bottom w:w="70" w:type="dxa"/>
              <w:end w:w="100" w:type="dxa"/>
            </w:tcMar>
          </w:tcPr>
          <w:p>
            <w:pPr>
              <w:spacing w:before="0" w:after="0" w:line="269" w:lineRule="auto"/>
              <w:jc w:val="center"/>
            </w:pPr>
            <w:r>
              <w:rPr>
                <w:rFonts w:ascii="Arial" w:hAnsi="Arial" w:eastAsia="SimSun"/>
                <w:color w:val="222222"/>
                <w:sz w:val="18"/>
              </w:rPr>
              <w:t>设备对象</w:t>
            </w:r>
          </w:p>
        </w:tc>
        <w:tc>
          <w:tcPr>
            <w:tcW w:type="dxa" w:w="7992"/>
            <w:shd w:fill="F5F7F9"/>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8"/>
              </w:rPr>
              <w:t>Scientific Instruments（SI）原厂 SI-7000 液位、温度和密度（LTD）测量设备</w:t>
            </w:r>
          </w:p>
        </w:tc>
      </w:tr>
      <w:tr>
        <w:trPr>
          <w:cantSplit/>
          <w:trHeight w:val="533" w:hRule="atLeast"/>
        </w:trPr>
        <w:tc>
          <w:tcPr>
            <w:tcW w:type="dxa" w:w="1944"/>
            <w:vAlign w:val="center"/>
            <w:tcMar>
              <w:top w:w="70" w:type="dxa"/>
              <w:start w:w="100" w:type="dxa"/>
              <w:bottom w:w="70" w:type="dxa"/>
              <w:end w:w="100" w:type="dxa"/>
            </w:tcMar>
          </w:tcPr>
          <w:p>
            <w:pPr>
              <w:spacing w:before="0" w:after="0" w:line="269" w:lineRule="auto"/>
              <w:jc w:val="center"/>
            </w:pPr>
            <w:r>
              <w:rPr>
                <w:rFonts w:ascii="Arial" w:hAnsi="Arial" w:eastAsia="SimSun"/>
                <w:color w:val="222222"/>
                <w:sz w:val="18"/>
              </w:rPr>
              <w:t>本次工作</w:t>
            </w:r>
          </w:p>
        </w:tc>
        <w:tc>
          <w:tcPr>
            <w:tcW w:type="dxa" w:w="7992"/>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8"/>
              </w:rPr>
              <w:t>上罐后开展停电盘车、视窗观察、上电待机及手动上、下行操作检查</w:t>
            </w:r>
          </w:p>
        </w:tc>
      </w:tr>
      <w:tr>
        <w:trPr>
          <w:cantSplit/>
          <w:trHeight w:val="533" w:hRule="atLeast"/>
        </w:trPr>
        <w:tc>
          <w:tcPr>
            <w:tcW w:type="dxa" w:w="1944"/>
            <w:shd w:fill="F5F7F9"/>
            <w:vAlign w:val="center"/>
            <w:tcMar>
              <w:top w:w="70" w:type="dxa"/>
              <w:start w:w="100" w:type="dxa"/>
              <w:bottom w:w="70" w:type="dxa"/>
              <w:end w:w="100" w:type="dxa"/>
            </w:tcMar>
          </w:tcPr>
          <w:p>
            <w:pPr>
              <w:spacing w:before="0" w:after="0" w:line="269" w:lineRule="auto"/>
              <w:jc w:val="center"/>
            </w:pPr>
            <w:r>
              <w:rPr>
                <w:rFonts w:ascii="Arial" w:hAnsi="Arial" w:eastAsia="SimSun"/>
                <w:color w:val="222222"/>
                <w:sz w:val="18"/>
              </w:rPr>
              <w:t>当前状态</w:t>
            </w:r>
          </w:p>
        </w:tc>
        <w:tc>
          <w:tcPr>
            <w:tcW w:type="dxa" w:w="7992"/>
            <w:shd w:fill="F5F7F9"/>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8"/>
              </w:rPr>
              <w:t>运动功能异常；本次初步排查已结束，根因仍需电气测量和全行程检查确认</w:t>
            </w:r>
          </w:p>
        </w:tc>
      </w:tr>
    </w:tbl>
    <w:p>
      <w:pPr>
        <w:spacing w:after="20"/>
      </w:pPr>
    </w:p>
    <w:p>
      <w:pPr>
        <w:pStyle w:val="Heading1"/>
        <w:keepNext/>
        <w:pageBreakBefore w:val="0"/>
      </w:pPr>
      <w:r>
        <w:t>1 本次排查结论</w:t>
      </w:r>
    </w:p>
    <w:tbl>
      <w:tblPr>
        <w:tblW w:type="dxa" w:w="9936"/>
        <w:jc w:val="center"/>
        <w:tblLayout w:type="fixed"/>
        <w:tblLook w:firstColumn="1" w:firstRow="1" w:lastColumn="0" w:lastRow="0" w:noHBand="0" w:noVBand="1" w:val="04A0"/>
        <w:tblBorders>
          <w:top w:val="single" w:sz="6" w:space="0" w:color="C9D2DA"/>
          <w:left w:val="single" w:sz="6" w:space="0" w:color="C9D2DA"/>
          <w:bottom w:val="single" w:sz="6" w:space="0" w:color="C9D2DA"/>
          <w:right w:val="single" w:sz="6" w:space="0" w:color="C9D2DA"/>
          <w:insideH w:val="single" w:sz="6" w:space="0" w:color="C9D2DA"/>
          <w:insideV w:val="single" w:sz="6" w:space="0" w:color="C9D2DA"/>
        </w:tblBorders>
        <w:tblCaption w:val="本次排查结论摘要"/>
        <w:tblDescription w:val="区分已确认现象、优先排查范围、未排除原因和当前结论状态"/>
        <w:tblInd w:w="100" w:type="dxa"/>
      </w:tblPr>
      <w:tblGrid>
        <w:gridCol w:w="1944"/>
        <w:gridCol w:w="7992"/>
      </w:tblGrid>
      <w:tr>
        <w:trPr>
          <w:tblHeader w:val="true"/>
          <w:cantSplit/>
        </w:trPr>
        <w:tc>
          <w:tcPr>
            <w:tcW w:type="dxa" w:w="1944"/>
            <w:shd w:fill="1F4E78"/>
            <w:vAlign w:val="center"/>
            <w:tcMar>
              <w:top w:w="70" w:type="dxa"/>
              <w:start w:w="100" w:type="dxa"/>
              <w:bottom w:w="70" w:type="dxa"/>
              <w:end w:w="100" w:type="dxa"/>
            </w:tcMar>
          </w:tcPr>
          <w:p>
            <w:pPr>
              <w:spacing w:before="0" w:after="0" w:line="269" w:lineRule="auto"/>
              <w:jc w:val="center"/>
            </w:pPr>
            <w:r>
              <w:rPr>
                <w:rFonts w:ascii="Arial" w:hAnsi="Arial" w:eastAsia="Microsoft YaHei"/>
                <w:b/>
                <w:color w:val="FFFFFF"/>
                <w:sz w:val="18"/>
              </w:rPr>
              <w:t>结论类别</w:t>
            </w:r>
          </w:p>
        </w:tc>
        <w:tc>
          <w:tcPr>
            <w:tcW w:type="dxa" w:w="7992"/>
            <w:shd w:fill="1F4E78"/>
            <w:vAlign w:val="center"/>
            <w:tcMar>
              <w:top w:w="70" w:type="dxa"/>
              <w:start w:w="100" w:type="dxa"/>
              <w:bottom w:w="70" w:type="dxa"/>
              <w:end w:w="100" w:type="dxa"/>
            </w:tcMar>
          </w:tcPr>
          <w:p>
            <w:pPr>
              <w:spacing w:before="0" w:after="0" w:line="269" w:lineRule="auto"/>
              <w:jc w:val="center"/>
            </w:pPr>
            <w:r>
              <w:rPr>
                <w:rFonts w:ascii="Arial" w:hAnsi="Arial" w:eastAsia="Microsoft YaHei"/>
                <w:b/>
                <w:color w:val="FFFFFF"/>
                <w:sz w:val="18"/>
              </w:rPr>
              <w:t>本次结论</w:t>
            </w:r>
          </w:p>
        </w:tc>
      </w:tr>
      <w:tr>
        <w:trPr>
          <w:cantSplit/>
          <w:trHeight w:val="691" w:hRule="atLeast"/>
        </w:trPr>
        <w:tc>
          <w:tcPr>
            <w:tcW w:type="dxa" w:w="1944"/>
            <w:vAlign w:val="center"/>
            <w:tcMar>
              <w:top w:w="70" w:type="dxa"/>
              <w:start w:w="100" w:type="dxa"/>
              <w:bottom w:w="70" w:type="dxa"/>
              <w:end w:w="100" w:type="dxa"/>
            </w:tcMar>
          </w:tcPr>
          <w:p>
            <w:pPr>
              <w:spacing w:before="0" w:after="0" w:line="269" w:lineRule="auto"/>
              <w:jc w:val="center"/>
            </w:pPr>
            <w:r>
              <w:rPr>
                <w:rFonts w:ascii="Arial" w:hAnsi="Arial" w:eastAsia="SimSun"/>
                <w:color w:val="222222"/>
                <w:sz w:val="18"/>
              </w:rPr>
              <w:t>已确认现象</w:t>
            </w:r>
          </w:p>
        </w:tc>
        <w:tc>
          <w:tcPr>
            <w:tcW w:type="dxa" w:w="7992"/>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8"/>
              </w:rPr>
              <w:t>设备接收手动上、下行指令后，未观察到相应机械运动；电机区域有嗡鸣，现场手动感受到的保持力不明显；随后出现线盘报警。</w:t>
            </w:r>
          </w:p>
        </w:tc>
      </w:tr>
      <w:tr>
        <w:trPr>
          <w:cantSplit/>
          <w:trHeight w:val="691" w:hRule="atLeast"/>
        </w:trPr>
        <w:tc>
          <w:tcPr>
            <w:tcW w:type="dxa" w:w="1944"/>
            <w:shd w:fill="F5F7F9"/>
            <w:vAlign w:val="center"/>
            <w:tcMar>
              <w:top w:w="70" w:type="dxa"/>
              <w:start w:w="100" w:type="dxa"/>
              <w:bottom w:w="70" w:type="dxa"/>
              <w:end w:w="100" w:type="dxa"/>
            </w:tcMar>
          </w:tcPr>
          <w:p>
            <w:pPr>
              <w:spacing w:before="0" w:after="0" w:line="269" w:lineRule="auto"/>
              <w:jc w:val="center"/>
            </w:pPr>
            <w:r>
              <w:rPr>
                <w:rFonts w:ascii="Arial" w:hAnsi="Arial" w:eastAsia="SimSun"/>
                <w:color w:val="222222"/>
                <w:sz w:val="18"/>
              </w:rPr>
              <w:t>优先排查范围</w:t>
            </w:r>
          </w:p>
        </w:tc>
        <w:tc>
          <w:tcPr>
            <w:tcW w:type="dxa" w:w="7992"/>
            <w:shd w:fill="F5F7F9"/>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8"/>
              </w:rPr>
              <w:t>电机驱动电气链路，包括主控板驱动输出、驱动供电与使能、电机相线及连接器、电机绕组。</w:t>
            </w:r>
          </w:p>
        </w:tc>
      </w:tr>
      <w:tr>
        <w:trPr>
          <w:cantSplit/>
          <w:trHeight w:val="691" w:hRule="atLeast"/>
        </w:trPr>
        <w:tc>
          <w:tcPr>
            <w:tcW w:type="dxa" w:w="1944"/>
            <w:vAlign w:val="center"/>
            <w:tcMar>
              <w:top w:w="70" w:type="dxa"/>
              <w:start w:w="100" w:type="dxa"/>
              <w:bottom w:w="70" w:type="dxa"/>
              <w:end w:w="100" w:type="dxa"/>
            </w:tcMar>
          </w:tcPr>
          <w:p>
            <w:pPr>
              <w:spacing w:before="0" w:after="0" w:line="269" w:lineRule="auto"/>
              <w:jc w:val="center"/>
            </w:pPr>
            <w:r>
              <w:rPr>
                <w:rFonts w:ascii="Arial" w:hAnsi="Arial" w:eastAsia="SimSun"/>
                <w:color w:val="222222"/>
                <w:sz w:val="18"/>
              </w:rPr>
              <w:t>仍未排除</w:t>
            </w:r>
          </w:p>
        </w:tc>
        <w:tc>
          <w:tcPr>
            <w:tcW w:type="dxa" w:w="7992"/>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8"/>
              </w:rPr>
              <w:t>全部链条、尺带及全行程中存在间歇性卡滞或异常负载，以及供电波动、反向能量回灌等共同诱因。</w:t>
            </w:r>
          </w:p>
        </w:tc>
      </w:tr>
      <w:tr>
        <w:trPr>
          <w:cantSplit/>
          <w:trHeight w:val="691" w:hRule="atLeast"/>
        </w:trPr>
        <w:tc>
          <w:tcPr>
            <w:tcW w:type="dxa" w:w="1944"/>
            <w:shd w:fill="F5F7F9"/>
            <w:vAlign w:val="center"/>
            <w:tcMar>
              <w:top w:w="70" w:type="dxa"/>
              <w:start w:w="100" w:type="dxa"/>
              <w:bottom w:w="70" w:type="dxa"/>
              <w:end w:w="100" w:type="dxa"/>
            </w:tcMar>
          </w:tcPr>
          <w:p>
            <w:pPr>
              <w:spacing w:before="0" w:after="0" w:line="269" w:lineRule="auto"/>
              <w:jc w:val="center"/>
            </w:pPr>
            <w:r>
              <w:rPr>
                <w:rFonts w:ascii="Arial" w:hAnsi="Arial" w:eastAsia="SimSun"/>
                <w:color w:val="222222"/>
                <w:sz w:val="18"/>
              </w:rPr>
              <w:t>结论状态</w:t>
            </w:r>
          </w:p>
        </w:tc>
        <w:tc>
          <w:tcPr>
            <w:tcW w:type="dxa" w:w="7992"/>
            <w:shd w:fill="F5F7F9"/>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8"/>
              </w:rPr>
              <w:t>排查范围已收敛，但根因尚未闭环；在完成电气测量和全行程机械检查前，不建议直接以再次更换主控板作为唯一处理措施。</w:t>
            </w:r>
          </w:p>
        </w:tc>
      </w:tr>
    </w:tbl>
    <w:p>
      <w:pPr>
        <w:spacing w:after="20"/>
      </w:pPr>
    </w:p>
    <w:p>
      <w:pPr>
        <w:pStyle w:val="BodyText"/>
      </w:pPr>
      <w:r>
        <w:rPr>
          <w:rFonts w:ascii="Arial" w:hAnsi="Arial" w:eastAsia="SimSun"/>
          <w:color w:val="222222"/>
          <w:sz w:val="21"/>
        </w:rPr>
        <w:t>本次检查确认，设备接收运动指令后未产生相应机械运动，并伴有电机区域嗡鸣；现场手动感受到的保持力不明显。综合现场表现，故障应优先从电机驱动电气链路排查。现有证据尚不足以单独确认主控板驱动损坏、电机相线异常或电机本体故障。</w:t>
      </w:r>
    </w:p>
    <w:p>
      <w:pPr>
        <w:pStyle w:val="BodyText"/>
      </w:pPr>
      <w:r>
        <w:rPr>
          <w:rFonts w:ascii="Arial" w:hAnsi="Arial" w:eastAsia="SimSun"/>
          <w:color w:val="222222"/>
          <w:sz w:val="21"/>
        </w:rPr>
        <w:t>断电后的局部盘车检查未发现明显持续性机械卡死，但本次只检查了现场可观察、可操作的一小段链条和行程，未完成尺带及全部运行路径检查，因此不能据此排除其他位置存在间歇性卡滞或异常负载。</w:t>
      </w:r>
    </w:p>
    <w:p>
      <w:pPr>
        <w:pStyle w:val="BodyText"/>
      </w:pPr>
      <w:r>
        <w:rPr>
          <w:rFonts w:ascii="Arial" w:hAnsi="Arial" w:eastAsia="SimSun"/>
          <w:color w:val="222222"/>
          <w:sz w:val="21"/>
        </w:rPr>
        <w:t>据现场反馈，主控板更换后较短时间内同类故障再次出现，且期间设备运行次数较少。建议在再次更换主控板前，同步核查电机、线缆、机械负载、供电质量及反向能量回灌路径，并对更换下来的部件保留故障分析条件，避免外部诱因未排除而重复更换部件。</w:t>
      </w:r>
    </w:p>
    <w:p>
      <w:pPr>
        <w:pStyle w:val="Heading1"/>
        <w:keepNext/>
        <w:pageBreakBefore/>
      </w:pPr>
      <w:r>
        <w:t>2 设备情况与近期处置记录</w:t>
      </w:r>
    </w:p>
    <w:tbl>
      <w:tblPr>
        <w:tblW w:type="dxa" w:w="9936"/>
        <w:jc w:val="center"/>
        <w:tblLayout w:type="fixed"/>
        <w:tblLook w:firstColumn="1" w:firstRow="1" w:lastColumn="0" w:lastRow="0" w:noHBand="0" w:noVBand="1" w:val="04A0"/>
        <w:tblBorders>
          <w:top w:val="single" w:sz="6" w:space="0" w:color="C9D2DA"/>
          <w:left w:val="single" w:sz="6" w:space="0" w:color="C9D2DA"/>
          <w:bottom w:val="single" w:sz="6" w:space="0" w:color="C9D2DA"/>
          <w:right w:val="single" w:sz="6" w:space="0" w:color="C9D2DA"/>
          <w:insideH w:val="single" w:sz="6" w:space="0" w:color="C9D2DA"/>
          <w:insideV w:val="single" w:sz="6" w:space="0" w:color="C9D2DA"/>
        </w:tblBorders>
        <w:tblCaption w:val="设备情况与近期处置记录"/>
        <w:tblDescription w:val="现场反馈的设备型号、维修处置和运行频次及其证据边界"/>
        <w:tblInd w:w="100" w:type="dxa"/>
      </w:tblPr>
      <w:tblGrid>
        <w:gridCol w:w="1800"/>
        <w:gridCol w:w="5112"/>
        <w:gridCol w:w="3024"/>
      </w:tblGrid>
      <w:tr>
        <w:trPr>
          <w:tblHeader w:val="true"/>
          <w:cantSplit/>
        </w:trPr>
        <w:tc>
          <w:tcPr>
            <w:tcW w:type="dxa" w:w="1800"/>
            <w:shd w:fill="1F4E78"/>
            <w:vAlign w:val="center"/>
            <w:tcMar>
              <w:top w:w="70" w:type="dxa"/>
              <w:start w:w="100" w:type="dxa"/>
              <w:bottom w:w="70" w:type="dxa"/>
              <w:end w:w="100" w:type="dxa"/>
            </w:tcMar>
          </w:tcPr>
          <w:p>
            <w:pPr>
              <w:spacing w:before="0" w:after="0" w:line="269" w:lineRule="auto"/>
              <w:jc w:val="center"/>
            </w:pPr>
            <w:r>
              <w:rPr>
                <w:rFonts w:ascii="Arial" w:hAnsi="Arial" w:eastAsia="Microsoft YaHei"/>
                <w:b/>
                <w:color w:val="FFFFFF"/>
                <w:sz w:val="18"/>
              </w:rPr>
              <w:t>项目</w:t>
            </w:r>
          </w:p>
        </w:tc>
        <w:tc>
          <w:tcPr>
            <w:tcW w:type="dxa" w:w="5112"/>
            <w:shd w:fill="1F4E78"/>
            <w:vAlign w:val="center"/>
            <w:tcMar>
              <w:top w:w="70" w:type="dxa"/>
              <w:start w:w="100" w:type="dxa"/>
              <w:bottom w:w="70" w:type="dxa"/>
              <w:end w:w="100" w:type="dxa"/>
            </w:tcMar>
          </w:tcPr>
          <w:p>
            <w:pPr>
              <w:spacing w:before="0" w:after="0" w:line="269" w:lineRule="auto"/>
              <w:jc w:val="center"/>
            </w:pPr>
            <w:r>
              <w:rPr>
                <w:rFonts w:ascii="Arial" w:hAnsi="Arial" w:eastAsia="Microsoft YaHei"/>
                <w:b/>
                <w:color w:val="FFFFFF"/>
                <w:sz w:val="18"/>
              </w:rPr>
              <w:t>现场反馈</w:t>
            </w:r>
          </w:p>
        </w:tc>
        <w:tc>
          <w:tcPr>
            <w:tcW w:type="dxa" w:w="3024"/>
            <w:shd w:fill="1F4E78"/>
            <w:vAlign w:val="center"/>
            <w:tcMar>
              <w:top w:w="70" w:type="dxa"/>
              <w:start w:w="100" w:type="dxa"/>
              <w:bottom w:w="70" w:type="dxa"/>
              <w:end w:w="100" w:type="dxa"/>
            </w:tcMar>
          </w:tcPr>
          <w:p>
            <w:pPr>
              <w:spacing w:before="0" w:after="0" w:line="269" w:lineRule="auto"/>
              <w:jc w:val="center"/>
            </w:pPr>
            <w:r>
              <w:rPr>
                <w:rFonts w:ascii="Arial" w:hAnsi="Arial" w:eastAsia="Microsoft YaHei"/>
                <w:b/>
                <w:color w:val="FFFFFF"/>
                <w:sz w:val="18"/>
              </w:rPr>
              <w:t>记录边界</w:t>
            </w:r>
          </w:p>
        </w:tc>
      </w:tr>
      <w:tr>
        <w:trPr>
          <w:cantSplit/>
          <w:trHeight w:val="792" w:hRule="atLeast"/>
        </w:trPr>
        <w:tc>
          <w:tcPr>
            <w:tcW w:type="dxa" w:w="1800"/>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7"/>
              </w:rPr>
              <w:t>设备型号</w:t>
            </w:r>
          </w:p>
        </w:tc>
        <w:tc>
          <w:tcPr>
            <w:tcW w:type="dxa" w:w="5112"/>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7"/>
              </w:rPr>
              <w:t>SI-7000 LTD 测量设备</w:t>
            </w:r>
          </w:p>
        </w:tc>
        <w:tc>
          <w:tcPr>
            <w:tcW w:type="dxa" w:w="3024"/>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7"/>
              </w:rPr>
              <w:t>现场确认</w:t>
            </w:r>
          </w:p>
        </w:tc>
      </w:tr>
      <w:tr>
        <w:trPr>
          <w:cantSplit/>
          <w:trHeight w:val="792" w:hRule="atLeast"/>
        </w:trPr>
        <w:tc>
          <w:tcPr>
            <w:tcW w:type="dxa" w:w="1800"/>
            <w:shd w:fill="F5F7F9"/>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7"/>
              </w:rPr>
              <w:t>近期处置次数</w:t>
            </w:r>
          </w:p>
        </w:tc>
        <w:tc>
          <w:tcPr>
            <w:tcW w:type="dxa" w:w="5112"/>
            <w:shd w:fill="F5F7F9"/>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7"/>
              </w:rPr>
              <w:t>据现场口述，短期内累计开展三次维修或排查，本次为其中一次现场排查</w:t>
            </w:r>
          </w:p>
        </w:tc>
        <w:tc>
          <w:tcPr>
            <w:tcW w:type="dxa" w:w="3024"/>
            <w:shd w:fill="F5F7F9"/>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7"/>
              </w:rPr>
              <w:t>建议以维修工单核对每次日期和内容</w:t>
            </w:r>
          </w:p>
        </w:tc>
      </w:tr>
      <w:tr>
        <w:trPr>
          <w:cantSplit/>
          <w:trHeight w:val="792" w:hRule="atLeast"/>
        </w:trPr>
        <w:tc>
          <w:tcPr>
            <w:tcW w:type="dxa" w:w="1800"/>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7"/>
              </w:rPr>
              <w:t>首次处置</w:t>
            </w:r>
          </w:p>
        </w:tc>
        <w:tc>
          <w:tcPr>
            <w:tcW w:type="dxa" w:w="5112"/>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7"/>
              </w:rPr>
              <w:t>据现场口述，进行程序升级，随后较快再次出现故障</w:t>
            </w:r>
          </w:p>
        </w:tc>
        <w:tc>
          <w:tcPr>
            <w:tcW w:type="dxa" w:w="3024"/>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7"/>
              </w:rPr>
              <w:t>需补充升级版本、日期和当时故障现象</w:t>
            </w:r>
          </w:p>
        </w:tc>
      </w:tr>
      <w:tr>
        <w:trPr>
          <w:cantSplit/>
          <w:trHeight w:val="792" w:hRule="atLeast"/>
        </w:trPr>
        <w:tc>
          <w:tcPr>
            <w:tcW w:type="dxa" w:w="1800"/>
            <w:shd w:fill="F5F7F9"/>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7"/>
              </w:rPr>
              <w:t>第二次处置</w:t>
            </w:r>
          </w:p>
        </w:tc>
        <w:tc>
          <w:tcPr>
            <w:tcW w:type="dxa" w:w="5112"/>
            <w:shd w:fill="F5F7F9"/>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7"/>
              </w:rPr>
              <w:t>据现场口述，更换整个主控板后约2至3个月内再次出现同类故障</w:t>
            </w:r>
          </w:p>
        </w:tc>
        <w:tc>
          <w:tcPr>
            <w:tcW w:type="dxa" w:w="3024"/>
            <w:shd w:fill="F5F7F9"/>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7"/>
              </w:rPr>
              <w:t>时间存在口述差异，以更换工单为准</w:t>
            </w:r>
          </w:p>
        </w:tc>
      </w:tr>
      <w:tr>
        <w:trPr>
          <w:cantSplit/>
          <w:trHeight w:val="792" w:hRule="atLeast"/>
        </w:trPr>
        <w:tc>
          <w:tcPr>
            <w:tcW w:type="dxa" w:w="1800"/>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7"/>
              </w:rPr>
              <w:t>运行频次</w:t>
            </w:r>
          </w:p>
        </w:tc>
        <w:tc>
          <w:tcPr>
            <w:tcW w:type="dxa" w:w="5112"/>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7"/>
              </w:rPr>
              <w:t>据现场反馈，通常每周测量一次；按该频次估算，主控板更换后约运行十余次</w:t>
            </w:r>
          </w:p>
        </w:tc>
        <w:tc>
          <w:tcPr>
            <w:tcW w:type="dxa" w:w="3024"/>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7"/>
              </w:rPr>
              <w:t>估算值，需由运行日志核实</w:t>
            </w:r>
          </w:p>
        </w:tc>
      </w:tr>
    </w:tbl>
    <w:p>
      <w:pPr>
        <w:spacing w:after="20"/>
      </w:pPr>
    </w:p>
    <w:p>
      <w:pPr>
        <w:pStyle w:val="BodyText"/>
      </w:pPr>
      <w:r>
        <w:rPr>
          <w:rFonts w:ascii="Arial" w:hAnsi="Arial" w:eastAsia="SimSun"/>
          <w:color w:val="222222"/>
          <w:sz w:val="21"/>
        </w:rPr>
        <w:t>上述经历说明，单纯软件升级或单次更换主控板尚未形成稳定闭环。由于维修工单、故障板检测结果和完整运行日志尚未纳入本次资料，现阶段不能据此判定前次维修措施无效，也不能确认本次故障与前次故障具有完全相同的根因。</w:t>
      </w:r>
    </w:p>
    <w:p>
      <w:pPr>
        <w:pStyle w:val="Heading1"/>
        <w:keepNext/>
        <w:pageBreakBefore w:val="0"/>
      </w:pPr>
      <w:r>
        <w:t>3 本次故障现象及现场画面</w:t>
      </w:r>
    </w:p>
    <w:p>
      <w:pPr>
        <w:pStyle w:val="BodyText"/>
      </w:pPr>
      <w:r>
        <w:rPr>
          <w:rFonts w:ascii="Arial" w:hAnsi="Arial" w:eastAsia="SimSun"/>
          <w:color w:val="222222"/>
          <w:sz w:val="21"/>
        </w:rPr>
        <w:t>现场反馈，在手动模式下发上行或下行运动指令后，电机区域发出嗡鸣声，线盘及链条未形成可见的有效运动，设备随后报出界面英文标识“Reel Alarm（线盘报警）”。</w:t>
      </w:r>
    </w:p>
    <w:p>
      <w:pPr>
        <w:keepNext/>
        <w:keepLines/>
        <w:spacing w:before="20" w:after="60"/>
        <w:jc w:val="center"/>
      </w:pPr>
      <w:r>
        <w:drawing>
          <wp:inline xmlns:a="http://schemas.openxmlformats.org/drawingml/2006/main" xmlns:pic="http://schemas.openxmlformats.org/drawingml/2006/picture">
            <wp:extent cx="6126480" cy="1633728"/>
            <wp:docPr id="1" name="Picture 1" descr="现场设备状态画面，显示31D01储罐的31LTD0110测量点、手动模式和包含线盘报警项目的状态列表" title="现场设备状态画面"/>
            <wp:cNvGraphicFramePr>
              <a:graphicFrameLocks noChangeAspect="1"/>
            </wp:cNvGraphicFramePr>
            <a:graphic>
              <a:graphicData uri="http://schemas.openxmlformats.org/drawingml/2006/picture">
                <pic:pic>
                  <pic:nvPicPr>
                    <pic:cNvPr id="0" name="现场设备状态画面_裁切.jpg"/>
                    <pic:cNvPicPr/>
                  </pic:nvPicPr>
                  <pic:blipFill>
                    <a:blip r:embed="rId10"/>
                    <a:stretch>
                      <a:fillRect/>
                    </a:stretch>
                  </pic:blipFill>
                  <pic:spPr>
                    <a:xfrm>
                      <a:off x="0" y="0"/>
                      <a:ext cx="6126480" cy="1633728"/>
                    </a:xfrm>
                    <a:prstGeom prst="rect"/>
                  </pic:spPr>
                </pic:pic>
              </a:graphicData>
            </a:graphic>
          </wp:inline>
        </w:drawing>
      </w:r>
    </w:p>
    <w:p>
      <w:pPr>
        <w:keepNext/>
        <w:spacing w:before="0" w:after="100"/>
        <w:jc w:val="center"/>
      </w:pPr>
      <w:r>
        <w:rPr>
          <w:rFonts w:ascii="Arial" w:hAnsi="Arial" w:eastAsia="Microsoft YaHei"/>
          <w:color w:val="666666"/>
          <w:sz w:val="18"/>
        </w:rPr>
        <w:t>图1 现场提供的设备状态画面</w:t>
      </w:r>
    </w:p>
    <w:p>
      <w:pPr>
        <w:pStyle w:val="BodyText"/>
        <w:keepLines/>
      </w:pPr>
      <w:r>
        <w:rPr>
          <w:rFonts w:ascii="Arial" w:hAnsi="Arial" w:eastAsia="Microsoft YaHei"/>
          <w:b/>
          <w:color w:val="222222"/>
          <w:sz w:val="21"/>
        </w:rPr>
        <w:t xml:space="preserve">图像说明  </w:t>
      </w:r>
      <w:r>
        <w:rPr>
          <w:rFonts w:ascii="Arial" w:hAnsi="Arial" w:eastAsia="SimSun"/>
          <w:color w:val="222222"/>
          <w:sz w:val="21"/>
        </w:rPr>
        <w:t>照片中可辨识到储罐31D01、测量点31LTD0110和手动模式，状态列表中包含界面英文标识“Reel Alarm（线盘报警）”。受拍摄角度、屏幕纹理和清晰度限制，本图仅作为现场画面记录；报警置位时刻、持续时间以及画面中位置和测量数据的有效性，仍应以系统原始报警记录、操作日志和实际机械运动核对结果为准。</w:t>
      </w:r>
    </w:p>
    <w:p>
      <w:pPr>
        <w:pStyle w:val="Heading1"/>
        <w:keepNext/>
        <w:pageBreakBefore/>
      </w:pPr>
      <w:r>
        <w:t>4 现场排查过程与结果</w:t>
      </w:r>
    </w:p>
    <w:tbl>
      <w:tblPr>
        <w:tblW w:type="dxa" w:w="9936"/>
        <w:jc w:val="center"/>
        <w:tblLayout w:type="fixed"/>
        <w:tblLook w:firstColumn="1" w:firstRow="1" w:lastColumn="0" w:lastRow="0" w:noHBand="0" w:noVBand="1" w:val="04A0"/>
        <w:tblBorders>
          <w:top w:val="single" w:sz="6" w:space="0" w:color="C9D2DA"/>
          <w:left w:val="single" w:sz="6" w:space="0" w:color="C9D2DA"/>
          <w:bottom w:val="single" w:sz="6" w:space="0" w:color="C9D2DA"/>
          <w:right w:val="single" w:sz="6" w:space="0" w:color="C9D2DA"/>
          <w:insideH w:val="single" w:sz="6" w:space="0" w:color="C9D2DA"/>
          <w:insideV w:val="single" w:sz="6" w:space="0" w:color="C9D2DA"/>
        </w:tblBorders>
        <w:tblCaption w:val="现场排查过程与结果"/>
        <w:tblDescription w:val="按断电和上电工况记录现场操作、直接观察和结论边界"/>
        <w:tblInd w:w="100" w:type="dxa"/>
      </w:tblPr>
      <w:tblGrid>
        <w:gridCol w:w="1800"/>
        <w:gridCol w:w="2664"/>
        <w:gridCol w:w="2448"/>
        <w:gridCol w:w="3024"/>
      </w:tblGrid>
      <w:tr>
        <w:trPr>
          <w:tblHeader w:val="true"/>
          <w:cantSplit/>
        </w:trPr>
        <w:tc>
          <w:tcPr>
            <w:tcW w:type="dxa" w:w="1800"/>
            <w:shd w:fill="1F4E78"/>
            <w:vAlign w:val="center"/>
            <w:tcMar>
              <w:top w:w="70" w:type="dxa"/>
              <w:start w:w="100" w:type="dxa"/>
              <w:bottom w:w="70" w:type="dxa"/>
              <w:end w:w="100" w:type="dxa"/>
            </w:tcMar>
          </w:tcPr>
          <w:p>
            <w:pPr>
              <w:spacing w:before="0" w:after="0" w:line="269" w:lineRule="auto"/>
              <w:jc w:val="center"/>
            </w:pPr>
            <w:r>
              <w:rPr>
                <w:rFonts w:ascii="Arial" w:hAnsi="Arial" w:eastAsia="Microsoft YaHei"/>
                <w:b/>
                <w:color w:val="FFFFFF"/>
                <w:sz w:val="18"/>
              </w:rPr>
              <w:t>工况与项目</w:t>
            </w:r>
          </w:p>
        </w:tc>
        <w:tc>
          <w:tcPr>
            <w:tcW w:type="dxa" w:w="2664"/>
            <w:shd w:fill="1F4E78"/>
            <w:vAlign w:val="center"/>
            <w:tcMar>
              <w:top w:w="70" w:type="dxa"/>
              <w:start w:w="100" w:type="dxa"/>
              <w:bottom w:w="70" w:type="dxa"/>
              <w:end w:w="100" w:type="dxa"/>
            </w:tcMar>
          </w:tcPr>
          <w:p>
            <w:pPr>
              <w:spacing w:before="0" w:after="0" w:line="269" w:lineRule="auto"/>
              <w:jc w:val="center"/>
            </w:pPr>
            <w:r>
              <w:rPr>
                <w:rFonts w:ascii="Arial" w:hAnsi="Arial" w:eastAsia="Microsoft YaHei"/>
                <w:b/>
                <w:color w:val="FFFFFF"/>
                <w:sz w:val="18"/>
              </w:rPr>
              <w:t>现场操作</w:t>
            </w:r>
          </w:p>
        </w:tc>
        <w:tc>
          <w:tcPr>
            <w:tcW w:type="dxa" w:w="2448"/>
            <w:shd w:fill="1F4E78"/>
            <w:vAlign w:val="center"/>
            <w:tcMar>
              <w:top w:w="70" w:type="dxa"/>
              <w:start w:w="100" w:type="dxa"/>
              <w:bottom w:w="70" w:type="dxa"/>
              <w:end w:w="100" w:type="dxa"/>
            </w:tcMar>
          </w:tcPr>
          <w:p>
            <w:pPr>
              <w:spacing w:before="0" w:after="0" w:line="269" w:lineRule="auto"/>
              <w:jc w:val="center"/>
            </w:pPr>
            <w:r>
              <w:rPr>
                <w:rFonts w:ascii="Arial" w:hAnsi="Arial" w:eastAsia="Microsoft YaHei"/>
                <w:b/>
                <w:color w:val="FFFFFF"/>
                <w:sz w:val="18"/>
              </w:rPr>
              <w:t>直接观察</w:t>
            </w:r>
          </w:p>
        </w:tc>
        <w:tc>
          <w:tcPr>
            <w:tcW w:type="dxa" w:w="3024"/>
            <w:shd w:fill="1F4E78"/>
            <w:vAlign w:val="center"/>
            <w:tcMar>
              <w:top w:w="70" w:type="dxa"/>
              <w:start w:w="100" w:type="dxa"/>
              <w:bottom w:w="70" w:type="dxa"/>
              <w:end w:w="100" w:type="dxa"/>
            </w:tcMar>
          </w:tcPr>
          <w:p>
            <w:pPr>
              <w:spacing w:before="0" w:after="0" w:line="269" w:lineRule="auto"/>
              <w:jc w:val="center"/>
            </w:pPr>
            <w:r>
              <w:rPr>
                <w:rFonts w:ascii="Arial" w:hAnsi="Arial" w:eastAsia="Microsoft YaHei"/>
                <w:b/>
                <w:color w:val="FFFFFF"/>
                <w:sz w:val="18"/>
              </w:rPr>
              <w:t>结论边界</w:t>
            </w:r>
          </w:p>
        </w:tc>
      </w:tr>
      <w:tr>
        <w:trPr>
          <w:cantSplit/>
          <w:trHeight w:val="1181" w:hRule="atLeast"/>
        </w:trPr>
        <w:tc>
          <w:tcPr>
            <w:tcW w:type="dxa" w:w="1800"/>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6"/>
              </w:rPr>
              <w:t>断电：链条阻力</w:t>
            </w:r>
          </w:p>
        </w:tc>
        <w:tc>
          <w:tcPr>
            <w:tcW w:type="dxa" w:w="2664"/>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6"/>
              </w:rPr>
              <w:t>用手转动同步轮，分别检查可操作范围内的上、下行方向。</w:t>
            </w:r>
          </w:p>
        </w:tc>
        <w:tc>
          <w:tcPr>
            <w:tcW w:type="dxa" w:w="2448"/>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6"/>
              </w:rPr>
              <w:t>手感阻力较均匀，两方向均可转动。</w:t>
            </w:r>
          </w:p>
        </w:tc>
        <w:tc>
          <w:tcPr>
            <w:tcW w:type="dxa" w:w="3024"/>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6"/>
              </w:rPr>
              <w:t>仅覆盖局部短行程，可排除该检查段的明显持续性卡死，不能代表全行程。</w:t>
            </w:r>
          </w:p>
        </w:tc>
      </w:tr>
      <w:tr>
        <w:trPr>
          <w:cantSplit/>
          <w:trHeight w:val="1181" w:hRule="atLeast"/>
        </w:trPr>
        <w:tc>
          <w:tcPr>
            <w:tcW w:type="dxa" w:w="1800"/>
            <w:shd w:fill="F5F7F9"/>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6"/>
              </w:rPr>
              <w:t>断电：链条与齿轮</w:t>
            </w:r>
          </w:p>
        </w:tc>
        <w:tc>
          <w:tcPr>
            <w:tcW w:type="dxa" w:w="2664"/>
            <w:shd w:fill="F5F7F9"/>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6"/>
              </w:rPr>
              <w:t>通过设备视窗观察链条运行及齿轮啮合。</w:t>
            </w:r>
          </w:p>
        </w:tc>
        <w:tc>
          <w:tcPr>
            <w:tcW w:type="dxa" w:w="2448"/>
            <w:shd w:fill="F5F7F9"/>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6"/>
              </w:rPr>
              <w:t>可见范围内链条运行和齿轮啮合未见明显异常。</w:t>
            </w:r>
          </w:p>
        </w:tc>
        <w:tc>
          <w:tcPr>
            <w:tcW w:type="dxa" w:w="3024"/>
            <w:shd w:fill="F5F7F9"/>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6"/>
              </w:rPr>
              <w:t>视窗观察范围有限，尺带、隐蔽传动部位和其他行程位置尚未检查。</w:t>
            </w:r>
          </w:p>
        </w:tc>
      </w:tr>
      <w:tr>
        <w:trPr>
          <w:cantSplit/>
          <w:trHeight w:val="1181" w:hRule="atLeast"/>
        </w:trPr>
        <w:tc>
          <w:tcPr>
            <w:tcW w:type="dxa" w:w="1800"/>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6"/>
              </w:rPr>
              <w:t>断电：被动转动电机</w:t>
            </w:r>
          </w:p>
        </w:tc>
        <w:tc>
          <w:tcPr>
            <w:tcW w:type="dxa" w:w="2664"/>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6"/>
              </w:rPr>
              <w:t>转动同步轮并带动电机被动旋转。</w:t>
            </w:r>
          </w:p>
        </w:tc>
        <w:tc>
          <w:tcPr>
            <w:tcW w:type="dxa" w:w="2448"/>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6"/>
              </w:rPr>
              <w:t>设备屏幕出现短暂点亮。</w:t>
            </w:r>
          </w:p>
        </w:tc>
        <w:tc>
          <w:tcPr>
            <w:tcW w:type="dxa" w:w="3024"/>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6"/>
              </w:rPr>
              <w:t>提示可能存在反向能量回灌；回灌路径、峰值及保护是否充分需通过波形和电路检查确认。</w:t>
            </w:r>
          </w:p>
        </w:tc>
      </w:tr>
      <w:tr>
        <w:trPr>
          <w:cantSplit/>
          <w:trHeight w:val="1181" w:hRule="atLeast"/>
        </w:trPr>
        <w:tc>
          <w:tcPr>
            <w:tcW w:type="dxa" w:w="1800"/>
            <w:shd w:fill="F5F7F9"/>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6"/>
              </w:rPr>
              <w:t>上电：待机状态</w:t>
            </w:r>
          </w:p>
        </w:tc>
        <w:tc>
          <w:tcPr>
            <w:tcW w:type="dxa" w:w="2664"/>
            <w:shd w:fill="F5F7F9"/>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6"/>
              </w:rPr>
              <w:t>设备上电后保持待机，并尝试手动转动同步轮。</w:t>
            </w:r>
          </w:p>
        </w:tc>
        <w:tc>
          <w:tcPr>
            <w:tcW w:type="dxa" w:w="2448"/>
            <w:shd w:fill="F5F7F9"/>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6"/>
              </w:rPr>
              <w:t>电机区域持续嗡鸣；同步轮仍可带动电机，阻力较断电时稍大，现场手动感受到的保持力不明显。</w:t>
            </w:r>
          </w:p>
        </w:tc>
        <w:tc>
          <w:tcPr>
            <w:tcW w:type="dxa" w:w="3024"/>
            <w:shd w:fill="F5F7F9"/>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6"/>
              </w:rPr>
              <w:t>提示驱动电气链路可能异常，但不能仅凭声音和手感确定故障部件。</w:t>
            </w:r>
          </w:p>
        </w:tc>
      </w:tr>
      <w:tr>
        <w:trPr>
          <w:cantSplit/>
          <w:trHeight w:val="1181" w:hRule="atLeast"/>
        </w:trPr>
        <w:tc>
          <w:tcPr>
            <w:tcW w:type="dxa" w:w="1800"/>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6"/>
              </w:rPr>
              <w:t>上电：手动上、下行</w:t>
            </w:r>
          </w:p>
        </w:tc>
        <w:tc>
          <w:tcPr>
            <w:tcW w:type="dxa" w:w="2664"/>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6"/>
              </w:rPr>
              <w:t>切换手动模式，分别执行上行和下行操作。</w:t>
            </w:r>
          </w:p>
        </w:tc>
        <w:tc>
          <w:tcPr>
            <w:tcW w:type="dxa" w:w="2448"/>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6"/>
              </w:rPr>
              <w:t>未观察到电机、线盘或链条形成有效运动，但界面位置数值发生变化。</w:t>
            </w:r>
          </w:p>
        </w:tc>
        <w:tc>
          <w:tcPr>
            <w:tcW w:type="dxa" w:w="3024"/>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6"/>
              </w:rPr>
              <w:t>位置显示变化不等于实际位移；其生成和反馈逻辑需结合原始信号及SI原厂说明确认。</w:t>
            </w:r>
          </w:p>
        </w:tc>
      </w:tr>
    </w:tbl>
    <w:p>
      <w:pPr>
        <w:spacing w:after="20"/>
      </w:pPr>
    </w:p>
    <w:p>
      <w:pPr>
        <w:pStyle w:val="BodyText"/>
      </w:pPr>
      <w:r>
        <w:rPr>
          <w:rFonts w:ascii="Arial" w:hAnsi="Arial" w:eastAsia="Microsoft YaHei"/>
          <w:b/>
          <w:color w:val="222222"/>
          <w:sz w:val="21"/>
        </w:rPr>
        <w:t xml:space="preserve">特别说明  </w:t>
      </w:r>
      <w:r>
        <w:rPr>
          <w:rFonts w:ascii="Arial" w:hAnsi="Arial" w:eastAsia="SimSun"/>
          <w:color w:val="222222"/>
          <w:sz w:val="21"/>
        </w:rPr>
        <w:t>界面位置数值在机构未实际运动时仍发生变化，说明该数值不能单独作为机械位移证据。该现象可能与指令步数、软件估算或其他内部计数有关，但目前不能据此确定界面位置数值的来源、计算方式及其与运动反馈的关系。</w:t>
      </w:r>
    </w:p>
    <w:p>
      <w:pPr>
        <w:pStyle w:val="Heading1"/>
        <w:keepNext/>
        <w:pageBreakBefore/>
      </w:pPr>
      <w:r>
        <w:t>5 现象分析与初步判断</w:t>
      </w:r>
    </w:p>
    <w:tbl>
      <w:tblPr>
        <w:tblW w:type="dxa" w:w="9936"/>
        <w:jc w:val="center"/>
        <w:tblLayout w:type="fixed"/>
        <w:tblLook w:firstColumn="1" w:firstRow="1" w:lastColumn="0" w:lastRow="0" w:noHBand="0" w:noVBand="1" w:val="04A0"/>
        <w:tblBorders>
          <w:top w:val="single" w:sz="6" w:space="0" w:color="C9D2DA"/>
          <w:left w:val="single" w:sz="6" w:space="0" w:color="C9D2DA"/>
          <w:bottom w:val="single" w:sz="6" w:space="0" w:color="C9D2DA"/>
          <w:right w:val="single" w:sz="6" w:space="0" w:color="C9D2DA"/>
          <w:insideH w:val="single" w:sz="6" w:space="0" w:color="C9D2DA"/>
          <w:insideV w:val="single" w:sz="6" w:space="0" w:color="C9D2DA"/>
        </w:tblBorders>
        <w:tblCaption w:val="初步故障方向分析"/>
        <w:tblDescription w:val="按照现有现场证据排列故障方向并列出仍需取得的验证证据"/>
        <w:tblInd w:w="100" w:type="dxa"/>
      </w:tblPr>
      <w:tblGrid>
        <w:gridCol w:w="1037"/>
        <w:gridCol w:w="2333"/>
        <w:gridCol w:w="3096"/>
        <w:gridCol w:w="3470"/>
      </w:tblGrid>
      <w:tr>
        <w:trPr>
          <w:tblHeader w:val="true"/>
          <w:cantSplit/>
        </w:trPr>
        <w:tc>
          <w:tcPr>
            <w:tcW w:type="dxa" w:w="1037"/>
            <w:shd w:fill="1F4E78"/>
            <w:vAlign w:val="center"/>
            <w:tcMar>
              <w:top w:w="70" w:type="dxa"/>
              <w:start w:w="100" w:type="dxa"/>
              <w:bottom w:w="70" w:type="dxa"/>
              <w:end w:w="100" w:type="dxa"/>
            </w:tcMar>
          </w:tcPr>
          <w:p>
            <w:pPr>
              <w:spacing w:before="0" w:after="0" w:line="269" w:lineRule="auto"/>
              <w:jc w:val="center"/>
            </w:pPr>
            <w:r>
              <w:rPr>
                <w:rFonts w:ascii="Arial" w:hAnsi="Arial" w:eastAsia="Microsoft YaHei"/>
                <w:b/>
                <w:color w:val="FFFFFF"/>
                <w:sz w:val="18"/>
              </w:rPr>
              <w:t>优先级</w:t>
            </w:r>
          </w:p>
        </w:tc>
        <w:tc>
          <w:tcPr>
            <w:tcW w:type="dxa" w:w="2333"/>
            <w:shd w:fill="1F4E78"/>
            <w:vAlign w:val="center"/>
            <w:tcMar>
              <w:top w:w="70" w:type="dxa"/>
              <w:start w:w="100" w:type="dxa"/>
              <w:bottom w:w="70" w:type="dxa"/>
              <w:end w:w="100" w:type="dxa"/>
            </w:tcMar>
          </w:tcPr>
          <w:p>
            <w:pPr>
              <w:spacing w:before="0" w:after="0" w:line="269" w:lineRule="auto"/>
              <w:jc w:val="center"/>
            </w:pPr>
            <w:r>
              <w:rPr>
                <w:rFonts w:ascii="Arial" w:hAnsi="Arial" w:eastAsia="Microsoft YaHei"/>
                <w:b/>
                <w:color w:val="FFFFFF"/>
                <w:sz w:val="18"/>
              </w:rPr>
              <w:t>可能方向</w:t>
            </w:r>
          </w:p>
        </w:tc>
        <w:tc>
          <w:tcPr>
            <w:tcW w:type="dxa" w:w="3096"/>
            <w:shd w:fill="1F4E78"/>
            <w:vAlign w:val="center"/>
            <w:tcMar>
              <w:top w:w="70" w:type="dxa"/>
              <w:start w:w="100" w:type="dxa"/>
              <w:bottom w:w="70" w:type="dxa"/>
              <w:end w:w="100" w:type="dxa"/>
            </w:tcMar>
          </w:tcPr>
          <w:p>
            <w:pPr>
              <w:spacing w:before="0" w:after="0" w:line="269" w:lineRule="auto"/>
              <w:jc w:val="center"/>
            </w:pPr>
            <w:r>
              <w:rPr>
                <w:rFonts w:ascii="Arial" w:hAnsi="Arial" w:eastAsia="Microsoft YaHei"/>
                <w:b/>
                <w:color w:val="FFFFFF"/>
                <w:sz w:val="18"/>
              </w:rPr>
              <w:t>支持现象</w:t>
            </w:r>
          </w:p>
        </w:tc>
        <w:tc>
          <w:tcPr>
            <w:tcW w:type="dxa" w:w="3470"/>
            <w:shd w:fill="1F4E78"/>
            <w:vAlign w:val="center"/>
            <w:tcMar>
              <w:top w:w="70" w:type="dxa"/>
              <w:start w:w="100" w:type="dxa"/>
              <w:bottom w:w="70" w:type="dxa"/>
              <w:end w:w="100" w:type="dxa"/>
            </w:tcMar>
          </w:tcPr>
          <w:p>
            <w:pPr>
              <w:spacing w:before="0" w:after="0" w:line="269" w:lineRule="auto"/>
              <w:jc w:val="center"/>
            </w:pPr>
            <w:r>
              <w:rPr>
                <w:rFonts w:ascii="Arial" w:hAnsi="Arial" w:eastAsia="Microsoft YaHei"/>
                <w:b/>
                <w:color w:val="FFFFFF"/>
                <w:sz w:val="18"/>
              </w:rPr>
              <w:t>尚缺证据与验证重点</w:t>
            </w:r>
          </w:p>
        </w:tc>
      </w:tr>
      <w:tr>
        <w:trPr>
          <w:cantSplit/>
          <w:trHeight w:val="1181" w:hRule="atLeast"/>
        </w:trPr>
        <w:tc>
          <w:tcPr>
            <w:tcW w:type="dxa" w:w="1037"/>
            <w:vAlign w:val="center"/>
            <w:tcMar>
              <w:top w:w="70" w:type="dxa"/>
              <w:start w:w="100" w:type="dxa"/>
              <w:bottom w:w="70" w:type="dxa"/>
              <w:end w:w="100" w:type="dxa"/>
            </w:tcMar>
          </w:tcPr>
          <w:p>
            <w:pPr>
              <w:spacing w:before="0" w:after="0" w:line="269" w:lineRule="auto"/>
              <w:jc w:val="center"/>
            </w:pPr>
            <w:r>
              <w:rPr>
                <w:rFonts w:ascii="Arial" w:hAnsi="Arial" w:eastAsia="SimSun"/>
                <w:color w:val="222222"/>
                <w:sz w:val="16"/>
              </w:rPr>
              <w:t>高</w:t>
            </w:r>
          </w:p>
        </w:tc>
        <w:tc>
          <w:tcPr>
            <w:tcW w:type="dxa" w:w="2333"/>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6"/>
              </w:rPr>
              <w:t>电机驱动电气链路异常</w:t>
            </w:r>
          </w:p>
        </w:tc>
        <w:tc>
          <w:tcPr>
            <w:tcW w:type="dxa" w:w="3096"/>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6"/>
              </w:rPr>
              <w:t>上电即有嗡鸣；运动指令下无实际运动；现场手动感受到的保持力不明显。</w:t>
            </w:r>
          </w:p>
        </w:tc>
        <w:tc>
          <w:tcPr>
            <w:tcW w:type="dxa" w:w="3470"/>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6"/>
              </w:rPr>
              <w:t>测量驱动供电、使能、输出波形或相电流及故障状态；检查主控板驱动级。</w:t>
            </w:r>
          </w:p>
        </w:tc>
      </w:tr>
      <w:tr>
        <w:trPr>
          <w:cantSplit/>
          <w:trHeight w:val="1181" w:hRule="atLeast"/>
        </w:trPr>
        <w:tc>
          <w:tcPr>
            <w:tcW w:type="dxa" w:w="1037"/>
            <w:shd w:fill="F5F7F9"/>
            <w:vAlign w:val="center"/>
            <w:tcMar>
              <w:top w:w="70" w:type="dxa"/>
              <w:start w:w="100" w:type="dxa"/>
              <w:bottom w:w="70" w:type="dxa"/>
              <w:end w:w="100" w:type="dxa"/>
            </w:tcMar>
          </w:tcPr>
          <w:p>
            <w:pPr>
              <w:spacing w:before="0" w:after="0" w:line="269" w:lineRule="auto"/>
              <w:jc w:val="center"/>
            </w:pPr>
            <w:r>
              <w:rPr>
                <w:rFonts w:ascii="Arial" w:hAnsi="Arial" w:eastAsia="SimSun"/>
                <w:color w:val="222222"/>
                <w:sz w:val="16"/>
              </w:rPr>
              <w:t>高</w:t>
            </w:r>
          </w:p>
        </w:tc>
        <w:tc>
          <w:tcPr>
            <w:tcW w:type="dxa" w:w="2333"/>
            <w:shd w:fill="F5F7F9"/>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6"/>
              </w:rPr>
              <w:t>电机相线、连接器或绕组异常</w:t>
            </w:r>
          </w:p>
        </w:tc>
        <w:tc>
          <w:tcPr>
            <w:tcW w:type="dxa" w:w="3096"/>
            <w:shd w:fill="F5F7F9"/>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6"/>
              </w:rPr>
              <w:t>相线断路、接触不良、输出不平衡或绕组异常均可能造成嗡鸣、低转矩和不转。</w:t>
            </w:r>
          </w:p>
        </w:tc>
        <w:tc>
          <w:tcPr>
            <w:tcW w:type="dxa" w:w="3470"/>
            <w:shd w:fill="F5F7F9"/>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6"/>
              </w:rPr>
              <w:t>按原厂接线图检查线缆连续性、端子接触和各绕组电阻平衡；必要时与合格件对比。</w:t>
            </w:r>
          </w:p>
        </w:tc>
      </w:tr>
      <w:tr>
        <w:trPr>
          <w:cantSplit/>
          <w:trHeight w:val="1181" w:hRule="atLeast"/>
        </w:trPr>
        <w:tc>
          <w:tcPr>
            <w:tcW w:type="dxa" w:w="1037"/>
            <w:vAlign w:val="center"/>
            <w:tcMar>
              <w:top w:w="70" w:type="dxa"/>
              <w:start w:w="100" w:type="dxa"/>
              <w:bottom w:w="70" w:type="dxa"/>
              <w:end w:w="100" w:type="dxa"/>
            </w:tcMar>
          </w:tcPr>
          <w:p>
            <w:pPr>
              <w:spacing w:before="0" w:after="0" w:line="269" w:lineRule="auto"/>
              <w:jc w:val="center"/>
            </w:pPr>
            <w:r>
              <w:rPr>
                <w:rFonts w:ascii="Arial" w:hAnsi="Arial" w:eastAsia="SimSun"/>
                <w:color w:val="222222"/>
                <w:sz w:val="16"/>
              </w:rPr>
              <w:t>中</w:t>
            </w:r>
          </w:p>
        </w:tc>
        <w:tc>
          <w:tcPr>
            <w:tcW w:type="dxa" w:w="2333"/>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6"/>
              </w:rPr>
              <w:t>全行程间歇性卡滞或异常负载</w:t>
            </w:r>
          </w:p>
        </w:tc>
        <w:tc>
          <w:tcPr>
            <w:tcW w:type="dxa" w:w="3096"/>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6"/>
              </w:rPr>
              <w:t>局部盘车正常，但本次没有覆盖全部链条、尺带、导向及隐蔽行程。</w:t>
            </w:r>
          </w:p>
        </w:tc>
        <w:tc>
          <w:tcPr>
            <w:tcW w:type="dxa" w:w="3470"/>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6"/>
              </w:rPr>
              <w:t>脱离驱动后分段检查全路径阻力，并记录阻力或运行电流随位置的变化。</w:t>
            </w:r>
          </w:p>
        </w:tc>
      </w:tr>
      <w:tr>
        <w:trPr>
          <w:cantSplit/>
          <w:trHeight w:val="1181" w:hRule="atLeast"/>
        </w:trPr>
        <w:tc>
          <w:tcPr>
            <w:tcW w:type="dxa" w:w="1037"/>
            <w:shd w:fill="F5F7F9"/>
            <w:vAlign w:val="center"/>
            <w:tcMar>
              <w:top w:w="70" w:type="dxa"/>
              <w:start w:w="100" w:type="dxa"/>
              <w:bottom w:w="70" w:type="dxa"/>
              <w:end w:w="100" w:type="dxa"/>
            </w:tcMar>
          </w:tcPr>
          <w:p>
            <w:pPr>
              <w:spacing w:before="0" w:after="0" w:line="269" w:lineRule="auto"/>
              <w:jc w:val="center"/>
            </w:pPr>
            <w:r>
              <w:rPr>
                <w:rFonts w:ascii="Arial" w:hAnsi="Arial" w:eastAsia="SimSun"/>
                <w:color w:val="222222"/>
                <w:sz w:val="16"/>
              </w:rPr>
              <w:t>中</w:t>
            </w:r>
          </w:p>
        </w:tc>
        <w:tc>
          <w:tcPr>
            <w:tcW w:type="dxa" w:w="2333"/>
            <w:shd w:fill="F5F7F9"/>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6"/>
              </w:rPr>
              <w:t>反向能量回灌或供电异常</w:t>
            </w:r>
          </w:p>
        </w:tc>
        <w:tc>
          <w:tcPr>
            <w:tcW w:type="dxa" w:w="3096"/>
            <w:shd w:fill="F5F7F9"/>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6"/>
              </w:rPr>
              <w:t>断电盘车时屏幕短暂点亮，提示电机被动发电后能量可能进入供电或逻辑回路。</w:t>
            </w:r>
          </w:p>
        </w:tc>
        <w:tc>
          <w:tcPr>
            <w:tcW w:type="dxa" w:w="3470"/>
            <w:shd w:fill="F5F7F9"/>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6"/>
              </w:rPr>
              <w:t>在批准的受控条件下测量母线和逻辑电源瞬态，核对隔离、钳位及过压保护路径。</w:t>
            </w:r>
          </w:p>
        </w:tc>
      </w:tr>
      <w:tr>
        <w:trPr>
          <w:cantSplit/>
          <w:trHeight w:val="1181" w:hRule="atLeast"/>
        </w:trPr>
        <w:tc>
          <w:tcPr>
            <w:tcW w:type="dxa" w:w="1037"/>
            <w:vAlign w:val="center"/>
            <w:tcMar>
              <w:top w:w="70" w:type="dxa"/>
              <w:start w:w="100" w:type="dxa"/>
              <w:bottom w:w="70" w:type="dxa"/>
              <w:end w:w="100" w:type="dxa"/>
            </w:tcMar>
          </w:tcPr>
          <w:p>
            <w:pPr>
              <w:spacing w:before="0" w:after="0" w:line="269" w:lineRule="auto"/>
              <w:jc w:val="center"/>
            </w:pPr>
            <w:r>
              <w:rPr>
                <w:rFonts w:ascii="Arial" w:hAnsi="Arial" w:eastAsia="SimSun"/>
                <w:color w:val="222222"/>
                <w:sz w:val="16"/>
              </w:rPr>
              <w:t>待确认</w:t>
            </w:r>
          </w:p>
        </w:tc>
        <w:tc>
          <w:tcPr>
            <w:tcW w:type="dxa" w:w="2333"/>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6"/>
              </w:rPr>
              <w:t>位置显示与实际运动不同步</w:t>
            </w:r>
          </w:p>
        </w:tc>
        <w:tc>
          <w:tcPr>
            <w:tcW w:type="dxa" w:w="3096"/>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6"/>
              </w:rPr>
              <w:t>机构无可见运动时，界面位置数值仍变化。</w:t>
            </w:r>
          </w:p>
        </w:tc>
        <w:tc>
          <w:tcPr>
            <w:tcW w:type="dxa" w:w="3470"/>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6"/>
              </w:rPr>
              <w:t>同步记录真实运动、指令、位置数值和原始运动反馈，确认位置计算及报警判定逻辑。</w:t>
            </w:r>
          </w:p>
        </w:tc>
      </w:tr>
    </w:tbl>
    <w:p>
      <w:pPr>
        <w:spacing w:after="20"/>
      </w:pPr>
    </w:p>
    <w:p>
      <w:pPr>
        <w:pStyle w:val="BodyText"/>
      </w:pPr>
      <w:r>
        <w:rPr>
          <w:rFonts w:ascii="Arial" w:hAnsi="Arial" w:eastAsia="Microsoft YaHei"/>
          <w:b/>
          <w:color w:val="222222"/>
          <w:sz w:val="21"/>
        </w:rPr>
        <w:t xml:space="preserve">综合判断  </w:t>
      </w:r>
      <w:r>
        <w:rPr>
          <w:rFonts w:ascii="Arial" w:hAnsi="Arial" w:eastAsia="SimSun"/>
          <w:color w:val="222222"/>
          <w:sz w:val="21"/>
        </w:rPr>
        <w:t>当前最优先的排查对象是主控板驱动输出至电机绕组之间的完整电气链路。主控板驱动损坏或相线异常属于合理假设，但在取得驱动波形、相电流、绕组和线缆测量结果前，不能作为最终根因。</w:t>
      </w:r>
    </w:p>
    <w:p>
      <w:pPr>
        <w:pStyle w:val="Heading1"/>
        <w:keepNext/>
        <w:pageBreakBefore w:val="0"/>
      </w:pPr>
      <w:r>
        <w:t>6 当前限制及尚未排除的原因</w:t>
      </w:r>
    </w:p>
    <w:p>
      <w:pPr>
        <w:pStyle w:val="ListBullet"/>
        <w:spacing w:after="80"/>
        <w:ind w:left="403" w:hanging="245"/>
      </w:pPr>
      <w:r>
        <w:rPr>
          <w:rFonts w:ascii="Arial" w:hAnsi="Arial" w:eastAsia="SimSun"/>
          <w:color w:val="222222"/>
          <w:sz w:val="21"/>
        </w:rPr>
        <w:t>本次机械检查只覆盖可操作的一小段链条和可视范围，未检查完整尺带、全部导向部位和全行程负载。</w:t>
      </w:r>
    </w:p>
    <w:p>
      <w:pPr>
        <w:pStyle w:val="ListBullet"/>
        <w:spacing w:after="80"/>
        <w:ind w:left="403" w:hanging="245"/>
      </w:pPr>
      <w:r>
        <w:rPr>
          <w:rFonts w:ascii="Arial" w:hAnsi="Arial" w:eastAsia="SimSun"/>
          <w:color w:val="222222"/>
          <w:sz w:val="21"/>
        </w:rPr>
        <w:t>本次未记录驱动电源、使能、输出波形、相电流、故障状态或电机绕组参数，电气故障点尚未定位。</w:t>
      </w:r>
    </w:p>
    <w:p>
      <w:pPr>
        <w:pStyle w:val="ListBullet"/>
        <w:spacing w:after="80"/>
        <w:ind w:left="403" w:hanging="245"/>
      </w:pPr>
      <w:r>
        <w:rPr>
          <w:rFonts w:ascii="Arial" w:hAnsi="Arial" w:eastAsia="SimSun"/>
          <w:color w:val="222222"/>
          <w:sz w:val="21"/>
        </w:rPr>
        <w:t>断电盘车导致屏幕短暂点亮，只能证明存在反向供能迹象；不能直接说明电机防护设计不合格，也不能据此认定电机已经或将被烧毁。</w:t>
      </w:r>
    </w:p>
    <w:p>
      <w:pPr>
        <w:pStyle w:val="ListBullet"/>
        <w:spacing w:after="80"/>
        <w:ind w:left="403" w:hanging="245"/>
      </w:pPr>
      <w:r>
        <w:rPr>
          <w:rFonts w:ascii="Arial" w:hAnsi="Arial" w:eastAsia="SimSun"/>
          <w:color w:val="222222"/>
          <w:sz w:val="21"/>
        </w:rPr>
        <w:t>界面位置变化不能证明传感器或尺带已经移动，界面位置数值的来源、计算方式及其与运动反馈的关系需由原厂资料或同步测试确认。</w:t>
      </w:r>
    </w:p>
    <w:p>
      <w:pPr>
        <w:pStyle w:val="ListBullet"/>
        <w:spacing w:after="80"/>
        <w:ind w:left="403" w:hanging="245"/>
      </w:pPr>
      <w:r>
        <w:rPr>
          <w:rFonts w:ascii="Arial" w:hAnsi="Arial" w:eastAsia="SimSun"/>
          <w:color w:val="222222"/>
          <w:sz w:val="21"/>
        </w:rPr>
        <w:t>维修次数、主控板更换日期和期间实际测量次数目前主要来自现场口述，最终应以维修工单和运行日志为准。</w:t>
      </w:r>
    </w:p>
    <w:p>
      <w:pPr>
        <w:pStyle w:val="Heading1"/>
        <w:keepNext/>
        <w:pageBreakBefore/>
      </w:pPr>
      <w:r>
        <w:t>7 后续验证与处理建议</w:t>
      </w:r>
    </w:p>
    <w:p>
      <w:pPr>
        <w:pStyle w:val="BodyText"/>
      </w:pPr>
      <w:r>
        <w:rPr>
          <w:rFonts w:ascii="Arial" w:hAnsi="Arial" w:eastAsia="SimSun"/>
          <w:color w:val="222222"/>
          <w:sz w:val="21"/>
        </w:rPr>
        <w:t>后续工作应由具备相应资质的人员，在满足现场作业许可、防爆、电气隔离及SI原厂维护要求的前提下实施。未完成检查前，不建议反复下发上、下行指令，不得通过禁用线盘报警或短接反馈信号维持运行。</w:t>
      </w:r>
    </w:p>
    <w:tbl>
      <w:tblPr>
        <w:tblW w:type="dxa" w:w="9936"/>
        <w:jc w:val="center"/>
        <w:tblLayout w:type="fixed"/>
        <w:tblLook w:firstColumn="1" w:firstRow="1" w:lastColumn="0" w:lastRow="0" w:noHBand="0" w:noVBand="1" w:val="04A0"/>
        <w:tblBorders>
          <w:top w:val="single" w:sz="6" w:space="0" w:color="C9D2DA"/>
          <w:left w:val="single" w:sz="6" w:space="0" w:color="C9D2DA"/>
          <w:bottom w:val="single" w:sz="6" w:space="0" w:color="C9D2DA"/>
          <w:right w:val="single" w:sz="6" w:space="0" w:color="C9D2DA"/>
          <w:insideH w:val="single" w:sz="6" w:space="0" w:color="C9D2DA"/>
          <w:insideV w:val="single" w:sz="6" w:space="0" w:color="C9D2DA"/>
        </w:tblBorders>
        <w:tblCaption w:val="后续验证与处理顺序"/>
        <w:tblDescription w:val="从证据冻结、电气检查、动态测量到机械全行程和故障件分析的建议顺序"/>
        <w:tblInd w:w="100" w:type="dxa"/>
      </w:tblPr>
      <w:tblGrid>
        <w:gridCol w:w="792"/>
        <w:gridCol w:w="6120"/>
        <w:gridCol w:w="3024"/>
      </w:tblGrid>
      <w:tr>
        <w:trPr>
          <w:tblHeader w:val="true"/>
          <w:cantSplit/>
        </w:trPr>
        <w:tc>
          <w:tcPr>
            <w:tcW w:type="dxa" w:w="792"/>
            <w:shd w:fill="1F4E78"/>
            <w:vAlign w:val="center"/>
            <w:tcMar>
              <w:top w:w="70" w:type="dxa"/>
              <w:start w:w="100" w:type="dxa"/>
              <w:bottom w:w="70" w:type="dxa"/>
              <w:end w:w="100" w:type="dxa"/>
            </w:tcMar>
          </w:tcPr>
          <w:p>
            <w:pPr>
              <w:spacing w:before="0" w:after="0" w:line="269" w:lineRule="auto"/>
              <w:jc w:val="center"/>
            </w:pPr>
            <w:r>
              <w:rPr>
                <w:rFonts w:ascii="Arial" w:hAnsi="Arial" w:eastAsia="Microsoft YaHei"/>
                <w:b/>
                <w:color w:val="FFFFFF"/>
                <w:sz w:val="18"/>
              </w:rPr>
              <w:t>顺序</w:t>
            </w:r>
          </w:p>
        </w:tc>
        <w:tc>
          <w:tcPr>
            <w:tcW w:type="dxa" w:w="6120"/>
            <w:shd w:fill="1F4E78"/>
            <w:vAlign w:val="center"/>
            <w:tcMar>
              <w:top w:w="70" w:type="dxa"/>
              <w:start w:w="100" w:type="dxa"/>
              <w:bottom w:w="70" w:type="dxa"/>
              <w:end w:w="100" w:type="dxa"/>
            </w:tcMar>
          </w:tcPr>
          <w:p>
            <w:pPr>
              <w:spacing w:before="0" w:after="0" w:line="269" w:lineRule="auto"/>
              <w:jc w:val="center"/>
            </w:pPr>
            <w:r>
              <w:rPr>
                <w:rFonts w:ascii="Arial" w:hAnsi="Arial" w:eastAsia="Microsoft YaHei"/>
                <w:b/>
                <w:color w:val="FFFFFF"/>
                <w:sz w:val="18"/>
              </w:rPr>
              <w:t>建议工作</w:t>
            </w:r>
          </w:p>
        </w:tc>
        <w:tc>
          <w:tcPr>
            <w:tcW w:type="dxa" w:w="3024"/>
            <w:shd w:fill="1F4E78"/>
            <w:vAlign w:val="center"/>
            <w:tcMar>
              <w:top w:w="70" w:type="dxa"/>
              <w:start w:w="100" w:type="dxa"/>
              <w:bottom w:w="70" w:type="dxa"/>
              <w:end w:w="100" w:type="dxa"/>
            </w:tcMar>
          </w:tcPr>
          <w:p>
            <w:pPr>
              <w:spacing w:before="0" w:after="0" w:line="269" w:lineRule="auto"/>
              <w:jc w:val="center"/>
            </w:pPr>
            <w:r>
              <w:rPr>
                <w:rFonts w:ascii="Arial" w:hAnsi="Arial" w:eastAsia="Microsoft YaHei"/>
                <w:b/>
                <w:color w:val="FFFFFF"/>
                <w:sz w:val="18"/>
              </w:rPr>
              <w:t>应形成的证据或判定</w:t>
            </w:r>
          </w:p>
        </w:tc>
      </w:tr>
      <w:tr>
        <w:trPr>
          <w:cantSplit/>
          <w:trHeight w:val="1051" w:hRule="atLeast"/>
        </w:trPr>
        <w:tc>
          <w:tcPr>
            <w:tcW w:type="dxa" w:w="792"/>
            <w:vAlign w:val="center"/>
            <w:tcMar>
              <w:top w:w="70" w:type="dxa"/>
              <w:start w:w="100" w:type="dxa"/>
              <w:bottom w:w="70" w:type="dxa"/>
              <w:end w:w="100" w:type="dxa"/>
            </w:tcMar>
          </w:tcPr>
          <w:p>
            <w:pPr>
              <w:spacing w:before="0" w:after="0" w:line="269" w:lineRule="auto"/>
              <w:jc w:val="center"/>
            </w:pPr>
            <w:r>
              <w:rPr>
                <w:rFonts w:ascii="Arial" w:hAnsi="Arial" w:eastAsia="SimSun"/>
                <w:color w:val="222222"/>
                <w:sz w:val="16"/>
              </w:rPr>
              <w:t>1</w:t>
            </w:r>
          </w:p>
        </w:tc>
        <w:tc>
          <w:tcPr>
            <w:tcW w:type="dxa" w:w="6120"/>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6"/>
              </w:rPr>
              <w:t>冻结并导出本次报警前后的操作日志、报警记录、位置趋势和设备状态；核对主控板更换工单及软件版本。</w:t>
            </w:r>
          </w:p>
        </w:tc>
        <w:tc>
          <w:tcPr>
            <w:tcW w:type="dxa" w:w="3024"/>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6"/>
              </w:rPr>
              <w:t>形成可追溯时间线，确认三次处置内容和本次报警的准确时序。</w:t>
            </w:r>
          </w:p>
        </w:tc>
      </w:tr>
      <w:tr>
        <w:trPr>
          <w:cantSplit/>
          <w:trHeight w:val="1051" w:hRule="atLeast"/>
        </w:trPr>
        <w:tc>
          <w:tcPr>
            <w:tcW w:type="dxa" w:w="792"/>
            <w:shd w:fill="F5F7F9"/>
            <w:vAlign w:val="center"/>
            <w:tcMar>
              <w:top w:w="70" w:type="dxa"/>
              <w:start w:w="100" w:type="dxa"/>
              <w:bottom w:w="70" w:type="dxa"/>
              <w:end w:w="100" w:type="dxa"/>
            </w:tcMar>
          </w:tcPr>
          <w:p>
            <w:pPr>
              <w:spacing w:before="0" w:after="0" w:line="269" w:lineRule="auto"/>
              <w:jc w:val="center"/>
            </w:pPr>
            <w:r>
              <w:rPr>
                <w:rFonts w:ascii="Arial" w:hAnsi="Arial" w:eastAsia="SimSun"/>
                <w:color w:val="222222"/>
                <w:sz w:val="16"/>
              </w:rPr>
              <w:t>2</w:t>
            </w:r>
          </w:p>
        </w:tc>
        <w:tc>
          <w:tcPr>
            <w:tcW w:type="dxa" w:w="6120"/>
            <w:shd w:fill="F5F7F9"/>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6"/>
              </w:rPr>
              <w:t>设备停电并完成隔离后，按原厂接线图检查电机相线、插头端子、线缆连续性、接触状态及绕组电阻平衡。涉及绝缘测试时，应先与电子驱动部分可靠断开，并遵循原厂允许的测试方法。</w:t>
            </w:r>
          </w:p>
        </w:tc>
        <w:tc>
          <w:tcPr>
            <w:tcW w:type="dxa" w:w="3024"/>
            <w:shd w:fill="F5F7F9"/>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6"/>
              </w:rPr>
              <w:t>确认是否存在断路、接触不良、阻值异常或对地异常，避免测试损伤电子部件。</w:t>
            </w:r>
          </w:p>
        </w:tc>
      </w:tr>
      <w:tr>
        <w:trPr>
          <w:cantSplit/>
          <w:trHeight w:val="1051" w:hRule="atLeast"/>
        </w:trPr>
        <w:tc>
          <w:tcPr>
            <w:tcW w:type="dxa" w:w="792"/>
            <w:vAlign w:val="center"/>
            <w:tcMar>
              <w:top w:w="70" w:type="dxa"/>
              <w:start w:w="100" w:type="dxa"/>
              <w:bottom w:w="70" w:type="dxa"/>
              <w:end w:w="100" w:type="dxa"/>
            </w:tcMar>
          </w:tcPr>
          <w:p>
            <w:pPr>
              <w:spacing w:before="0" w:after="0" w:line="269" w:lineRule="auto"/>
              <w:jc w:val="center"/>
            </w:pPr>
            <w:r>
              <w:rPr>
                <w:rFonts w:ascii="Arial" w:hAnsi="Arial" w:eastAsia="SimSun"/>
                <w:color w:val="222222"/>
                <w:sz w:val="16"/>
              </w:rPr>
              <w:t>3</w:t>
            </w:r>
          </w:p>
        </w:tc>
        <w:tc>
          <w:tcPr>
            <w:tcW w:type="dxa" w:w="6120"/>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6"/>
              </w:rPr>
              <w:t>在批准的点动或受控测试条件下，测量驱动供电、使能、输出波形或相电流及驱动故障状态，并对比上行、下行和待机工况。</w:t>
            </w:r>
          </w:p>
        </w:tc>
        <w:tc>
          <w:tcPr>
            <w:tcW w:type="dxa" w:w="3024"/>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6"/>
              </w:rPr>
              <w:t>判断驱动命令是否到达、驱动级是否输出以及各相输出是否平衡。</w:t>
            </w:r>
          </w:p>
        </w:tc>
      </w:tr>
      <w:tr>
        <w:trPr>
          <w:cantSplit/>
          <w:trHeight w:val="1051" w:hRule="atLeast"/>
        </w:trPr>
        <w:tc>
          <w:tcPr>
            <w:tcW w:type="dxa" w:w="792"/>
            <w:shd w:fill="F5F7F9"/>
            <w:vAlign w:val="center"/>
            <w:tcMar>
              <w:top w:w="70" w:type="dxa"/>
              <w:start w:w="100" w:type="dxa"/>
              <w:bottom w:w="70" w:type="dxa"/>
              <w:end w:w="100" w:type="dxa"/>
            </w:tcMar>
          </w:tcPr>
          <w:p>
            <w:pPr>
              <w:spacing w:before="0" w:after="0" w:line="269" w:lineRule="auto"/>
              <w:jc w:val="center"/>
            </w:pPr>
            <w:r>
              <w:rPr>
                <w:rFonts w:ascii="Arial" w:hAnsi="Arial" w:eastAsia="SimSun"/>
                <w:color w:val="222222"/>
                <w:sz w:val="16"/>
              </w:rPr>
              <w:t>4</w:t>
            </w:r>
          </w:p>
        </w:tc>
        <w:tc>
          <w:tcPr>
            <w:tcW w:type="dxa" w:w="6120"/>
            <w:shd w:fill="F5F7F9"/>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6"/>
              </w:rPr>
              <w:t>同步记录真实机械运动、界面位置数值、指令和原始运动反馈；必要时由SI原厂确认位置计算和线盘报警逻辑。</w:t>
            </w:r>
          </w:p>
        </w:tc>
        <w:tc>
          <w:tcPr>
            <w:tcW w:type="dxa" w:w="3024"/>
            <w:shd w:fill="F5F7F9"/>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6"/>
              </w:rPr>
              <w:t>解释“机构不动但位置变化”，确认显示值能否用于维修后的运动验证。</w:t>
            </w:r>
          </w:p>
        </w:tc>
      </w:tr>
      <w:tr>
        <w:trPr>
          <w:cantSplit/>
          <w:trHeight w:val="1051" w:hRule="atLeast"/>
        </w:trPr>
        <w:tc>
          <w:tcPr>
            <w:tcW w:type="dxa" w:w="792"/>
            <w:vAlign w:val="center"/>
            <w:tcMar>
              <w:top w:w="70" w:type="dxa"/>
              <w:start w:w="100" w:type="dxa"/>
              <w:bottom w:w="70" w:type="dxa"/>
              <w:end w:w="100" w:type="dxa"/>
            </w:tcMar>
          </w:tcPr>
          <w:p>
            <w:pPr>
              <w:spacing w:before="0" w:after="0" w:line="269" w:lineRule="auto"/>
              <w:jc w:val="center"/>
            </w:pPr>
            <w:r>
              <w:rPr>
                <w:rFonts w:ascii="Arial" w:hAnsi="Arial" w:eastAsia="SimSun"/>
                <w:color w:val="222222"/>
                <w:sz w:val="16"/>
              </w:rPr>
              <w:t>5</w:t>
            </w:r>
          </w:p>
        </w:tc>
        <w:tc>
          <w:tcPr>
            <w:tcW w:type="dxa" w:w="6120"/>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6"/>
              </w:rPr>
              <w:t>在SI认可的受控方案下，检查被动转动电机时的反向能量路径，并测量驱动母线和逻辑电源瞬态。</w:t>
            </w:r>
          </w:p>
        </w:tc>
        <w:tc>
          <w:tcPr>
            <w:tcW w:type="dxa" w:w="3024"/>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6"/>
              </w:rPr>
              <w:t>确认屏幕短暂点亮的供能路径、峰值及现有钳位或隔离措施是否工作。</w:t>
            </w:r>
          </w:p>
        </w:tc>
      </w:tr>
      <w:tr>
        <w:trPr>
          <w:cantSplit/>
          <w:trHeight w:val="1051" w:hRule="atLeast"/>
        </w:trPr>
        <w:tc>
          <w:tcPr>
            <w:tcW w:type="dxa" w:w="792"/>
            <w:shd w:fill="F5F7F9"/>
            <w:vAlign w:val="center"/>
            <w:tcMar>
              <w:top w:w="70" w:type="dxa"/>
              <w:start w:w="100" w:type="dxa"/>
              <w:bottom w:w="70" w:type="dxa"/>
              <w:end w:w="100" w:type="dxa"/>
            </w:tcMar>
          </w:tcPr>
          <w:p>
            <w:pPr>
              <w:spacing w:before="0" w:after="0" w:line="269" w:lineRule="auto"/>
              <w:jc w:val="center"/>
            </w:pPr>
            <w:r>
              <w:rPr>
                <w:rFonts w:ascii="Arial" w:hAnsi="Arial" w:eastAsia="SimSun"/>
                <w:color w:val="222222"/>
                <w:sz w:val="16"/>
              </w:rPr>
              <w:t>6</w:t>
            </w:r>
          </w:p>
        </w:tc>
        <w:tc>
          <w:tcPr>
            <w:tcW w:type="dxa" w:w="6120"/>
            <w:shd w:fill="F5F7F9"/>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6"/>
              </w:rPr>
              <w:t>将驱动与机械负载安全分离后，分段检查全部可达链条、尺带、齿轮、轴承、导向和全行程阻力；条件允许时记录运行电流或负载随位置变化。</w:t>
            </w:r>
          </w:p>
        </w:tc>
        <w:tc>
          <w:tcPr>
            <w:tcW w:type="dxa" w:w="3024"/>
            <w:shd w:fill="F5F7F9"/>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6"/>
              </w:rPr>
              <w:t>排除局部检查之外的间歇性卡滞、异常摩擦或峰值负载。</w:t>
            </w:r>
          </w:p>
        </w:tc>
      </w:tr>
      <w:tr>
        <w:trPr>
          <w:cantSplit/>
          <w:trHeight w:val="1051" w:hRule="atLeast"/>
        </w:trPr>
        <w:tc>
          <w:tcPr>
            <w:tcW w:type="dxa" w:w="792"/>
            <w:vAlign w:val="center"/>
            <w:tcMar>
              <w:top w:w="70" w:type="dxa"/>
              <w:start w:w="100" w:type="dxa"/>
              <w:bottom w:w="70" w:type="dxa"/>
              <w:end w:w="100" w:type="dxa"/>
            </w:tcMar>
          </w:tcPr>
          <w:p>
            <w:pPr>
              <w:spacing w:before="0" w:after="0" w:line="269" w:lineRule="auto"/>
              <w:jc w:val="center"/>
            </w:pPr>
            <w:r>
              <w:rPr>
                <w:rFonts w:ascii="Arial" w:hAnsi="Arial" w:eastAsia="SimSun"/>
                <w:color w:val="222222"/>
                <w:sz w:val="16"/>
              </w:rPr>
              <w:t>7</w:t>
            </w:r>
          </w:p>
        </w:tc>
        <w:tc>
          <w:tcPr>
            <w:tcW w:type="dxa" w:w="6120"/>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6"/>
              </w:rPr>
              <w:t>保留本次故障主控板及此前更换下来的主控板，开展失效部位检查并比对损伤特征；如需更换，先记录更换前测量值。</w:t>
            </w:r>
          </w:p>
        </w:tc>
        <w:tc>
          <w:tcPr>
            <w:tcW w:type="dxa" w:w="3024"/>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6"/>
              </w:rPr>
              <w:t>判断是否存在重复失效模式，并反查其与电机、线缆、机械负载、供电或回灌的关系。</w:t>
            </w:r>
          </w:p>
        </w:tc>
      </w:tr>
    </w:tbl>
    <w:p>
      <w:pPr>
        <w:spacing w:after="20"/>
      </w:pPr>
    </w:p>
    <w:p>
      <w:pPr>
        <w:pStyle w:val="Heading1"/>
        <w:keepNext/>
        <w:pageBreakBefore/>
      </w:pPr>
      <w:r>
        <w:t>8 恢复运行前的确认</w:t>
      </w:r>
    </w:p>
    <w:tbl>
      <w:tblPr>
        <w:tblW w:type="dxa" w:w="9936"/>
        <w:jc w:val="center"/>
        <w:tblLayout w:type="fixed"/>
        <w:tblLook w:firstColumn="1" w:firstRow="1" w:lastColumn="0" w:lastRow="0" w:noHBand="0" w:noVBand="1" w:val="04A0"/>
        <w:tblBorders>
          <w:top w:val="single" w:sz="6" w:space="0" w:color="C9D2DA"/>
          <w:left w:val="single" w:sz="6" w:space="0" w:color="C9D2DA"/>
          <w:bottom w:val="single" w:sz="6" w:space="0" w:color="C9D2DA"/>
          <w:right w:val="single" w:sz="6" w:space="0" w:color="C9D2DA"/>
          <w:insideH w:val="single" w:sz="6" w:space="0" w:color="C9D2DA"/>
          <w:insideV w:val="single" w:sz="6" w:space="0" w:color="C9D2DA"/>
        </w:tblBorders>
        <w:tblCaption w:val="恢复运行确认项目"/>
        <w:tblDescription w:val="恢复自动运行前需要确认的待机、电气、机械、反馈、报警和测量项目"/>
        <w:tblInd w:w="100" w:type="dxa"/>
      </w:tblPr>
      <w:tblGrid>
        <w:gridCol w:w="2232"/>
        <w:gridCol w:w="7704"/>
      </w:tblGrid>
      <w:tr>
        <w:trPr>
          <w:tblHeader w:val="true"/>
          <w:cantSplit/>
        </w:trPr>
        <w:tc>
          <w:tcPr>
            <w:tcW w:type="dxa" w:w="2232"/>
            <w:shd w:fill="1F4E78"/>
            <w:vAlign w:val="center"/>
            <w:tcMar>
              <w:top w:w="70" w:type="dxa"/>
              <w:start w:w="100" w:type="dxa"/>
              <w:bottom w:w="70" w:type="dxa"/>
              <w:end w:w="100" w:type="dxa"/>
            </w:tcMar>
          </w:tcPr>
          <w:p>
            <w:pPr>
              <w:spacing w:before="0" w:after="0" w:line="269" w:lineRule="auto"/>
              <w:jc w:val="center"/>
            </w:pPr>
            <w:r>
              <w:rPr>
                <w:rFonts w:ascii="Arial" w:hAnsi="Arial" w:eastAsia="Microsoft YaHei"/>
                <w:b/>
                <w:color w:val="FFFFFF"/>
                <w:sz w:val="18"/>
              </w:rPr>
              <w:t>确认项目</w:t>
            </w:r>
          </w:p>
        </w:tc>
        <w:tc>
          <w:tcPr>
            <w:tcW w:type="dxa" w:w="7704"/>
            <w:shd w:fill="1F4E78"/>
            <w:vAlign w:val="center"/>
            <w:tcMar>
              <w:top w:w="70" w:type="dxa"/>
              <w:start w:w="100" w:type="dxa"/>
              <w:bottom w:w="70" w:type="dxa"/>
              <w:end w:w="100" w:type="dxa"/>
            </w:tcMar>
          </w:tcPr>
          <w:p>
            <w:pPr>
              <w:spacing w:before="0" w:after="0" w:line="269" w:lineRule="auto"/>
              <w:jc w:val="center"/>
            </w:pPr>
            <w:r>
              <w:rPr>
                <w:rFonts w:ascii="Arial" w:hAnsi="Arial" w:eastAsia="Microsoft YaHei"/>
                <w:b/>
                <w:color w:val="FFFFFF"/>
                <w:sz w:val="18"/>
              </w:rPr>
              <w:t>恢复条件</w:t>
            </w:r>
          </w:p>
        </w:tc>
      </w:tr>
      <w:tr>
        <w:trPr>
          <w:cantSplit/>
          <w:trHeight w:val="749" w:hRule="atLeast"/>
        </w:trPr>
        <w:tc>
          <w:tcPr>
            <w:tcW w:type="dxa" w:w="2232"/>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8"/>
              </w:rPr>
              <w:t>待机与保持</w:t>
            </w:r>
          </w:p>
        </w:tc>
        <w:tc>
          <w:tcPr>
            <w:tcW w:type="dxa" w:w="7704"/>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8"/>
              </w:rPr>
              <w:t>设备待机时无异常持续嗡鸣；电机保持状态符合SI原厂要求。</w:t>
            </w:r>
          </w:p>
        </w:tc>
      </w:tr>
      <w:tr>
        <w:trPr>
          <w:cantSplit/>
          <w:trHeight w:val="749" w:hRule="atLeast"/>
        </w:trPr>
        <w:tc>
          <w:tcPr>
            <w:tcW w:type="dxa" w:w="2232"/>
            <w:shd w:fill="F5F7F9"/>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8"/>
              </w:rPr>
              <w:t>电气链路</w:t>
            </w:r>
          </w:p>
        </w:tc>
        <w:tc>
          <w:tcPr>
            <w:tcW w:type="dxa" w:w="7704"/>
            <w:shd w:fill="F5F7F9"/>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8"/>
              </w:rPr>
              <w:t>驱动供电、使能、输出、相线连接和电机绕组检查正常，运行中无异常故障状态。</w:t>
            </w:r>
          </w:p>
        </w:tc>
      </w:tr>
      <w:tr>
        <w:trPr>
          <w:cantSplit/>
          <w:trHeight w:val="749" w:hRule="atLeast"/>
        </w:trPr>
        <w:tc>
          <w:tcPr>
            <w:tcW w:type="dxa" w:w="2232"/>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8"/>
              </w:rPr>
              <w:t>机械全路径</w:t>
            </w:r>
          </w:p>
        </w:tc>
        <w:tc>
          <w:tcPr>
            <w:tcW w:type="dxa" w:w="7704"/>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8"/>
              </w:rPr>
              <w:t>在现场批准的验证范围内，链条、线盘、尺带和导向机构运行平稳，无异常阻力、异响或卡滞。</w:t>
            </w:r>
          </w:p>
        </w:tc>
      </w:tr>
      <w:tr>
        <w:trPr>
          <w:cantSplit/>
          <w:trHeight w:val="749" w:hRule="atLeast"/>
        </w:trPr>
        <w:tc>
          <w:tcPr>
            <w:tcW w:type="dxa" w:w="2232"/>
            <w:shd w:fill="F5F7F9"/>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8"/>
              </w:rPr>
              <w:t>运动与显示</w:t>
            </w:r>
          </w:p>
        </w:tc>
        <w:tc>
          <w:tcPr>
            <w:tcW w:type="dxa" w:w="7704"/>
            <w:shd w:fill="F5F7F9"/>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8"/>
              </w:rPr>
              <w:t>上行、下行和停止响应正确；真实运动、位置显示及运动反馈一致。</w:t>
            </w:r>
          </w:p>
        </w:tc>
      </w:tr>
      <w:tr>
        <w:trPr>
          <w:cantSplit/>
          <w:trHeight w:val="749" w:hRule="atLeast"/>
        </w:trPr>
        <w:tc>
          <w:tcPr>
            <w:tcW w:type="dxa" w:w="2232"/>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8"/>
              </w:rPr>
              <w:t>报警状态</w:t>
            </w:r>
          </w:p>
        </w:tc>
        <w:tc>
          <w:tcPr>
            <w:tcW w:type="dxa" w:w="7704"/>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8"/>
              </w:rPr>
              <w:t>线盘报警已经清除，线盘报警禁用功能未启用，受控验证过程中未再次出现报警。</w:t>
            </w:r>
          </w:p>
        </w:tc>
      </w:tr>
      <w:tr>
        <w:trPr>
          <w:cantSplit/>
          <w:trHeight w:val="749" w:hRule="atLeast"/>
        </w:trPr>
        <w:tc>
          <w:tcPr>
            <w:tcW w:type="dxa" w:w="2232"/>
            <w:shd w:fill="F5F7F9"/>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8"/>
              </w:rPr>
              <w:t>测量与交接</w:t>
            </w:r>
          </w:p>
        </w:tc>
        <w:tc>
          <w:tcPr>
            <w:tcW w:type="dxa" w:w="7704"/>
            <w:shd w:fill="F5F7F9"/>
            <w:vAlign w:val="center"/>
            <w:tcMar>
              <w:top w:w="70" w:type="dxa"/>
              <w:start w:w="100" w:type="dxa"/>
              <w:bottom w:w="70" w:type="dxa"/>
              <w:end w:w="100" w:type="dxa"/>
            </w:tcMar>
          </w:tcPr>
          <w:p>
            <w:pPr>
              <w:spacing w:before="0" w:after="0" w:line="269" w:lineRule="auto"/>
              <w:jc w:val="left"/>
            </w:pPr>
            <w:r>
              <w:rPr>
                <w:rFonts w:ascii="Arial" w:hAnsi="Arial" w:eastAsia="SimSun"/>
                <w:color w:val="222222"/>
                <w:sz w:val="18"/>
              </w:rPr>
              <w:t>完成一次现场允许的完整测量，核对设备本机与分布式控制系统（DCS）的关键状态和结果，并归档维修及测试记录。</w:t>
            </w:r>
          </w:p>
        </w:tc>
      </w:tr>
    </w:tbl>
    <w:p>
      <w:pPr>
        <w:spacing w:after="20"/>
      </w:pPr>
    </w:p>
    <w:p>
      <w:pPr>
        <w:pStyle w:val="BodyText"/>
      </w:pPr>
      <w:r>
        <w:rPr>
          <w:rFonts w:ascii="Arial" w:hAnsi="Arial" w:eastAsia="SimSun"/>
          <w:color w:val="222222"/>
          <w:sz w:val="21"/>
        </w:rPr>
        <w:t>若以上任一项目未满足，应保持设备停用或按现场批准的受限状态管理，不应仅通过复位报警或再次更换主控板判定故障已经消除。</w:t>
      </w:r>
    </w:p>
    <w:p>
      <w:pPr>
        <w:pStyle w:val="Heading1"/>
        <w:keepNext/>
        <w:pageBreakBefore w:val="0"/>
      </w:pPr>
      <w:r>
        <w:t>9 建议补充和归档的资料</w:t>
      </w:r>
    </w:p>
    <w:p>
      <w:pPr>
        <w:pStyle w:val="ListBullet"/>
        <w:spacing w:after="80"/>
        <w:ind w:left="403" w:hanging="245"/>
      </w:pPr>
      <w:r>
        <w:rPr>
          <w:rFonts w:ascii="Arial" w:hAnsi="Arial" w:eastAsia="SimSun"/>
          <w:color w:val="222222"/>
          <w:sz w:val="21"/>
        </w:rPr>
        <w:t>三次维修或排查的工单、日期、处理内容、更换件编号及维修后验证记录。</w:t>
      </w:r>
    </w:p>
    <w:p>
      <w:pPr>
        <w:pStyle w:val="ListBullet"/>
        <w:spacing w:after="80"/>
        <w:ind w:left="403" w:hanging="245"/>
      </w:pPr>
      <w:r>
        <w:rPr>
          <w:rFonts w:ascii="Arial" w:hAnsi="Arial" w:eastAsia="SimSun"/>
          <w:color w:val="222222"/>
          <w:sz w:val="21"/>
        </w:rPr>
        <w:t>设备序列号、主控板物料和序列号、软件版本，以及每周测量的实际运行日志。</w:t>
      </w:r>
    </w:p>
    <w:p>
      <w:pPr>
        <w:pStyle w:val="ListBullet"/>
        <w:spacing w:after="80"/>
        <w:ind w:left="403" w:hanging="245"/>
      </w:pPr>
      <w:r>
        <w:rPr>
          <w:rFonts w:ascii="Arial" w:hAnsi="Arial" w:eastAsia="SimSun"/>
          <w:color w:val="222222"/>
          <w:sz w:val="21"/>
        </w:rPr>
        <w:t>本次及复测时的报警记录、操作日志、位置趋势、电气测量值和同步视频。</w:t>
      </w:r>
    </w:p>
    <w:p>
      <w:pPr>
        <w:pStyle w:val="ListBullet"/>
        <w:spacing w:after="80"/>
        <w:ind w:left="403" w:hanging="245"/>
      </w:pPr>
      <w:r>
        <w:rPr>
          <w:rFonts w:ascii="Arial" w:hAnsi="Arial" w:eastAsia="SimSun"/>
          <w:color w:val="222222"/>
          <w:sz w:val="21"/>
        </w:rPr>
        <w:t>链条、尺带、齿轮、连接器、主控板及电机的检查照片，以及故障件分析报告。</w:t>
      </w:r>
    </w:p>
    <w:p>
      <w:pPr>
        <w:pStyle w:val="Heading1"/>
        <w:keepNext/>
        <w:pageBreakBefore w:val="0"/>
      </w:pPr>
      <w:r>
        <w:t>10 技术依据与说明</w:t>
      </w:r>
    </w:p>
    <w:p>
      <w:pPr>
        <w:pStyle w:val="ListBullet"/>
        <w:spacing w:after="80"/>
        <w:ind w:left="403" w:hanging="245"/>
      </w:pPr>
      <w:r>
        <w:rPr>
          <w:rFonts w:ascii="Arial" w:hAnsi="Arial" w:eastAsia="SimSun"/>
          <w:color w:val="222222"/>
          <w:sz w:val="21"/>
        </w:rPr>
        <w:t>SI-7000 操作手册B部分（090-7000-2B Rev A）。</w:t>
      </w:r>
    </w:p>
    <w:p>
      <w:pPr>
        <w:pStyle w:val="ListBullet"/>
        <w:spacing w:after="80"/>
        <w:ind w:left="403" w:hanging="245"/>
      </w:pPr>
      <w:r>
        <w:rPr>
          <w:rFonts w:ascii="Arial" w:hAnsi="Arial" w:eastAsia="SimSun"/>
          <w:color w:val="222222"/>
          <w:sz w:val="21"/>
        </w:rPr>
        <w:t>SI-7000 维修手册（090-7000-3 Rev -）。</w:t>
      </w:r>
    </w:p>
    <w:p>
      <w:pPr>
        <w:pStyle w:val="ListBullet"/>
        <w:spacing w:after="80"/>
        <w:ind w:left="403" w:hanging="245"/>
      </w:pPr>
      <w:r>
        <w:rPr>
          <w:rFonts w:ascii="Arial" w:hAnsi="Arial" w:eastAsia="SimSun"/>
          <w:color w:val="222222"/>
          <w:sz w:val="21"/>
        </w:rPr>
        <w:t>SI-7000 DCS Modbus接口规范（020-701 Rev B）。</w:t>
      </w:r>
    </w:p>
    <w:p>
      <w:pPr>
        <w:pStyle w:val="BodyText"/>
      </w:pPr>
      <w:r>
        <w:rPr>
          <w:rFonts w:ascii="Arial" w:hAnsi="Arial" w:eastAsia="Microsoft YaHei"/>
          <w:b/>
          <w:color w:val="222222"/>
          <w:sz w:val="21"/>
        </w:rPr>
        <w:t xml:space="preserve">说明  </w:t>
      </w:r>
      <w:r>
        <w:rPr>
          <w:rFonts w:ascii="Arial" w:hAnsi="Arial" w:eastAsia="SimSun"/>
          <w:color w:val="222222"/>
          <w:sz w:val="21"/>
        </w:rPr>
        <w:t>本文件根据2026年9月11日周口现场观察、现场人员反馈及已掌握的SI-7000资料整理，用于客户沟通和后续排查协调，不作为最终失效分析结论。设备对应手册版本、维修记录及各项测量结果补齐后，应据此更新最终结论。</w:t>
      </w:r>
    </w:p>
    <w:sectPr w:rsidR="00FC693F" w:rsidRPr="0006063C" w:rsidSect="00034616">
      <w:footerReference w:type="default" r:id="rId9"/>
      <w:pgSz w:w="11909" w:h="16834"/>
      <w:pgMar w:top="950" w:right="986" w:bottom="950" w:left="986"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eastAsia="SimSun"/>
        <w:color w:val="666666"/>
        <w:sz w:val="17"/>
      </w:rPr>
      <w:t xml:space="preserve">周口现场 SI-7000 LTD 线盘报警排查结果及后续建议  V1.2  第 </w:t>
    </w:r>
    <w:fldSimple w:instr="PAGE">
      <w:r>
        <w:rPr>
          <w:rFonts w:ascii="Arial" w:hAnsi="Arial" w:eastAsia="SimSun"/>
          <w:sz w:val="18"/>
        </w:rPr>
        <w:t>1</w:t>
      </w:r>
    </w:fldSimple>
    <w:r>
      <w:rPr>
        <w:rFonts w:ascii="Arial" w:hAnsi="Arial" w:eastAsia="SimSun"/>
        <w:color w:val="666666"/>
        <w:sz w:val="17"/>
      </w:rPr>
      <w:t xml:space="preserve"> 页 共 </w:t>
    </w:r>
    <w:fldSimple w:instr="NUMPAGES">
      <w:r>
        <w:rPr>
          <w:rFonts w:ascii="Arial" w:hAnsi="Arial" w:eastAsia="SimSun"/>
          <w:sz w:val="18"/>
        </w:rPr>
        <w:t>1</w:t>
      </w:r>
    </w:fldSimple>
    <w:r>
      <w:rPr>
        <w:rFonts w:ascii="Arial" w:hAnsi="Arial" w:eastAsia="SimSun"/>
        <w:color w:val="666666"/>
        <w:sz w:val="17"/>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Arial" w:hAnsi="Arial" w:eastAsia="SimSun"/>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Microsoft YaHei"/>
      <w:b/>
      <w:bCs/>
      <w:color w:val="000000"/>
      <w:sz w:val="29"/>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jc w:val="center"/>
    </w:pPr>
    <w:rPr>
      <w:rFonts w:asciiTheme="majorHAnsi" w:eastAsiaTheme="majorEastAsia" w:hAnsiTheme="majorHAnsi" w:cstheme="majorBidi" w:ascii="Arial" w:hAnsi="Arial" w:eastAsia="Microsoft YaHe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312" w:lineRule="auto"/>
    </w:pPr>
    <w:rPr>
      <w:rFonts w:ascii="Arial" w:hAnsi="Arial" w:eastAsia="SimSun"/>
      <w:color w:val="222222"/>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SimSun"/>
      <w:color w:val="222222"/>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周口现场 SI-7000 LTD 线盘报警排查结果及后续建议</dc:title>
  <dc:subject>2026年9月11日周口现场SI-7000 LTD上罐排查客户沟通文件</dc:subject>
  <dc:creator/>
  <cp:keywords/>
  <dc:description>V1.2：根据2026年9月11日周口现场停电、上电排查结果更新。</dc:description>
  <cp:lastModifiedBy/>
  <cp:revision>1</cp:revision>
  <dcterms:created xsi:type="dcterms:W3CDTF">2013-12-23T23:15:00Z</dcterms:created>
  <dcterms:modified xsi:type="dcterms:W3CDTF">2013-12-23T23:15:00Z</dcterms:modified>
  <cp:category/>
</cp:coreProperties>
</file>