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SI-7000 线盘报警故障分析与现场排查建议</w:t>
      </w:r>
    </w:p>
    <w:p>
      <w:pPr>
        <w:spacing w:after="320"/>
        <w:jc w:val="center"/>
      </w:pPr>
      <w:r>
        <w:rPr>
          <w:rFonts w:ascii="Arial" w:hAnsi="Arial" w:eastAsia="Microsoft YaHei"/>
          <w:b/>
          <w:color w:val="666666"/>
          <w:sz w:val="24"/>
        </w:rPr>
        <w:t>现场维护技术分析报告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31"/>
        <w:gridCol w:w="4831"/>
      </w:tblGrid>
      <w:tr>
        <w:trPr>
          <w:cantSplit/>
        </w:trPr>
        <w:tc>
          <w:tcPr>
            <w:tcW w:type="dxa" w:w="1944"/>
            <w:shd w:fill="DCE6F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222222"/>
                <w:sz w:val="19"/>
              </w:rPr>
              <w:t>设备对象</w:t>
            </w:r>
          </w:p>
        </w:tc>
        <w:tc>
          <w:tcPr>
            <w:tcW w:type="dxa" w:w="799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9"/>
              </w:rPr>
              <w:t>Scientific Instruments SI-7000 LTD 原厂设备</w:t>
            </w:r>
          </w:p>
        </w:tc>
      </w:tr>
      <w:tr>
        <w:trPr>
          <w:cantSplit/>
        </w:trPr>
        <w:tc>
          <w:tcPr>
            <w:tcW w:type="dxa" w:w="1944"/>
            <w:shd w:fill="DCE6F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222222"/>
                <w:sz w:val="19"/>
              </w:rPr>
              <w:t>适用范围</w:t>
            </w:r>
          </w:p>
        </w:tc>
        <w:tc>
          <w:tcPr>
            <w:tcW w:type="dxa" w:w="799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9"/>
              </w:rPr>
              <w:t>SI 原厂控制器、机械单元、探头、驱动链和反馈链</w:t>
            </w:r>
          </w:p>
        </w:tc>
      </w:tr>
      <w:tr>
        <w:trPr>
          <w:cantSplit/>
        </w:trPr>
        <w:tc>
          <w:tcPr>
            <w:tcW w:type="dxa" w:w="1944"/>
            <w:shd w:fill="DCE6F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222222"/>
                <w:sz w:val="19"/>
              </w:rPr>
              <w:t>文档用途</w:t>
            </w:r>
          </w:p>
        </w:tc>
        <w:tc>
          <w:tcPr>
            <w:tcW w:type="dxa" w:w="799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9"/>
              </w:rPr>
              <w:t>线盘报警现场处置、故障分析、维护交接和恢复运行确认</w:t>
            </w:r>
          </w:p>
        </w:tc>
      </w:tr>
      <w:tr>
        <w:trPr>
          <w:cantSplit/>
        </w:trPr>
        <w:tc>
          <w:tcPr>
            <w:tcW w:type="dxa" w:w="1944"/>
            <w:shd w:fill="DCE6F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222222"/>
                <w:sz w:val="19"/>
              </w:rPr>
              <w:t>文档版本</w:t>
            </w:r>
          </w:p>
        </w:tc>
        <w:tc>
          <w:tcPr>
            <w:tcW w:type="dxa" w:w="799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9"/>
              </w:rPr>
              <w:t>V1.1</w:t>
            </w:r>
          </w:p>
        </w:tc>
      </w:tr>
      <w:tr>
        <w:trPr>
          <w:cantSplit/>
        </w:trPr>
        <w:tc>
          <w:tcPr>
            <w:tcW w:type="dxa" w:w="1944"/>
            <w:shd w:fill="DCE6F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222222"/>
                <w:sz w:val="19"/>
              </w:rPr>
              <w:t>编制日期</w:t>
            </w:r>
          </w:p>
        </w:tc>
        <w:tc>
          <w:tcPr>
            <w:tcW w:type="dxa" w:w="799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9"/>
              </w:rPr>
              <w:t>2026年9月11日</w:t>
            </w:r>
          </w:p>
        </w:tc>
      </w:tr>
      <w:tr>
        <w:trPr>
          <w:cantSplit/>
        </w:trPr>
        <w:tc>
          <w:tcPr>
            <w:tcW w:type="dxa" w:w="1944"/>
            <w:shd w:fill="DCE6F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222222"/>
                <w:sz w:val="19"/>
              </w:rPr>
              <w:t>文档状态</w:t>
            </w:r>
          </w:p>
        </w:tc>
        <w:tc>
          <w:tcPr>
            <w:tcW w:type="dxa" w:w="799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9"/>
              </w:rPr>
              <w:t>现场技术分析文件，不替代作业票、现场安全规程或原厂维修授权</w:t>
            </w:r>
          </w:p>
        </w:tc>
      </w:tr>
      <w:tr>
        <w:trPr>
          <w:cantSplit/>
        </w:trPr>
        <w:tc>
          <w:tcPr>
            <w:tcW w:type="dxa" w:w="1944"/>
            <w:shd w:fill="DCE6F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222222"/>
                <w:sz w:val="19"/>
              </w:rPr>
              <w:t>适用人员</w:t>
            </w:r>
          </w:p>
        </w:tc>
        <w:tc>
          <w:tcPr>
            <w:tcW w:type="dxa" w:w="799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9"/>
              </w:rPr>
              <w:t>运行人员、仪表维护人员、现场服务工程师和技术支持人员</w:t>
            </w:r>
          </w:p>
        </w:tc>
      </w:tr>
    </w:tbl>
    <w:p>
      <w:pPr>
        <w:spacing w:after="40"/>
      </w:pPr>
    </w:p>
    <w:p>
      <w:pPr>
        <w:pStyle w:val="BodyText"/>
      </w:pPr>
      <w:r>
        <w:rPr>
          <w:rFonts w:ascii="Arial" w:hAnsi="Arial" w:eastAsia="Microsoft YaHei"/>
          <w:b/>
          <w:color w:val="222222"/>
          <w:sz w:val="22"/>
        </w:rPr>
        <w:t xml:space="preserve">结论  </w:t>
      </w:r>
      <w:r>
        <w:rPr>
          <w:rFonts w:ascii="Arial" w:hAnsi="Arial" w:eastAsia="SimSun"/>
          <w:color w:val="222222"/>
          <w:sz w:val="22"/>
        </w:rPr>
        <w:t>线盘报警表示 SI-7000 机械单元的线盘未按预期转动。原厂资料明确指出，该状态可能由驱动机构机械故障或罐内障碍引起，维护人员必须调查。原厂维修流程还要求检查解码器的线盘反馈信号，因此现场应同时核对真实运动和反馈链路。</w:t>
      </w:r>
    </w:p>
    <w:p>
      <w:pPr>
        <w:pStyle w:val="BodyText"/>
      </w:pPr>
      <w:r>
        <w:rPr>
          <w:rFonts w:ascii="Arial" w:hAnsi="Arial" w:eastAsia="SimSun"/>
          <w:color w:val="222222"/>
          <w:sz w:val="22"/>
        </w:rPr>
        <w:t>该状态不能单独定位到电机、传动机构、链条、探头或反馈部件，也不能证明罐内一定存在障碍。现场应先保留状态、位置、运动方向和操作历史，再同步观察电机、线盘、链条和位置反馈，逐级隔离故障。</w:t>
      </w:r>
    </w:p>
    <w:p>
      <w:pPr>
        <w:pStyle w:val="BodyText"/>
      </w:pPr>
      <w:r>
        <w:rPr>
          <w:rFonts w:ascii="Arial" w:hAnsi="Arial" w:eastAsia="Microsoft YaHei"/>
          <w:b/>
          <w:color w:val="222222"/>
          <w:sz w:val="22"/>
        </w:rPr>
        <w:t xml:space="preserve">安全限制  </w:t>
      </w:r>
      <w:r>
        <w:rPr>
          <w:rFonts w:ascii="Arial" w:hAnsi="Arial" w:eastAsia="SimSun"/>
          <w:color w:val="222222"/>
          <w:sz w:val="22"/>
        </w:rPr>
        <w:t>机械单元涉及防爆环境和低温介质。打开电气或机械外壳前必须执行上锁挂牌、气体检测、泄压和现场许可。低温探头提升后应充分升温；原厂资料说明温暖天气下约需四小时接近环境温度。涉及隔爆接合面、机械开盖、吹扫或部件更换的工作只能由原厂认可的人员按正式程序执行。</w:t>
      </w:r>
    </w:p>
    <w:p>
      <w:pPr>
        <w:pStyle w:val="BodyText"/>
      </w:pPr>
      <w:r>
        <w:rPr>
          <w:rFonts w:ascii="Arial" w:hAnsi="Arial" w:eastAsia="Microsoft YaHei"/>
          <w:b/>
          <w:color w:val="222222"/>
          <w:sz w:val="22"/>
        </w:rPr>
        <w:t xml:space="preserve">适用边界  </w:t>
      </w:r>
      <w:r>
        <w:rPr>
          <w:rFonts w:ascii="Arial" w:hAnsi="Arial" w:eastAsia="SimSun"/>
          <w:color w:val="222222"/>
          <w:sz w:val="22"/>
        </w:rPr>
        <w:t>本报告仅适用于 Scientific Instruments 原厂 SI-7000。其他制造商设备、国产替代设备和 CUBE 的 SI 协议兼容实现不在本文结论范围内。</w:t>
      </w:r>
    </w:p>
    <w:p>
      <w:r>
        <w:br w:type="page"/>
      </w:r>
    </w:p>
    <w:p>
      <w:pPr>
        <w:pStyle w:val="Heading1"/>
        <w:keepNext/>
        <w:pageBreakBefore w:val="0"/>
      </w:pPr>
      <w:r>
        <w:t>1 现场快速处置</w:t>
      </w:r>
    </w:p>
    <w:p>
      <w:pPr>
        <w:pStyle w:val="Heading2"/>
        <w:keepNext/>
        <w:pageBreakBefore w:val="0"/>
      </w:pPr>
      <w:r>
        <w:t>1.1 状态性质和数据可信度</w:t>
      </w:r>
    </w:p>
    <w:p>
      <w:pPr>
        <w:pStyle w:val="BodyText"/>
      </w:pPr>
      <w:r>
        <w:rPr>
          <w:rFonts w:ascii="Arial" w:hAnsi="Arial" w:eastAsia="SimSun"/>
          <w:color w:val="222222"/>
          <w:sz w:val="22"/>
        </w:rPr>
        <w:t>DCS Modbus 接口规范把线盘报警列在功能码 2（Function 2）读取的状态区，地址为 10009。原厂英文名称虽然包含 Alarm（报警）一词，但它不属于从 10017 开始的过程报警区。上位机配置还应确认所用 Modbus 驱动采用参考地址还是从零开始的协议偏移，不能仅凭界面数字推断报文偏移。</w:t>
      </w:r>
    </w:p>
    <w:p>
      <w:pPr>
        <w:pStyle w:val="BodyText"/>
      </w:pPr>
      <w:r>
        <w:rPr>
          <w:rFonts w:ascii="Arial" w:hAnsi="Arial" w:eastAsia="SimSun"/>
          <w:color w:val="222222"/>
          <w:sz w:val="22"/>
        </w:rPr>
        <w:t>线盘报警出现后，探头位置和运动状态可能失去可信基础。若探头位于液气界面状态未置位，不能确认当前液位读数为最新值；若同时出现探头未校准状态，位置和液位可信度进一步下降。手动模式下不报告报警且液位读数不更新，因此进入手动模式前必须先保存现场证据。</w:t>
      </w:r>
    </w:p>
    <w:p>
      <w:pPr>
        <w:pStyle w:val="Heading2"/>
        <w:keepNext/>
        <w:pageBreakBefore w:val="0"/>
      </w:pPr>
      <w:r>
        <w:t>1.2 报警后的六步处置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16"/>
        <w:gridCol w:w="2416"/>
        <w:gridCol w:w="2416"/>
        <w:gridCol w:w="2416"/>
      </w:tblGrid>
      <w:tr>
        <w:trPr>
          <w:tblHeader w:val="true"/>
          <w:cantSplit/>
        </w:trPr>
        <w:tc>
          <w:tcPr>
            <w:tcW w:type="dxa" w:w="720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528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现场动作</w:t>
            </w:r>
          </w:p>
        </w:tc>
        <w:tc>
          <w:tcPr>
            <w:tcW w:type="dxa" w:w="3096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必须保留的证据</w:t>
            </w:r>
          </w:p>
        </w:tc>
        <w:tc>
          <w:tcPr>
            <w:tcW w:type="dxa" w:w="2592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进入下一步的条件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1</w:t>
            </w:r>
          </w:p>
        </w:tc>
        <w:tc>
          <w:tcPr>
            <w:tcW w:type="dxa" w:w="352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在切换模式或复位前记录报警时间、模式、方向、速度、位置和液位。</w:t>
            </w:r>
          </w:p>
        </w:tc>
        <w:tc>
          <w:tcPr>
            <w:tcW w:type="dxa" w:w="3096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报警画面、电机（Motor）页面、DCS 趋势和状态快照</w:t>
            </w:r>
          </w:p>
        </w:tc>
        <w:tc>
          <w:tcPr>
            <w:tcW w:type="dxa" w:w="259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证据保存完成</w:t>
            </w:r>
          </w:p>
        </w:tc>
      </w:tr>
      <w:tr>
        <w:trPr>
          <w:cantSplit/>
        </w:trPr>
        <w:tc>
          <w:tcPr>
            <w:tcW w:type="dxa" w:w="720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2</w:t>
            </w:r>
          </w:p>
        </w:tc>
        <w:tc>
          <w:tcPr>
            <w:tcW w:type="dxa" w:w="3528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按现场程序停止可能继续施加载荷的自动或连续运动，不反复强制升降。</w:t>
            </w:r>
          </w:p>
        </w:tc>
        <w:tc>
          <w:tcPr>
            <w:tcW w:type="dxa" w:w="3096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停止前后的命令、位置和运动现象</w:t>
            </w:r>
          </w:p>
        </w:tc>
        <w:tc>
          <w:tcPr>
            <w:tcW w:type="dxa" w:w="259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设备处于可控安全状态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3</w:t>
            </w:r>
          </w:p>
        </w:tc>
        <w:tc>
          <w:tcPr>
            <w:tcW w:type="dxa" w:w="352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同步观察电机声音和输出、线盘与链条运动、位置或反馈变化。</w:t>
            </w:r>
          </w:p>
        </w:tc>
        <w:tc>
          <w:tcPr>
            <w:tcW w:type="dxa" w:w="3096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视频或连续记录，避免只保存单张画面</w:t>
            </w:r>
          </w:p>
        </w:tc>
        <w:tc>
          <w:tcPr>
            <w:tcW w:type="dxa" w:w="259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三条证据能够对应同一时段</w:t>
            </w:r>
          </w:p>
        </w:tc>
      </w:tr>
      <w:tr>
        <w:trPr>
          <w:cantSplit/>
        </w:trPr>
        <w:tc>
          <w:tcPr>
            <w:tcW w:type="dxa" w:w="720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4</w:t>
            </w:r>
          </w:p>
        </w:tc>
        <w:tc>
          <w:tcPr>
            <w:tcW w:type="dxa" w:w="3528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按现象分支：电机无动作、驱动有动作但线盘不转、线盘转动但状态仍置位、固定位置复现。</w:t>
            </w:r>
          </w:p>
        </w:tc>
        <w:tc>
          <w:tcPr>
            <w:tcW w:type="dxa" w:w="3096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方向、速度、重复位置、泵送或装卸液工况</w:t>
            </w:r>
          </w:p>
        </w:tc>
        <w:tc>
          <w:tcPr>
            <w:tcW w:type="dxa" w:w="259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形成优先排查方向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5</w:t>
            </w:r>
          </w:p>
        </w:tc>
        <w:tc>
          <w:tcPr>
            <w:tcW w:type="dxa" w:w="352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由授权人员检查电气连接、驱动链、反馈链和探头通道。</w:t>
            </w:r>
          </w:p>
        </w:tc>
        <w:tc>
          <w:tcPr>
            <w:tcW w:type="dxa" w:w="3096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拆检照片、部件状态、测量值和更换记录</w:t>
            </w:r>
          </w:p>
        </w:tc>
        <w:tc>
          <w:tcPr>
            <w:tcW w:type="dxa" w:w="259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找到证据或明确证据缺口</w:t>
            </w:r>
          </w:p>
        </w:tc>
      </w:tr>
      <w:tr>
        <w:trPr>
          <w:cantSplit/>
        </w:trPr>
        <w:tc>
          <w:tcPr>
            <w:tcW w:type="dxa" w:w="720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6</w:t>
            </w:r>
          </w:p>
        </w:tc>
        <w:tc>
          <w:tcPr>
            <w:tcW w:type="dxa" w:w="3528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按原厂功能测试验证，满足恢复运行门禁后再恢复自动运行。</w:t>
            </w:r>
          </w:p>
        </w:tc>
        <w:tc>
          <w:tcPr>
            <w:tcW w:type="dxa" w:w="3096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逐项通过记录和本机与 DCS 对照</w:t>
            </w:r>
          </w:p>
        </w:tc>
        <w:tc>
          <w:tcPr>
            <w:tcW w:type="dxa" w:w="259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批准恢复或继续隔离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  <w:pageBreakBefore w:val="0"/>
      </w:pPr>
      <w:r>
        <w:t>1.3 必须同时查看的状态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16"/>
        <w:gridCol w:w="2416"/>
        <w:gridCol w:w="2416"/>
        <w:gridCol w:w="2416"/>
      </w:tblGrid>
      <w:tr>
        <w:trPr>
          <w:tblHeader w:val="true"/>
          <w:cantSplit/>
        </w:trPr>
        <w:tc>
          <w:tcPr>
            <w:tcW w:type="dxa" w:w="2376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1080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地址</w:t>
            </w:r>
          </w:p>
        </w:tc>
        <w:tc>
          <w:tcPr>
            <w:tcW w:type="dxa" w:w="3096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原厂含义</w:t>
            </w:r>
          </w:p>
        </w:tc>
        <w:tc>
          <w:tcPr>
            <w:tcW w:type="dxa" w:w="3384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现场用途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线盘报警禁用（Reel Alarm Disable）</w:t>
            </w:r>
          </w:p>
        </w:tc>
        <w:tc>
          <w:tcPr>
            <w:tcW w:type="dxa" w:w="108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10008</w:t>
            </w:r>
          </w:p>
        </w:tc>
        <w:tc>
          <w:tcPr>
            <w:tcW w:type="dxa" w:w="3096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覆盖线盘安全功能</w:t>
            </w:r>
          </w:p>
        </w:tc>
        <w:tc>
          <w:tcPr>
            <w:tcW w:type="dxa" w:w="338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正常必须为 0，不能用于规避故障</w:t>
            </w:r>
          </w:p>
        </w:tc>
      </w:tr>
      <w:tr>
        <w:trPr>
          <w:cantSplit/>
        </w:trPr>
        <w:tc>
          <w:tcPr>
            <w:tcW w:type="dxa" w:w="2376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线盘报警（Reel Alarm）</w:t>
            </w:r>
          </w:p>
        </w:tc>
        <w:tc>
          <w:tcPr>
            <w:tcW w:type="dxa" w:w="1080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10009</w:t>
            </w:r>
          </w:p>
        </w:tc>
        <w:tc>
          <w:tcPr>
            <w:tcW w:type="dxa" w:w="3096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线盘未转，可能存在物理驱动异常或罐内障碍</w:t>
            </w:r>
          </w:p>
        </w:tc>
        <w:tc>
          <w:tcPr>
            <w:tcW w:type="dxa" w:w="338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作为本次排查入口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探头未校准（Probe Un-calibrated）</w:t>
            </w:r>
          </w:p>
        </w:tc>
        <w:tc>
          <w:tcPr>
            <w:tcW w:type="dxa" w:w="108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10010</w:t>
            </w:r>
          </w:p>
        </w:tc>
        <w:tc>
          <w:tcPr>
            <w:tcW w:type="dxa" w:w="3096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当前位置可能不正确</w:t>
            </w:r>
          </w:p>
        </w:tc>
        <w:tc>
          <w:tcPr>
            <w:tcW w:type="dxa" w:w="338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判断位置和液位是否可信</w:t>
            </w:r>
          </w:p>
        </w:tc>
      </w:tr>
      <w:tr>
        <w:trPr>
          <w:cantSplit/>
        </w:trPr>
        <w:tc>
          <w:tcPr>
            <w:tcW w:type="dxa" w:w="2376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探头位于液气界面（Probe At Liquid Level）</w:t>
            </w:r>
          </w:p>
        </w:tc>
        <w:tc>
          <w:tcPr>
            <w:tcW w:type="dxa" w:w="1080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10013</w:t>
            </w:r>
          </w:p>
        </w:tc>
        <w:tc>
          <w:tcPr>
            <w:tcW w:type="dxa" w:w="3096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自动模式下探头位于液气界面</w:t>
            </w:r>
          </w:p>
        </w:tc>
        <w:tc>
          <w:tcPr>
            <w:tcW w:type="dxa" w:w="338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判断液位是否为当前值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联锁（Interlock）</w:t>
            </w:r>
          </w:p>
        </w:tc>
        <w:tc>
          <w:tcPr>
            <w:tcW w:type="dxa" w:w="108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10004</w:t>
            </w:r>
          </w:p>
        </w:tc>
        <w:tc>
          <w:tcPr>
            <w:tcW w:type="dxa" w:w="3096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探头到达允许最高位置</w:t>
            </w:r>
          </w:p>
        </w:tc>
        <w:tc>
          <w:tcPr>
            <w:tcW w:type="dxa" w:w="338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区分顶部正常停放和异常触发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t>2 现场背景和事件记录</w:t>
      </w:r>
    </w:p>
    <w:p>
      <w:pPr>
        <w:pStyle w:val="Heading2"/>
        <w:keepNext/>
        <w:pageBreakBefore w:val="0"/>
      </w:pPr>
      <w:r>
        <w:t>2.1 设备与维护背景</w:t>
      </w:r>
    </w:p>
    <w:p>
      <w:pPr>
        <w:pStyle w:val="BodyText"/>
      </w:pPr>
      <w:r>
        <w:rPr>
          <w:rFonts w:ascii="Arial" w:hAnsi="Arial" w:eastAsia="SimSun"/>
          <w:color w:val="222222"/>
          <w:sz w:val="22"/>
        </w:rPr>
        <w:t>其他现场报告表明，设备投运时间、剖面测量频次、历次维护和故障前运行工况，是判断机械累积损伤和偶发卡阻的重要背景。以下信息应在分析前补齐；空白项表示现场尚未记录，不应由分析人员推测。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31"/>
        <w:gridCol w:w="4831"/>
      </w:tblGrid>
      <w:tr>
        <w:trPr>
          <w:cantSplit/>
          <w:trHeight w:val="504" w:hRule="atLeast"/>
        </w:trPr>
        <w:tc>
          <w:tcPr>
            <w:tcW w:type="dxa" w:w="2951"/>
            <w:shd w:fill="DCE6F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22222"/>
                <w:sz w:val="18"/>
              </w:rPr>
              <w:t>现场与储罐</w:t>
            </w:r>
          </w:p>
        </w:tc>
        <w:tc>
          <w:tcPr>
            <w:tcW w:type="dxa" w:w="698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</w:tr>
      <w:tr>
        <w:trPr>
          <w:cantSplit/>
          <w:trHeight w:val="504" w:hRule="atLeast"/>
        </w:trPr>
        <w:tc>
          <w:tcPr>
            <w:tcW w:type="dxa" w:w="2951"/>
            <w:shd w:fill="DCE6F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22222"/>
                <w:sz w:val="18"/>
              </w:rPr>
              <w:t>设备型号与序列号</w:t>
            </w:r>
          </w:p>
        </w:tc>
        <w:tc>
          <w:tcPr>
            <w:tcW w:type="dxa" w:w="6983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</w:tr>
      <w:tr>
        <w:trPr>
          <w:cantSplit/>
          <w:trHeight w:val="504" w:hRule="atLeast"/>
        </w:trPr>
        <w:tc>
          <w:tcPr>
            <w:tcW w:type="dxa" w:w="2951"/>
            <w:shd w:fill="DCE6F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22222"/>
                <w:sz w:val="18"/>
              </w:rPr>
              <w:t>控制器软件版本</w:t>
            </w:r>
          </w:p>
        </w:tc>
        <w:tc>
          <w:tcPr>
            <w:tcW w:type="dxa" w:w="698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</w:tr>
      <w:tr>
        <w:trPr>
          <w:cantSplit/>
          <w:trHeight w:val="504" w:hRule="atLeast"/>
        </w:trPr>
        <w:tc>
          <w:tcPr>
            <w:tcW w:type="dxa" w:w="2951"/>
            <w:shd w:fill="DCE6F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22222"/>
                <w:sz w:val="18"/>
              </w:rPr>
              <w:t>储罐标识（Tank ID）与 Modbus 地址</w:t>
            </w:r>
          </w:p>
        </w:tc>
        <w:tc>
          <w:tcPr>
            <w:tcW w:type="dxa" w:w="6983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</w:tr>
      <w:tr>
        <w:trPr>
          <w:cantSplit/>
          <w:trHeight w:val="504" w:hRule="atLeast"/>
        </w:trPr>
        <w:tc>
          <w:tcPr>
            <w:tcW w:type="dxa" w:w="2951"/>
            <w:shd w:fill="DCE6F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22222"/>
                <w:sz w:val="18"/>
              </w:rPr>
              <w:t>安装、调试和正式投运日期</w:t>
            </w:r>
          </w:p>
        </w:tc>
        <w:tc>
          <w:tcPr>
            <w:tcW w:type="dxa" w:w="698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</w:tr>
      <w:tr>
        <w:trPr>
          <w:cantSplit/>
          <w:trHeight w:val="504" w:hRule="atLeast"/>
        </w:trPr>
        <w:tc>
          <w:tcPr>
            <w:tcW w:type="dxa" w:w="2951"/>
            <w:shd w:fill="DCE6F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22222"/>
                <w:sz w:val="18"/>
              </w:rPr>
              <w:t>最近一次预防性维护</w:t>
            </w:r>
          </w:p>
        </w:tc>
        <w:tc>
          <w:tcPr>
            <w:tcW w:type="dxa" w:w="6983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</w:tr>
      <w:tr>
        <w:trPr>
          <w:cantSplit/>
          <w:trHeight w:val="504" w:hRule="atLeast"/>
        </w:trPr>
        <w:tc>
          <w:tcPr>
            <w:tcW w:type="dxa" w:w="2951"/>
            <w:shd w:fill="DCE6F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22222"/>
                <w:sz w:val="18"/>
              </w:rPr>
              <w:t>最近链条、探头、轴承或驱动维修</w:t>
            </w:r>
          </w:p>
        </w:tc>
        <w:tc>
          <w:tcPr>
            <w:tcW w:type="dxa" w:w="698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</w:tr>
      <w:tr>
        <w:trPr>
          <w:cantSplit/>
          <w:trHeight w:val="504" w:hRule="atLeast"/>
        </w:trPr>
        <w:tc>
          <w:tcPr>
            <w:tcW w:type="dxa" w:w="2951"/>
            <w:shd w:fill="DCE6F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22222"/>
                <w:sz w:val="18"/>
              </w:rPr>
              <w:t>剖面测量（Profile）频次和估算机械运动时数</w:t>
            </w:r>
          </w:p>
        </w:tc>
        <w:tc>
          <w:tcPr>
            <w:tcW w:type="dxa" w:w="6983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</w:tr>
      <w:tr>
        <w:trPr>
          <w:cantSplit/>
          <w:trHeight w:val="504" w:hRule="atLeast"/>
        </w:trPr>
        <w:tc>
          <w:tcPr>
            <w:tcW w:type="dxa" w:w="2951"/>
            <w:shd w:fill="DCE6F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22222"/>
                <w:sz w:val="18"/>
              </w:rPr>
              <w:t>配置工作表（Configuration Worksheet）版本</w:t>
            </w:r>
          </w:p>
        </w:tc>
        <w:tc>
          <w:tcPr>
            <w:tcW w:type="dxa" w:w="698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2.2 事件时间线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10"/>
        <w:gridCol w:w="1610"/>
        <w:gridCol w:w="1610"/>
        <w:gridCol w:w="1610"/>
        <w:gridCol w:w="1610"/>
        <w:gridCol w:w="1610"/>
      </w:tblGrid>
      <w:tr>
        <w:trPr>
          <w:tblHeader w:val="true"/>
          <w:cantSplit/>
        </w:trPr>
        <w:tc>
          <w:tcPr>
            <w:tcW w:type="dxa" w:w="648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584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日期时间</w:t>
            </w:r>
          </w:p>
        </w:tc>
        <w:tc>
          <w:tcPr>
            <w:tcW w:type="dxa" w:w="1655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模式方向</w:t>
            </w:r>
          </w:p>
        </w:tc>
        <w:tc>
          <w:tcPr>
            <w:tcW w:type="dxa" w:w="1655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位置液位</w:t>
            </w:r>
          </w:p>
        </w:tc>
        <w:tc>
          <w:tcPr>
            <w:tcW w:type="dxa" w:w="3240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现象和操作</w:t>
            </w:r>
          </w:p>
        </w:tc>
        <w:tc>
          <w:tcPr>
            <w:tcW w:type="dxa" w:w="1152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证据编号</w:t>
            </w:r>
          </w:p>
        </w:tc>
      </w:tr>
      <w:tr>
        <w:trPr>
          <w:cantSplit/>
          <w:trHeight w:val="605" w:hRule="atLeast"/>
        </w:trPr>
        <w:tc>
          <w:tcPr>
            <w:tcW w:type="dxa" w:w="64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1</w:t>
            </w:r>
          </w:p>
        </w:tc>
        <w:tc>
          <w:tcPr>
            <w:tcW w:type="dxa" w:w="158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1655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1655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324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115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</w:tr>
      <w:tr>
        <w:trPr>
          <w:cantSplit/>
          <w:trHeight w:val="605" w:hRule="atLeast"/>
        </w:trPr>
        <w:tc>
          <w:tcPr>
            <w:tcW w:type="dxa" w:w="648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2</w:t>
            </w:r>
          </w:p>
        </w:tc>
        <w:tc>
          <w:tcPr>
            <w:tcW w:type="dxa" w:w="158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1655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1655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3240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115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</w:tr>
      <w:tr>
        <w:trPr>
          <w:cantSplit/>
          <w:trHeight w:val="605" w:hRule="atLeast"/>
        </w:trPr>
        <w:tc>
          <w:tcPr>
            <w:tcW w:type="dxa" w:w="64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3</w:t>
            </w:r>
          </w:p>
        </w:tc>
        <w:tc>
          <w:tcPr>
            <w:tcW w:type="dxa" w:w="158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1655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1655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324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115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</w:tr>
      <w:tr>
        <w:trPr>
          <w:cantSplit/>
          <w:trHeight w:val="605" w:hRule="atLeast"/>
        </w:trPr>
        <w:tc>
          <w:tcPr>
            <w:tcW w:type="dxa" w:w="648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4</w:t>
            </w:r>
          </w:p>
        </w:tc>
        <w:tc>
          <w:tcPr>
            <w:tcW w:type="dxa" w:w="158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1655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1655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3240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115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</w:tr>
      <w:tr>
        <w:trPr>
          <w:cantSplit/>
          <w:trHeight w:val="605" w:hRule="atLeast"/>
        </w:trPr>
        <w:tc>
          <w:tcPr>
            <w:tcW w:type="dxa" w:w="64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5</w:t>
            </w:r>
          </w:p>
        </w:tc>
        <w:tc>
          <w:tcPr>
            <w:tcW w:type="dxa" w:w="158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1655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1655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324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115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2.3 建议收集的现场证据</w:t>
      </w:r>
    </w:p>
    <w:p>
      <w:pPr>
        <w:pStyle w:val="ListBullet"/>
        <w:spacing w:after="60"/>
        <w:ind w:left="403" w:hanging="245"/>
      </w:pPr>
      <w:r>
        <w:rPr>
          <w:rFonts w:ascii="Arial" w:hAnsi="Arial" w:eastAsia="SimSun"/>
          <w:color w:val="222222"/>
          <w:sz w:val="21"/>
        </w:rPr>
        <w:t>报警画面、电机页面、DCS 状态位和趋势应使用同一时间基准。</w:t>
      </w:r>
    </w:p>
    <w:p>
      <w:pPr>
        <w:pStyle w:val="ListBullet"/>
        <w:spacing w:after="60"/>
        <w:ind w:left="403" w:hanging="245"/>
      </w:pPr>
      <w:r>
        <w:rPr>
          <w:rFonts w:ascii="Arial" w:hAnsi="Arial" w:eastAsia="SimSun"/>
          <w:color w:val="222222"/>
          <w:sz w:val="21"/>
        </w:rPr>
        <w:t>视频应同时覆盖电机声音、线盘或链条运动及位置显示，单张照片不足以证明运动关系。</w:t>
      </w:r>
    </w:p>
    <w:p>
      <w:pPr>
        <w:pStyle w:val="ListBullet"/>
        <w:spacing w:after="60"/>
        <w:ind w:left="403" w:hanging="245"/>
      </w:pPr>
      <w:r>
        <w:rPr>
          <w:rFonts w:ascii="Arial" w:hAnsi="Arial" w:eastAsia="SimSun"/>
          <w:color w:val="222222"/>
          <w:sz w:val="21"/>
        </w:rPr>
        <w:t>记录报警高度、运动方向、速度、重复性及泵送、充装或卸液状态。</w:t>
      </w:r>
    </w:p>
    <w:p>
      <w:pPr>
        <w:pStyle w:val="ListBullet"/>
        <w:spacing w:after="60"/>
        <w:ind w:left="403" w:hanging="245"/>
      </w:pPr>
      <w:r>
        <w:rPr>
          <w:rFonts w:ascii="Arial" w:hAnsi="Arial" w:eastAsia="SimSun"/>
          <w:color w:val="222222"/>
          <w:sz w:val="21"/>
        </w:rPr>
        <w:t>保存拆检照片，并标明部位、方向、时间和比例；链条折叠、卡扣变形、擦痕和线缆损伤应分别记录。</w:t>
      </w:r>
    </w:p>
    <w:p>
      <w:pPr>
        <w:pStyle w:val="ListBullet"/>
        <w:spacing w:after="60"/>
        <w:ind w:left="403" w:hanging="245"/>
      </w:pPr>
      <w:r>
        <w:rPr>
          <w:rFonts w:ascii="Arial" w:hAnsi="Arial" w:eastAsia="SimSun"/>
          <w:color w:val="222222"/>
          <w:sz w:val="21"/>
        </w:rPr>
        <w:t>查阅罐内布置图、静液井资料、维护记录和配置工作表。</w:t>
      </w:r>
    </w:p>
    <w:p>
      <w:pPr>
        <w:pStyle w:val="ListBullet"/>
        <w:spacing w:after="60"/>
        <w:ind w:left="403" w:hanging="245"/>
      </w:pPr>
      <w:r>
        <w:rPr>
          <w:rFonts w:ascii="Arial" w:hAnsi="Arial" w:eastAsia="SimSun"/>
          <w:color w:val="222222"/>
          <w:sz w:val="21"/>
        </w:rPr>
        <w:t>同类设备可用于对照，但只有硬件、软件、参数和工况可比时才具有辅助意义。</w:t>
      </w:r>
    </w:p>
    <w:p>
      <w:pPr>
        <w:pStyle w:val="Heading1"/>
        <w:keepNext/>
        <w:pageBreakBefore w:val="0"/>
      </w:pPr>
      <w:r>
        <w:t>3 原厂定义与证据边界</w:t>
      </w:r>
    </w:p>
    <w:p>
      <w:pPr>
        <w:pStyle w:val="Heading2"/>
        <w:keepNext/>
        <w:pageBreakBefore w:val="0"/>
      </w:pPr>
      <w:r>
        <w:t>3.1 原厂定义</w:t>
      </w:r>
    </w:p>
    <w:p>
      <w:pPr>
        <w:pStyle w:val="BodyText"/>
      </w:pPr>
      <w:r>
        <w:rPr>
          <w:rFonts w:ascii="Arial" w:hAnsi="Arial" w:eastAsia="SimSun"/>
          <w:color w:val="222222"/>
          <w:sz w:val="22"/>
        </w:rPr>
        <w:t>SI-7000 操作手册将线盘报警定义为机械单元线盘未转动，并列出两类可能原因：驱动机构机械故障和罐内障碍。DCS Modbus 接口规范把它列为操作员必须看到的重要状态。原厂公开资料没有给出判定延时、允许脉冲差、锁存方式和复位条件，因此本报告不得据此臆测软件判定阈值，也不得建议绕过该状态。</w:t>
      </w:r>
    </w:p>
    <w:p>
      <w:r>
        <w:br w:type="page"/>
      </w:r>
    </w:p>
    <w:p>
      <w:pPr>
        <w:pStyle w:val="Heading2"/>
        <w:keepNext/>
        <w:pageBreakBefore w:val="0"/>
      </w:pPr>
      <w:r>
        <w:t>3.2 驱动链和反馈链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21"/>
        <w:gridCol w:w="3221"/>
        <w:gridCol w:w="3221"/>
      </w:tblGrid>
      <w:tr>
        <w:trPr>
          <w:tblHeader w:val="true"/>
          <w:cantSplit/>
        </w:trPr>
        <w:tc>
          <w:tcPr>
            <w:tcW w:type="dxa" w:w="1440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链路</w:t>
            </w:r>
          </w:p>
        </w:tc>
        <w:tc>
          <w:tcPr>
            <w:tcW w:type="dxa" w:w="5760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设备路径</w:t>
            </w:r>
          </w:p>
        </w:tc>
        <w:tc>
          <w:tcPr>
            <w:tcW w:type="dxa" w:w="2736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异常表现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驱动链</w:t>
            </w:r>
          </w:p>
        </w:tc>
        <w:tc>
          <w:tcPr>
            <w:tcW w:type="dxa" w:w="576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控制器 → 电机电源输出 J8（Motor Power Output J8）→ 电机 → 驱动轴和传动机构 → 线盘链轮与链条 → 探头</w:t>
            </w:r>
          </w:p>
        </w:tc>
        <w:tc>
          <w:tcPr>
            <w:tcW w:type="dxa" w:w="2736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电机或线盘不转、探头不动、运动阻力或噪声异常</w:t>
            </w:r>
          </w:p>
        </w:tc>
      </w:tr>
      <w:tr>
        <w:trPr>
          <w:cantSplit/>
        </w:trPr>
        <w:tc>
          <w:tcPr>
            <w:tcW w:type="dxa" w:w="1440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反馈链</w:t>
            </w:r>
          </w:p>
        </w:tc>
        <w:tc>
          <w:tcPr>
            <w:tcW w:type="dxa" w:w="5760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线盘转动 → 解码器的线盘反馈信号 → 线盘编码器输入 J6（Reel Encoder Input J6）→ 控制器</w:t>
            </w:r>
          </w:p>
        </w:tc>
        <w:tc>
          <w:tcPr>
            <w:tcW w:type="dxa" w:w="2736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线盘实际转动，但系统仍判定未转动或位置变化异常</w:t>
            </w:r>
          </w:p>
        </w:tc>
      </w:tr>
    </w:tbl>
    <w:p>
      <w:pPr>
        <w:spacing w:after="40"/>
      </w:pPr>
    </w:p>
    <w:p>
      <w:pPr>
        <w:pStyle w:val="BodyText"/>
      </w:pPr>
      <w:r>
        <w:rPr>
          <w:rFonts w:ascii="Arial" w:hAnsi="Arial" w:eastAsia="Microsoft YaHei"/>
          <w:b/>
          <w:color w:val="222222"/>
          <w:sz w:val="22"/>
        </w:rPr>
        <w:t xml:space="preserve">术语说明  </w:t>
      </w:r>
      <w:r>
        <w:rPr>
          <w:rFonts w:ascii="Arial" w:hAnsi="Arial" w:eastAsia="SimSun"/>
          <w:color w:val="222222"/>
          <w:sz w:val="22"/>
        </w:rPr>
        <w:t>原厂维修手册将反馈部件称为解码器，线盘编码器输入 J6（Reel Encoder Input J6）是控制器接口名称。本文不把解码器与编码器直接视为同一部件；两者之间的实际连接应以设备图纸和现场接线为准。</w:t>
      </w:r>
    </w:p>
    <w:p>
      <w:pPr>
        <w:pStyle w:val="Heading2"/>
        <w:keepNext/>
        <w:pageBreakBefore w:val="0"/>
      </w:pPr>
      <w:r>
        <w:t>3.3 证据等级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16"/>
        <w:gridCol w:w="2416"/>
        <w:gridCol w:w="2416"/>
        <w:gridCol w:w="2416"/>
      </w:tblGrid>
      <w:tr>
        <w:trPr>
          <w:tblHeader w:val="true"/>
          <w:cantSplit/>
        </w:trPr>
        <w:tc>
          <w:tcPr>
            <w:tcW w:type="dxa" w:w="1440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2880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384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可写入的结论</w:t>
            </w:r>
          </w:p>
        </w:tc>
        <w:tc>
          <w:tcPr>
            <w:tcW w:type="dxa" w:w="2232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原厂明确</w:t>
            </w:r>
          </w:p>
        </w:tc>
        <w:tc>
          <w:tcPr>
            <w:tcW w:type="dxa" w:w="288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原厂手册直接规定</w:t>
            </w:r>
          </w:p>
        </w:tc>
        <w:tc>
          <w:tcPr>
            <w:tcW w:type="dxa" w:w="338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可作为设备定义或强制要求</w:t>
            </w:r>
          </w:p>
        </w:tc>
        <w:tc>
          <w:tcPr>
            <w:tcW w:type="dxa" w:w="223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线盘报警表示线盘未转动</w:t>
            </w:r>
          </w:p>
        </w:tc>
      </w:tr>
      <w:tr>
        <w:trPr>
          <w:cantSplit/>
        </w:trPr>
        <w:tc>
          <w:tcPr>
            <w:tcW w:type="dxa" w:w="1440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现场事实</w:t>
            </w:r>
          </w:p>
        </w:tc>
        <w:tc>
          <w:tcPr>
            <w:tcW w:type="dxa" w:w="2880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照片、视频、日志或测量直接证明</w:t>
            </w:r>
          </w:p>
        </w:tc>
        <w:tc>
          <w:tcPr>
            <w:tcW w:type="dxa" w:w="338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可描述发生时间、位置和现象</w:t>
            </w:r>
          </w:p>
        </w:tc>
        <w:tc>
          <w:tcPr>
            <w:tcW w:type="dxa" w:w="223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同一高度重复报警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工程推断</w:t>
            </w:r>
          </w:p>
        </w:tc>
        <w:tc>
          <w:tcPr>
            <w:tcW w:type="dxa" w:w="288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依据结构和现象形成的解释</w:t>
            </w:r>
          </w:p>
        </w:tc>
        <w:tc>
          <w:tcPr>
            <w:tcW w:type="dxa" w:w="338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必须保留可能性和验证方法</w:t>
            </w:r>
          </w:p>
        </w:tc>
        <w:tc>
          <w:tcPr>
            <w:tcW w:type="dxa" w:w="223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齿轮箱卡滞或反馈丢失</w:t>
            </w:r>
          </w:p>
        </w:tc>
      </w:tr>
      <w:tr>
        <w:trPr>
          <w:cantSplit/>
        </w:trPr>
        <w:tc>
          <w:tcPr>
            <w:tcW w:type="dxa" w:w="1440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尚未确认</w:t>
            </w:r>
          </w:p>
        </w:tc>
        <w:tc>
          <w:tcPr>
            <w:tcW w:type="dxa" w:w="2880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缺少原始证据或原厂结论</w:t>
            </w:r>
          </w:p>
        </w:tc>
        <w:tc>
          <w:tcPr>
            <w:tcW w:type="dxa" w:w="338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只能列为待验证项</w:t>
            </w:r>
          </w:p>
        </w:tc>
        <w:tc>
          <w:tcPr>
            <w:tcW w:type="dxa" w:w="223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罐内某一具体障碍物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t>4 设备可能出现的问题</w:t>
      </w:r>
    </w:p>
    <w:p>
      <w:pPr>
        <w:pStyle w:val="BodyText"/>
      </w:pPr>
      <w:r>
        <w:rPr>
          <w:rFonts w:ascii="Arial" w:hAnsi="Arial" w:eastAsia="SimSun"/>
          <w:color w:val="222222"/>
          <w:sz w:val="22"/>
        </w:rPr>
        <w:t>本章给出排查范围，不对任何具体现场预先认定根因。只有完成事件时间线、同步运动观察和必要拆检后，才能把可能原因提升为现场结论。</w:t>
      </w:r>
    </w:p>
    <w:p>
      <w:pPr>
        <w:pStyle w:val="Heading2"/>
        <w:keepNext/>
        <w:pageBreakBefore w:val="0"/>
      </w:pPr>
      <w:r>
        <w:t>4.1 罐内或安装通道阻挡</w:t>
      </w:r>
    </w:p>
    <w:p>
      <w:pPr>
        <w:pStyle w:val="BodyText"/>
      </w:pPr>
      <w:r>
        <w:rPr>
          <w:rFonts w:ascii="Arial" w:hAnsi="Arial" w:eastAsia="Microsoft YaHei"/>
          <w:b/>
          <w:color w:val="222222"/>
          <w:sz w:val="22"/>
        </w:rPr>
        <w:t xml:space="preserve">依据等级  </w:t>
      </w:r>
      <w:r>
        <w:rPr>
          <w:rFonts w:ascii="Arial" w:hAnsi="Arial" w:eastAsia="SimSun"/>
          <w:color w:val="222222"/>
          <w:sz w:val="22"/>
        </w:rPr>
        <w:t>原厂明确。探头从驱动机构到罐底或静液井的整条路径必须无阻碍。障碍可能使探头卡住，并损坏探头组件、链条或驱动机构。检查罐内结构件、仪表管线、焊接或开孔残留、静液井垂直度和内径、夹管阀开度，以及泵或充装管线造成的高速液流和湍流。</w:t>
      </w:r>
    </w:p>
    <w:p>
      <w:pPr>
        <w:pStyle w:val="BodyText"/>
      </w:pPr>
      <w:r>
        <w:rPr>
          <w:rFonts w:ascii="Arial" w:hAnsi="Arial" w:eastAsia="Microsoft YaHei"/>
          <w:b/>
          <w:color w:val="222222"/>
          <w:sz w:val="22"/>
        </w:rPr>
        <w:t xml:space="preserve">判别重点  </w:t>
      </w:r>
      <w:r>
        <w:rPr>
          <w:rFonts w:ascii="Arial" w:hAnsi="Arial" w:eastAsia="SimSun"/>
          <w:color w:val="222222"/>
          <w:sz w:val="22"/>
        </w:rPr>
        <w:t>固定高度复现、仅在某一方向出现、与泵送或装卸液同步，或探头表面存在同方向擦痕，都支持继续调查通道和静液井，但不能仅凭单一擦痕认定障碍物位置。</w:t>
      </w:r>
    </w:p>
    <w:p>
      <w:pPr>
        <w:pStyle w:val="Heading2"/>
        <w:keepNext/>
        <w:pageBreakBefore w:val="0"/>
      </w:pPr>
      <w:r>
        <w:t>4.2 线盘、链条和链轮故障</w:t>
      </w:r>
    </w:p>
    <w:p>
      <w:pPr>
        <w:pStyle w:val="BodyText"/>
      </w:pPr>
      <w:r>
        <w:rPr>
          <w:rFonts w:ascii="Arial" w:hAnsi="Arial" w:eastAsia="Microsoft YaHei"/>
          <w:b/>
          <w:color w:val="222222"/>
          <w:sz w:val="22"/>
        </w:rPr>
        <w:t xml:space="preserve">依据等级  </w:t>
      </w:r>
      <w:r>
        <w:rPr>
          <w:rFonts w:ascii="Arial" w:hAnsi="Arial" w:eastAsia="SimSun"/>
          <w:color w:val="222222"/>
          <w:sz w:val="22"/>
        </w:rPr>
        <w:t>原厂维修项目。原厂要求检查链条和链轮是否过度磨损，清洁驱动机构内部并清除异物。可能问题包括链条折叠或扭结、卡扣变形、跳齿、局部损伤、链轮卡涩、异物卷入和装配状态异常。发现一处损伤后仍应检查整条驱动链。</w:t>
      </w:r>
    </w:p>
    <w:p>
      <w:pPr>
        <w:pStyle w:val="BodyText"/>
      </w:pPr>
      <w:r>
        <w:rPr>
          <w:rFonts w:ascii="Arial" w:hAnsi="Arial" w:eastAsia="Microsoft YaHei"/>
          <w:b/>
          <w:color w:val="222222"/>
          <w:sz w:val="22"/>
        </w:rPr>
        <w:t xml:space="preserve">判别重点  </w:t>
      </w:r>
      <w:r>
        <w:rPr>
          <w:rFonts w:ascii="Arial" w:hAnsi="Arial" w:eastAsia="SimSun"/>
          <w:color w:val="222222"/>
          <w:sz w:val="22"/>
        </w:rPr>
        <w:t>线盘运动断续、抖动或伴随异常噪声；位置变化不连续；报警位置随链条循环重复；卡扣、链节或随行线缆出现受拉、刮擦或变形痕迹。链条必须按原厂方法处理，错误搬运本身可能造成损伤。</w:t>
      </w:r>
    </w:p>
    <w:p>
      <w:pPr>
        <w:pStyle w:val="Heading2"/>
        <w:keepNext/>
        <w:pageBreakBefore w:val="0"/>
      </w:pPr>
      <w:r>
        <w:t>4.3 电机驱动和供电故障</w:t>
      </w:r>
    </w:p>
    <w:p>
      <w:pPr>
        <w:pStyle w:val="BodyText"/>
      </w:pPr>
      <w:r>
        <w:rPr>
          <w:rFonts w:ascii="Arial" w:hAnsi="Arial" w:eastAsia="Microsoft YaHei"/>
          <w:b/>
          <w:color w:val="222222"/>
          <w:sz w:val="22"/>
        </w:rPr>
        <w:t xml:space="preserve">依据等级  </w:t>
      </w:r>
      <w:r>
        <w:rPr>
          <w:rFonts w:ascii="Arial" w:hAnsi="Arial" w:eastAsia="SimSun"/>
          <w:color w:val="222222"/>
          <w:sz w:val="22"/>
        </w:rPr>
        <w:t>原厂测试项目与工程分析。电机不产生有效输出时，线盘不会转动。应检查交流输入、保险丝、直流电源、控制器的电机电源输出 J8、电机接头、驱动电子部件和电机本体。上下方向都无动作且电机无声时优先检查供电和输出；只有一个方向异常时，还要比较方向控制和机械受力。</w:t>
      </w:r>
    </w:p>
    <w:p>
      <w:pPr>
        <w:pStyle w:val="BodyText"/>
      </w:pPr>
      <w:r>
        <w:rPr>
          <w:rFonts w:ascii="Arial" w:hAnsi="Arial" w:eastAsia="Microsoft YaHei"/>
          <w:b/>
          <w:color w:val="222222"/>
          <w:sz w:val="22"/>
        </w:rPr>
        <w:t xml:space="preserve">证据要求  </w:t>
      </w:r>
      <w:r>
        <w:rPr>
          <w:rFonts w:ascii="Arial" w:hAnsi="Arial" w:eastAsia="SimSun"/>
          <w:color w:val="222222"/>
          <w:sz w:val="22"/>
        </w:rPr>
        <w:t>同时记录电源指示、保险丝指示、J8 输出、电机接头状态、电机页面和电机声音。公开资料没有给出线盘报警与具体电气故障码的一一对应关系。</w:t>
      </w:r>
    </w:p>
    <w:p>
      <w:pPr>
        <w:pStyle w:val="Heading2"/>
        <w:keepNext/>
        <w:pageBreakBefore w:val="0"/>
      </w:pPr>
      <w:r>
        <w:t>4.4 解码器和线盘反馈故障</w:t>
      </w:r>
    </w:p>
    <w:p>
      <w:pPr>
        <w:pStyle w:val="BodyText"/>
      </w:pPr>
      <w:r>
        <w:rPr>
          <w:rFonts w:ascii="Arial" w:hAnsi="Arial" w:eastAsia="Microsoft YaHei"/>
          <w:b/>
          <w:color w:val="222222"/>
          <w:sz w:val="22"/>
        </w:rPr>
        <w:t xml:space="preserve">依据等级  </w:t>
      </w:r>
      <w:r>
        <w:rPr>
          <w:rFonts w:ascii="Arial" w:hAnsi="Arial" w:eastAsia="SimSun"/>
          <w:color w:val="222222"/>
          <w:sz w:val="22"/>
        </w:rPr>
        <w:t>原厂维修检查项与工程分析。原厂要求检查解码器的线盘反馈信号，控制器接口表列出线盘编码器输入 J6。若线盘和链条真实运动，但线盘报警仍置位或位置不变化，应检查反馈部件、插头、端子、线束、机构连接和控制器输入。</w:t>
      </w:r>
    </w:p>
    <w:p>
      <w:pPr>
        <w:pStyle w:val="BodyText"/>
      </w:pPr>
      <w:r>
        <w:rPr>
          <w:rFonts w:ascii="Arial" w:hAnsi="Arial" w:eastAsia="Microsoft YaHei"/>
          <w:b/>
          <w:color w:val="222222"/>
          <w:sz w:val="22"/>
        </w:rPr>
        <w:t xml:space="preserve">判别重点  </w:t>
      </w:r>
      <w:r>
        <w:rPr>
          <w:rFonts w:ascii="Arial" w:hAnsi="Arial" w:eastAsia="SimSun"/>
          <w:color w:val="222222"/>
          <w:sz w:val="22"/>
        </w:rPr>
        <w:t>目视运动、位置显示和反馈信号必须使用同一时间基准对照。不得通过短接反馈或置位线盘报警禁用状态代替检查。</w:t>
      </w:r>
    </w:p>
    <w:p>
      <w:pPr>
        <w:pStyle w:val="Heading2"/>
        <w:keepNext/>
        <w:pageBreakBefore w:val="0"/>
      </w:pPr>
      <w:r>
        <w:t>4.5 驱动轴、传动机构和轴承故障</w:t>
      </w:r>
    </w:p>
    <w:p>
      <w:pPr>
        <w:pStyle w:val="BodyText"/>
      </w:pPr>
      <w:r>
        <w:rPr>
          <w:rFonts w:ascii="Arial" w:hAnsi="Arial" w:eastAsia="Microsoft YaHei"/>
          <w:b/>
          <w:color w:val="222222"/>
          <w:sz w:val="22"/>
        </w:rPr>
        <w:t xml:space="preserve">依据等级  </w:t>
      </w:r>
      <w:r>
        <w:rPr>
          <w:rFonts w:ascii="Arial" w:hAnsi="Arial" w:eastAsia="SimSun"/>
          <w:color w:val="222222"/>
          <w:sz w:val="22"/>
        </w:rPr>
        <w:t>工程推断，维护周期来自原厂。联接松脱、传动件损伤、轴卡滞和轴承磨损都可能导致电机有动作而线盘不转，或使负载在整个行程持续偏高。原厂规定轴承使用十年后更换，该周期对应额定寿命的 90%，并基于每天连续机械运动两小时的预期工况。实际运动时数更高时应由 SI 评估维护周期。</w:t>
      </w:r>
    </w:p>
    <w:p>
      <w:pPr>
        <w:pStyle w:val="BodyText"/>
      </w:pPr>
      <w:r>
        <w:rPr>
          <w:rFonts w:ascii="Arial" w:hAnsi="Arial" w:eastAsia="Microsoft YaHei"/>
          <w:b/>
          <w:color w:val="222222"/>
          <w:sz w:val="22"/>
        </w:rPr>
        <w:t xml:space="preserve">判别重点  </w:t>
      </w:r>
      <w:r>
        <w:rPr>
          <w:rFonts w:ascii="Arial" w:hAnsi="Arial" w:eastAsia="SimSun"/>
          <w:color w:val="222222"/>
          <w:sz w:val="22"/>
        </w:rPr>
        <w:t>电机有声音或输出而线盘完全不转，设备出现新的机械噪声、振动或温升，或者运动阻力不随位置变化。拆检结论必须由原厂授权人员确认。</w:t>
      </w:r>
    </w:p>
    <w:p>
      <w:pPr>
        <w:pStyle w:val="Heading2"/>
        <w:keepNext/>
        <w:pageBreakBefore w:val="0"/>
      </w:pPr>
      <w:r>
        <w:t>4.6 基准开关和位置状态异常</w:t>
      </w:r>
    </w:p>
    <w:p>
      <w:pPr>
        <w:pStyle w:val="BodyText"/>
      </w:pPr>
      <w:r>
        <w:rPr>
          <w:rFonts w:ascii="Arial" w:hAnsi="Arial" w:eastAsia="Microsoft YaHei"/>
          <w:b/>
          <w:color w:val="222222"/>
          <w:sz w:val="22"/>
        </w:rPr>
        <w:t xml:space="preserve">依据等级  </w:t>
      </w:r>
      <w:r>
        <w:rPr>
          <w:rFonts w:ascii="Arial" w:hAnsi="Arial" w:eastAsia="SimSun"/>
          <w:color w:val="222222"/>
          <w:sz w:val="22"/>
        </w:rPr>
        <w:t>相关状态，不是线盘报警的直接同义项。底部参考开关（Bottom Reference Switch）和顶部参考开关（Top Reference Switch）决定停止位置和位置基准。开关动作异常、接线问题或维护期间移动探头，可能导致探头未校准、联锁或位置异常。若与线盘报警同时出现，应并行调查。</w:t>
      </w:r>
    </w:p>
    <w:p>
      <w:pPr>
        <w:pStyle w:val="Heading1"/>
        <w:keepNext/>
        <w:pageBreakBefore w:val="0"/>
      </w:pPr>
      <w:r>
        <w:t>5 现场现象与证据判别表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16"/>
        <w:gridCol w:w="2416"/>
        <w:gridCol w:w="2416"/>
        <w:gridCol w:w="2416"/>
      </w:tblGrid>
      <w:tr>
        <w:trPr>
          <w:tblHeader w:val="true"/>
          <w:cantSplit/>
        </w:trPr>
        <w:tc>
          <w:tcPr>
            <w:tcW w:type="dxa" w:w="2304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现场现象</w:t>
            </w:r>
          </w:p>
        </w:tc>
        <w:tc>
          <w:tcPr>
            <w:tcW w:type="dxa" w:w="2736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优先排查方向</w:t>
            </w:r>
          </w:p>
        </w:tc>
        <w:tc>
          <w:tcPr>
            <w:tcW w:type="dxa" w:w="3024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下一项证据</w:t>
            </w:r>
          </w:p>
        </w:tc>
        <w:tc>
          <w:tcPr>
            <w:tcW w:type="dxa" w:w="1872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结论边界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6"/>
              </w:rPr>
              <w:t>电机无声且线盘不动</w:t>
            </w:r>
          </w:p>
        </w:tc>
        <w:tc>
          <w:tcPr>
            <w:tcW w:type="dxa" w:w="2736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供电、保险丝、控制器、电机输出或接线</w:t>
            </w:r>
          </w:p>
        </w:tc>
        <w:tc>
          <w:tcPr>
            <w:tcW w:type="dxa" w:w="302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电源与保险丝指示、J8 输出、电机接头</w:t>
            </w:r>
          </w:p>
        </w:tc>
        <w:tc>
          <w:tcPr>
            <w:tcW w:type="dxa" w:w="187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不能仅凭无声认定电机损坏</w:t>
            </w:r>
          </w:p>
        </w:tc>
      </w:tr>
      <w:tr>
        <w:trPr>
          <w:cantSplit/>
        </w:trPr>
        <w:tc>
          <w:tcPr>
            <w:tcW w:type="dxa" w:w="230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6"/>
              </w:rPr>
              <w:t>电机有声但线盘不动</w:t>
            </w:r>
          </w:p>
        </w:tc>
        <w:tc>
          <w:tcPr>
            <w:tcW w:type="dxa" w:w="2736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传动机构、链轮卡滞或探头受阻</w:t>
            </w:r>
          </w:p>
        </w:tc>
        <w:tc>
          <w:tcPr>
            <w:tcW w:type="dxa" w:w="302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机械噪声、线盘目视状态、发生位置</w:t>
            </w:r>
          </w:p>
        </w:tc>
        <w:tc>
          <w:tcPr>
            <w:tcW w:type="dxa" w:w="187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需区分传动失效和外部负载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6"/>
              </w:rPr>
              <w:t>线盘转动但状态仍置位</w:t>
            </w:r>
          </w:p>
        </w:tc>
        <w:tc>
          <w:tcPr>
            <w:tcW w:type="dxa" w:w="2736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解码器、J6 或反馈线路</w:t>
            </w:r>
          </w:p>
        </w:tc>
        <w:tc>
          <w:tcPr>
            <w:tcW w:type="dxa" w:w="302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反馈信号、位置变化与真实运动对照</w:t>
            </w:r>
          </w:p>
        </w:tc>
        <w:tc>
          <w:tcPr>
            <w:tcW w:type="dxa" w:w="187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需确认两条证据时间同步</w:t>
            </w:r>
          </w:p>
        </w:tc>
      </w:tr>
      <w:tr>
        <w:trPr>
          <w:cantSplit/>
        </w:trPr>
        <w:tc>
          <w:tcPr>
            <w:tcW w:type="dxa" w:w="230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6"/>
              </w:rPr>
              <w:t>固定高度重复出现</w:t>
            </w:r>
          </w:p>
        </w:tc>
        <w:tc>
          <w:tcPr>
            <w:tcW w:type="dxa" w:w="2736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通道障碍、静液井接触或局部链条损伤</w:t>
            </w:r>
          </w:p>
        </w:tc>
        <w:tc>
          <w:tcPr>
            <w:tcW w:type="dxa" w:w="302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高度、方向、重复性和罐内图纸</w:t>
            </w:r>
          </w:p>
        </w:tc>
        <w:tc>
          <w:tcPr>
            <w:tcW w:type="dxa" w:w="187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位置相关性不能直接证明障碍物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6"/>
              </w:rPr>
              <w:t>只在上行出现</w:t>
            </w:r>
          </w:p>
        </w:tc>
        <w:tc>
          <w:tcPr>
            <w:tcW w:type="dxa" w:w="2736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上提阻力、收链异常或传动负载</w:t>
            </w:r>
          </w:p>
        </w:tc>
        <w:tc>
          <w:tcPr>
            <w:tcW w:type="dxa" w:w="302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上行电机数据、线盘状态和联锁状态</w:t>
            </w:r>
          </w:p>
        </w:tc>
        <w:tc>
          <w:tcPr>
            <w:tcW w:type="dxa" w:w="187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需与下行同速度对照</w:t>
            </w:r>
          </w:p>
        </w:tc>
      </w:tr>
      <w:tr>
        <w:trPr>
          <w:cantSplit/>
        </w:trPr>
        <w:tc>
          <w:tcPr>
            <w:tcW w:type="dxa" w:w="230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6"/>
              </w:rPr>
              <w:t>只在下行出现</w:t>
            </w:r>
          </w:p>
        </w:tc>
        <w:tc>
          <w:tcPr>
            <w:tcW w:type="dxa" w:w="2736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夹管阀、放链不顺或罐内障碍</w:t>
            </w:r>
          </w:p>
        </w:tc>
        <w:tc>
          <w:tcPr>
            <w:tcW w:type="dxa" w:w="302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阀门状态、报警高度和线盘状态</w:t>
            </w:r>
          </w:p>
        </w:tc>
        <w:tc>
          <w:tcPr>
            <w:tcW w:type="dxa" w:w="187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不得用多次冲击试验确认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6"/>
              </w:rPr>
              <w:t>泵送或装卸液时出现</w:t>
            </w:r>
          </w:p>
        </w:tc>
        <w:tc>
          <w:tcPr>
            <w:tcW w:type="dxa" w:w="2736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液流和湍流造成侧向受力</w:t>
            </w:r>
          </w:p>
        </w:tc>
        <w:tc>
          <w:tcPr>
            <w:tcW w:type="dxa" w:w="302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泵与充装状态、时间线和趋势</w:t>
            </w:r>
          </w:p>
        </w:tc>
        <w:tc>
          <w:tcPr>
            <w:tcW w:type="dxa" w:w="187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仅在时间相关时支持该方向</w:t>
            </w:r>
          </w:p>
        </w:tc>
      </w:tr>
      <w:tr>
        <w:trPr>
          <w:cantSplit/>
        </w:trPr>
        <w:tc>
          <w:tcPr>
            <w:tcW w:type="dxa" w:w="230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6"/>
              </w:rPr>
              <w:t>链条折叠、卡扣变形或线缆受拉</w:t>
            </w:r>
          </w:p>
        </w:tc>
        <w:tc>
          <w:tcPr>
            <w:tcW w:type="dxa" w:w="2736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卡阻或异常载荷已经作用于驱动链</w:t>
            </w:r>
          </w:p>
        </w:tc>
        <w:tc>
          <w:tcPr>
            <w:tcW w:type="dxa" w:w="302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损伤位置、方向、全链检查和通道证据</w:t>
            </w:r>
          </w:p>
        </w:tc>
        <w:tc>
          <w:tcPr>
            <w:tcW w:type="dxa" w:w="187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损伤可为结果，未必是最初原因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6"/>
              </w:rPr>
              <w:t>探头有纵向擦痕</w:t>
            </w:r>
          </w:p>
        </w:tc>
        <w:tc>
          <w:tcPr>
            <w:tcW w:type="dxa" w:w="2736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探头与通道内壁发生接触</w:t>
            </w:r>
          </w:p>
        </w:tc>
        <w:tc>
          <w:tcPr>
            <w:tcW w:type="dxa" w:w="302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擦痕方向、报警位置和通道检查</w:t>
            </w:r>
          </w:p>
        </w:tc>
        <w:tc>
          <w:tcPr>
            <w:tcW w:type="dxa" w:w="187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不能单凭擦痕定位具体突出物</w:t>
            </w:r>
          </w:p>
        </w:tc>
      </w:tr>
      <w:tr>
        <w:trPr>
          <w:cantSplit/>
        </w:trPr>
        <w:tc>
          <w:tcPr>
            <w:tcW w:type="dxa" w:w="230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6"/>
              </w:rPr>
              <w:t>偶发后逐渐频繁</w:t>
            </w:r>
          </w:p>
        </w:tc>
        <w:tc>
          <w:tcPr>
            <w:tcW w:type="dxa" w:w="2736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磨损、松动、腐蚀或轴承劣化</w:t>
            </w:r>
          </w:p>
        </w:tc>
        <w:tc>
          <w:tcPr>
            <w:tcW w:type="dxa" w:w="302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历史趋势、机械噪声和维护年限</w:t>
            </w:r>
          </w:p>
        </w:tc>
        <w:tc>
          <w:tcPr>
            <w:tcW w:type="dxa" w:w="187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低发生率不等于低后果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6"/>
              </w:rPr>
              <w:t>同类设备未出现问题</w:t>
            </w:r>
          </w:p>
        </w:tc>
        <w:tc>
          <w:tcPr>
            <w:tcW w:type="dxa" w:w="2736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用于比较配置、工况和维护差异</w:t>
            </w:r>
          </w:p>
        </w:tc>
        <w:tc>
          <w:tcPr>
            <w:tcW w:type="dxa" w:w="302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软硬件版本、参数、罐体结构和负荷</w:t>
            </w:r>
          </w:p>
        </w:tc>
        <w:tc>
          <w:tcPr>
            <w:tcW w:type="dxa" w:w="187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不能据此排除本机故障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t>6 安全边界与授权检查</w:t>
      </w:r>
    </w:p>
    <w:p>
      <w:pPr>
        <w:pStyle w:val="Heading2"/>
        <w:keepNext/>
        <w:pageBreakBefore w:val="0"/>
      </w:pPr>
      <w:r>
        <w:t>6.1 原厂禁止事项和强制条件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31"/>
        <w:gridCol w:w="4831"/>
      </w:tblGrid>
      <w:tr>
        <w:trPr>
          <w:tblHeader w:val="true"/>
          <w:cantSplit/>
        </w:trPr>
        <w:tc>
          <w:tcPr>
            <w:tcW w:type="dxa" w:w="1944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992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模式与报警</w:t>
            </w:r>
          </w:p>
        </w:tc>
        <w:tc>
          <w:tcPr>
            <w:tcW w:type="dxa" w:w="799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手动模式不报告报警且液位不更新；进入手动模式前先保存证据，结束后必须返回适用的自动状态。</w:t>
            </w:r>
          </w:p>
        </w:tc>
      </w:tr>
      <w:tr>
        <w:trPr>
          <w:cantSplit/>
        </w:trPr>
        <w:tc>
          <w:tcPr>
            <w:tcW w:type="dxa" w:w="194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改变方向</w:t>
            </w:r>
          </w:p>
        </w:tc>
        <w:tc>
          <w:tcPr>
            <w:tcW w:type="dxa" w:w="799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改变上升或下降方向前必须先按停止键，避免冲击链条和探头。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报警禁用</w:t>
            </w:r>
          </w:p>
        </w:tc>
        <w:tc>
          <w:tcPr>
            <w:tcW w:type="dxa" w:w="799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正常情况下，线盘报警禁用状态不得置位，且不得将禁用作为维修完成或复测通过的条件。</w:t>
            </w:r>
          </w:p>
        </w:tc>
      </w:tr>
      <w:tr>
        <w:trPr>
          <w:cantSplit/>
        </w:trPr>
        <w:tc>
          <w:tcPr>
            <w:tcW w:type="dxa" w:w="194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隔爆接合面</w:t>
            </w:r>
          </w:p>
        </w:tc>
        <w:tc>
          <w:tcPr>
            <w:tcW w:type="dxa" w:w="799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轴和轴套属于隔爆接合面，不允许现场修理；需要替换时联系 Scientific Instruments。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机械单元开盖</w:t>
            </w:r>
          </w:p>
        </w:tc>
        <w:tc>
          <w:tcPr>
            <w:tcW w:type="dxa" w:w="799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必须完成上锁挂牌、气体检测、夹管阀确认、泄压、升温和现场许可；复装后按原厂程序吹扫与检漏。</w:t>
            </w:r>
          </w:p>
        </w:tc>
      </w:tr>
      <w:tr>
        <w:trPr>
          <w:cantSplit/>
        </w:trPr>
        <w:tc>
          <w:tcPr>
            <w:tcW w:type="dxa" w:w="194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链条处理</w:t>
            </w:r>
          </w:p>
        </w:tc>
        <w:tc>
          <w:tcPr>
            <w:tcW w:type="dxa" w:w="799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按原厂方法支撑和检查链条，避免检查过程造成新的折叠、扭结或卡扣损伤。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6.2 授权维护检查顺序</w:t>
      </w:r>
    </w:p>
    <w:p>
      <w:pPr>
        <w:pStyle w:val="BodyText"/>
      </w:pPr>
      <w:r>
        <w:rPr>
          <w:rFonts w:ascii="Arial" w:hAnsi="Arial" w:eastAsia="SimSun"/>
          <w:color w:val="222222"/>
          <w:sz w:val="22"/>
        </w:rPr>
        <w:t>以下内容只定义检查范围，不构成作业授权。涉及开盖、吹扫、隔爆结构和低温探头的步骤，必须以原厂维修手册、现场作业票和安全规程为准。</w:t>
      </w:r>
    </w:p>
    <w:p>
      <w:pPr>
        <w:pStyle w:val="ListNumber"/>
        <w:spacing w:after="80"/>
        <w:ind w:left="461" w:hanging="288"/>
      </w:pPr>
      <w:r>
        <w:rPr>
          <w:rFonts w:ascii="Arial" w:hAnsi="Arial" w:eastAsia="SimSun"/>
          <w:color w:val="222222"/>
          <w:sz w:val="21"/>
        </w:rPr>
        <w:t>复核事件时间线、报警高度、方向、速度和重复性，确定最小拆检范围。</w:t>
      </w:r>
    </w:p>
    <w:p>
      <w:pPr>
        <w:pStyle w:val="ListNumber"/>
        <w:spacing w:after="80"/>
        <w:ind w:left="461" w:hanging="288"/>
      </w:pPr>
      <w:r>
        <w:rPr>
          <w:rFonts w:ascii="Arial" w:hAnsi="Arial" w:eastAsia="SimSun"/>
          <w:color w:val="222222"/>
          <w:sz w:val="21"/>
        </w:rPr>
        <w:t>不开盖观察电机、线盘、链条和位置显示是否同步，比较上行与下行。</w:t>
      </w:r>
    </w:p>
    <w:p>
      <w:pPr>
        <w:pStyle w:val="ListNumber"/>
        <w:spacing w:after="80"/>
        <w:ind w:left="461" w:hanging="288"/>
      </w:pPr>
      <w:r>
        <w:rPr>
          <w:rFonts w:ascii="Arial" w:hAnsi="Arial" w:eastAsia="SimSun"/>
          <w:color w:val="222222"/>
          <w:sz w:val="21"/>
        </w:rPr>
        <w:t>检查电气单元端子、连接器、电机接头、J8 输出和部件劣化迹象。</w:t>
      </w:r>
    </w:p>
    <w:p>
      <w:pPr>
        <w:pStyle w:val="ListNumber"/>
        <w:spacing w:after="80"/>
        <w:ind w:left="461" w:hanging="288"/>
      </w:pPr>
      <w:r>
        <w:rPr>
          <w:rFonts w:ascii="Arial" w:hAnsi="Arial" w:eastAsia="SimSun"/>
          <w:color w:val="222222"/>
          <w:sz w:val="21"/>
        </w:rPr>
        <w:t>检查解码器的线盘反馈信号、J6 接口和反馈线束完整性。</w:t>
      </w:r>
    </w:p>
    <w:p>
      <w:pPr>
        <w:pStyle w:val="ListNumber"/>
        <w:spacing w:after="80"/>
        <w:ind w:left="461" w:hanging="288"/>
      </w:pPr>
      <w:r>
        <w:rPr>
          <w:rFonts w:ascii="Arial" w:hAnsi="Arial" w:eastAsia="SimSun"/>
          <w:color w:val="222222"/>
          <w:sz w:val="21"/>
        </w:rPr>
        <w:t>检查线盘、链条和链轮的磨损、卡涩、折叠、扭结、跳齿、卡扣和异物。</w:t>
      </w:r>
    </w:p>
    <w:p>
      <w:pPr>
        <w:pStyle w:val="ListNumber"/>
        <w:spacing w:after="80"/>
        <w:ind w:left="461" w:hanging="288"/>
      </w:pPr>
      <w:r>
        <w:rPr>
          <w:rFonts w:ascii="Arial" w:hAnsi="Arial" w:eastAsia="SimSun"/>
          <w:color w:val="222222"/>
          <w:sz w:val="21"/>
        </w:rPr>
        <w:t>检查传动联接、轴承、异常间隙、机械噪声和运动阻力。</w:t>
      </w:r>
    </w:p>
    <w:p>
      <w:pPr>
        <w:pStyle w:val="ListNumber"/>
        <w:spacing w:after="80"/>
        <w:ind w:left="461" w:hanging="288"/>
      </w:pPr>
      <w:r>
        <w:rPr>
          <w:rFonts w:ascii="Arial" w:hAnsi="Arial" w:eastAsia="SimSun"/>
          <w:color w:val="222222"/>
          <w:sz w:val="21"/>
        </w:rPr>
        <w:t>检查探头、随行线缆、底部参考开关、夹管阀及可接近通道部位，并与罐内图纸对照。</w:t>
      </w:r>
    </w:p>
    <w:p>
      <w:pPr>
        <w:pStyle w:val="ListNumber"/>
        <w:spacing w:after="80"/>
        <w:ind w:left="461" w:hanging="288"/>
      </w:pPr>
      <w:r>
        <w:rPr>
          <w:rFonts w:ascii="Arial" w:hAnsi="Arial" w:eastAsia="SimSun"/>
          <w:color w:val="222222"/>
          <w:sz w:val="21"/>
        </w:rPr>
        <w:t>对发现的损伤记录位置、方向、尺寸和照片编号，区分直接损伤与可能的初始原因。</w:t>
      </w:r>
    </w:p>
    <w:p>
      <w:pPr>
        <w:pStyle w:val="Heading1"/>
        <w:keepNext/>
        <w:pageBreakBefore w:val="0"/>
      </w:pPr>
      <w:r>
        <w:t>7 维修后功能验证与恢复运行</w:t>
      </w:r>
    </w:p>
    <w:p>
      <w:pPr>
        <w:pStyle w:val="Heading2"/>
        <w:keepNext/>
        <w:pageBreakBefore w:val="0"/>
      </w:pPr>
      <w:r>
        <w:t>7.1 原厂电机驱动测试</w:t>
      </w:r>
    </w:p>
    <w:p>
      <w:pPr>
        <w:pStyle w:val="BodyText"/>
      </w:pPr>
      <w:r>
        <w:rPr>
          <w:rFonts w:ascii="Arial" w:hAnsi="Arial" w:eastAsia="SimSun"/>
          <w:color w:val="222222"/>
          <w:sz w:val="22"/>
        </w:rPr>
        <w:t>下表按原厂电机驱动测试（Motor Driver Test）整理。执行前必须满足现场安全条件；改变方向前先按停止键。每一步都要记录实际表现，不能只在测试结束后填写总结果。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21"/>
        <w:gridCol w:w="3221"/>
        <w:gridCol w:w="3221"/>
      </w:tblGrid>
      <w:tr>
        <w:trPr>
          <w:tblHeader w:val="true"/>
          <w:cantSplit/>
        </w:trPr>
        <w:tc>
          <w:tcPr>
            <w:tcW w:type="dxa" w:w="792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5112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4031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预期结果</w:t>
            </w:r>
          </w:p>
        </w:tc>
      </w:tr>
      <w:tr>
        <w:trPr>
          <w:cantSplit/>
          <w:trHeight w:val="446" w:hRule="atLeast"/>
        </w:trPr>
        <w:tc>
          <w:tcPr>
            <w:tcW w:type="dxa" w:w="79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1</w:t>
            </w:r>
          </w:p>
        </w:tc>
        <w:tc>
          <w:tcPr>
            <w:tcW w:type="dxa" w:w="511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进入电机菜单（Motor），按向下箭头一次。</w:t>
            </w:r>
          </w:p>
        </w:tc>
        <w:tc>
          <w:tcPr>
            <w:tcW w:type="dxa" w:w="403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以最低速度下降。</w:t>
            </w:r>
          </w:p>
        </w:tc>
      </w:tr>
      <w:tr>
        <w:trPr>
          <w:cantSplit/>
          <w:trHeight w:val="446" w:hRule="atLeast"/>
        </w:trPr>
        <w:tc>
          <w:tcPr>
            <w:tcW w:type="dxa" w:w="79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2</w:t>
            </w:r>
          </w:p>
        </w:tc>
        <w:tc>
          <w:tcPr>
            <w:tcW w:type="dxa" w:w="511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第二次按向下箭头。</w:t>
            </w:r>
          </w:p>
        </w:tc>
        <w:tc>
          <w:tcPr>
            <w:tcW w:type="dxa" w:w="4031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提高到中速。</w:t>
            </w:r>
          </w:p>
        </w:tc>
      </w:tr>
      <w:tr>
        <w:trPr>
          <w:cantSplit/>
          <w:trHeight w:val="446" w:hRule="atLeast"/>
        </w:trPr>
        <w:tc>
          <w:tcPr>
            <w:tcW w:type="dxa" w:w="79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3</w:t>
            </w:r>
          </w:p>
        </w:tc>
        <w:tc>
          <w:tcPr>
            <w:tcW w:type="dxa" w:w="511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第三次按向下箭头。</w:t>
            </w:r>
          </w:p>
        </w:tc>
        <w:tc>
          <w:tcPr>
            <w:tcW w:type="dxa" w:w="403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提高到最高速度。</w:t>
            </w:r>
          </w:p>
        </w:tc>
      </w:tr>
      <w:tr>
        <w:trPr>
          <w:cantSplit/>
          <w:trHeight w:val="446" w:hRule="atLeast"/>
        </w:trPr>
        <w:tc>
          <w:tcPr>
            <w:tcW w:type="dxa" w:w="79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4</w:t>
            </w:r>
          </w:p>
        </w:tc>
        <w:tc>
          <w:tcPr>
            <w:tcW w:type="dxa" w:w="511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第四次按向下箭头。</w:t>
            </w:r>
          </w:p>
        </w:tc>
        <w:tc>
          <w:tcPr>
            <w:tcW w:type="dxa" w:w="4031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回到中速。</w:t>
            </w:r>
          </w:p>
        </w:tc>
      </w:tr>
      <w:tr>
        <w:trPr>
          <w:cantSplit/>
          <w:trHeight w:val="446" w:hRule="atLeast"/>
        </w:trPr>
        <w:tc>
          <w:tcPr>
            <w:tcW w:type="dxa" w:w="79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5</w:t>
            </w:r>
          </w:p>
        </w:tc>
        <w:tc>
          <w:tcPr>
            <w:tcW w:type="dxa" w:w="511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按停止键（Stop）。</w:t>
            </w:r>
          </w:p>
        </w:tc>
        <w:tc>
          <w:tcPr>
            <w:tcW w:type="dxa" w:w="403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停止并保持当前位置。</w:t>
            </w:r>
          </w:p>
        </w:tc>
      </w:tr>
      <w:tr>
        <w:trPr>
          <w:cantSplit/>
          <w:trHeight w:val="446" w:hRule="atLeast"/>
        </w:trPr>
        <w:tc>
          <w:tcPr>
            <w:tcW w:type="dxa" w:w="79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6</w:t>
            </w:r>
          </w:p>
        </w:tc>
        <w:tc>
          <w:tcPr>
            <w:tcW w:type="dxa" w:w="511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按向上箭头一次。</w:t>
            </w:r>
          </w:p>
        </w:tc>
        <w:tc>
          <w:tcPr>
            <w:tcW w:type="dxa" w:w="4031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以最低速度上升。</w:t>
            </w:r>
          </w:p>
        </w:tc>
      </w:tr>
      <w:tr>
        <w:trPr>
          <w:cantSplit/>
          <w:trHeight w:val="446" w:hRule="atLeast"/>
        </w:trPr>
        <w:tc>
          <w:tcPr>
            <w:tcW w:type="dxa" w:w="79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7</w:t>
            </w:r>
          </w:p>
        </w:tc>
        <w:tc>
          <w:tcPr>
            <w:tcW w:type="dxa" w:w="511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第二次按向上箭头。</w:t>
            </w:r>
          </w:p>
        </w:tc>
        <w:tc>
          <w:tcPr>
            <w:tcW w:type="dxa" w:w="403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提高到中速。</w:t>
            </w:r>
          </w:p>
        </w:tc>
      </w:tr>
      <w:tr>
        <w:trPr>
          <w:cantSplit/>
          <w:trHeight w:val="446" w:hRule="atLeast"/>
        </w:trPr>
        <w:tc>
          <w:tcPr>
            <w:tcW w:type="dxa" w:w="79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8</w:t>
            </w:r>
          </w:p>
        </w:tc>
        <w:tc>
          <w:tcPr>
            <w:tcW w:type="dxa" w:w="511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第三次按向上箭头。</w:t>
            </w:r>
          </w:p>
        </w:tc>
        <w:tc>
          <w:tcPr>
            <w:tcW w:type="dxa" w:w="4031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提高到最高速度。</w:t>
            </w:r>
          </w:p>
        </w:tc>
      </w:tr>
      <w:tr>
        <w:trPr>
          <w:cantSplit/>
          <w:trHeight w:val="446" w:hRule="atLeast"/>
        </w:trPr>
        <w:tc>
          <w:tcPr>
            <w:tcW w:type="dxa" w:w="79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9</w:t>
            </w:r>
          </w:p>
        </w:tc>
        <w:tc>
          <w:tcPr>
            <w:tcW w:type="dxa" w:w="511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第四次按向上箭头。</w:t>
            </w:r>
          </w:p>
        </w:tc>
        <w:tc>
          <w:tcPr>
            <w:tcW w:type="dxa" w:w="403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回到中速。</w:t>
            </w:r>
          </w:p>
        </w:tc>
      </w:tr>
      <w:tr>
        <w:trPr>
          <w:cantSplit/>
          <w:trHeight w:val="446" w:hRule="atLeast"/>
        </w:trPr>
        <w:tc>
          <w:tcPr>
            <w:tcW w:type="dxa" w:w="79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10</w:t>
            </w:r>
          </w:p>
        </w:tc>
        <w:tc>
          <w:tcPr>
            <w:tcW w:type="dxa" w:w="511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允许探头到达停放位置。</w:t>
            </w:r>
          </w:p>
        </w:tc>
        <w:tc>
          <w:tcPr>
            <w:tcW w:type="dxa" w:w="4031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自动停止并保持。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7.2 综合功能验证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21"/>
        <w:gridCol w:w="3221"/>
        <w:gridCol w:w="3221"/>
      </w:tblGrid>
      <w:tr>
        <w:trPr>
          <w:tblHeader w:val="true"/>
          <w:cantSplit/>
        </w:trPr>
        <w:tc>
          <w:tcPr>
            <w:tcW w:type="dxa" w:w="2015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验证项目</w:t>
            </w:r>
          </w:p>
        </w:tc>
        <w:tc>
          <w:tcPr>
            <w:tcW w:type="dxa" w:w="5112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通过条件</w:t>
            </w:r>
          </w:p>
        </w:tc>
        <w:tc>
          <w:tcPr>
            <w:tcW w:type="dxa" w:w="2808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不通过时的处理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停止与保持</w:t>
            </w:r>
          </w:p>
        </w:tc>
        <w:tc>
          <w:tcPr>
            <w:tcW w:type="dxa" w:w="511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按停止键后电机停止，探头保持当前位置。</w:t>
            </w:r>
          </w:p>
        </w:tc>
        <w:tc>
          <w:tcPr>
            <w:tcW w:type="dxa" w:w="280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停止试验并检查驱动和保持能力。</w:t>
            </w:r>
          </w:p>
        </w:tc>
      </w:tr>
      <w:tr>
        <w:trPr>
          <w:cantSplit/>
        </w:trPr>
        <w:tc>
          <w:tcPr>
            <w:tcW w:type="dxa" w:w="2015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液位校准（Level Calibration）</w:t>
            </w:r>
          </w:p>
        </w:tc>
        <w:tc>
          <w:tcPr>
            <w:tcW w:type="dxa" w:w="511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正确找到罐底、建立底部基准并返回液气界面；到达液气界面后快速停止。</w:t>
            </w:r>
          </w:p>
        </w:tc>
        <w:tc>
          <w:tcPr>
            <w:tcW w:type="dxa" w:w="2808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检查底部参考开关、位置基准和液位传感状态。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完整剖面测量</w:t>
            </w:r>
          </w:p>
        </w:tc>
        <w:tc>
          <w:tcPr>
            <w:tcW w:type="dxa" w:w="511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从罐底到液位完成采点并返回自动模式。</w:t>
            </w:r>
          </w:p>
        </w:tc>
        <w:tc>
          <w:tcPr>
            <w:tcW w:type="dxa" w:w="280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保存失败阶段和位置，不重复强制运行。</w:t>
            </w:r>
          </w:p>
        </w:tc>
      </w:tr>
      <w:tr>
        <w:trPr>
          <w:cantSplit/>
        </w:trPr>
        <w:tc>
          <w:tcPr>
            <w:tcW w:type="dxa" w:w="2015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本机状态</w:t>
            </w:r>
          </w:p>
        </w:tc>
        <w:tc>
          <w:tcPr>
            <w:tcW w:type="dxa" w:w="511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线盘报警为 0，线盘报警禁用为 0；相关状态与真实位置一致。</w:t>
            </w:r>
          </w:p>
        </w:tc>
        <w:tc>
          <w:tcPr>
            <w:tcW w:type="dxa" w:w="2808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继续隔离驱动、反馈或位置问题。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DCS 对照</w:t>
            </w:r>
          </w:p>
        </w:tc>
        <w:tc>
          <w:tcPr>
            <w:tcW w:type="dxa" w:w="511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本机与 DCS 的模式、状态、位置和液位在同一时段一致。</w:t>
            </w:r>
          </w:p>
        </w:tc>
        <w:tc>
          <w:tcPr>
            <w:tcW w:type="dxa" w:w="280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检查通信、地址解释和数据刷新。</w:t>
            </w:r>
          </w:p>
        </w:tc>
      </w:tr>
      <w:tr>
        <w:trPr>
          <w:cantSplit/>
        </w:trPr>
        <w:tc>
          <w:tcPr>
            <w:tcW w:type="dxa" w:w="2015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测量合理性</w:t>
            </w:r>
          </w:p>
        </w:tc>
        <w:tc>
          <w:tcPr>
            <w:tcW w:type="dxa" w:w="511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适用时与独立且已验证的测量手段对照，差异得到解释。</w:t>
            </w:r>
          </w:p>
        </w:tc>
        <w:tc>
          <w:tcPr>
            <w:tcW w:type="dxa" w:w="2808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保持临时管控，不批准完全恢复。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7.3 恢复运行门禁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21"/>
        <w:gridCol w:w="3221"/>
        <w:gridCol w:w="3221"/>
      </w:tblGrid>
      <w:tr>
        <w:trPr>
          <w:tblHeader w:val="true"/>
          <w:cantSplit/>
        </w:trPr>
        <w:tc>
          <w:tcPr>
            <w:tcW w:type="dxa" w:w="5544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确认项</w:t>
            </w:r>
          </w:p>
        </w:tc>
        <w:tc>
          <w:tcPr>
            <w:tcW w:type="dxa" w:w="2088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2304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确认人和时间</w:t>
            </w:r>
          </w:p>
        </w:tc>
      </w:tr>
      <w:tr>
        <w:trPr>
          <w:cantSplit/>
        </w:trPr>
        <w:tc>
          <w:tcPr>
            <w:tcW w:type="dxa" w:w="554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□ 电机上下方向和速度测试全部通过</w:t>
            </w:r>
          </w:p>
        </w:tc>
        <w:tc>
          <w:tcPr>
            <w:tcW w:type="dxa" w:w="208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□ 通过  □ 不通过</w:t>
            </w:r>
          </w:p>
        </w:tc>
        <w:tc>
          <w:tcPr>
            <w:tcW w:type="dxa" w:w="230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554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□ 停止保持和顶部自动停靠正常</w:t>
            </w:r>
          </w:p>
        </w:tc>
        <w:tc>
          <w:tcPr>
            <w:tcW w:type="dxa" w:w="2088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□ 通过  □ 不通过</w:t>
            </w:r>
          </w:p>
        </w:tc>
        <w:tc>
          <w:tcPr>
            <w:tcW w:type="dxa" w:w="230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554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□ 底部基准已重新建立且探头未校准状态清除</w:t>
            </w:r>
          </w:p>
        </w:tc>
        <w:tc>
          <w:tcPr>
            <w:tcW w:type="dxa" w:w="208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□ 通过  □ 不通过</w:t>
            </w:r>
          </w:p>
        </w:tc>
        <w:tc>
          <w:tcPr>
            <w:tcW w:type="dxa" w:w="230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554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□ 线盘报警为 0 且线盘报警禁用为 0</w:t>
            </w:r>
          </w:p>
        </w:tc>
        <w:tc>
          <w:tcPr>
            <w:tcW w:type="dxa" w:w="2088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□ 通过  □ 不通过</w:t>
            </w:r>
          </w:p>
        </w:tc>
        <w:tc>
          <w:tcPr>
            <w:tcW w:type="dxa" w:w="230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554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□ 自动模式液位状态与实际位置一致</w:t>
            </w:r>
          </w:p>
        </w:tc>
        <w:tc>
          <w:tcPr>
            <w:tcW w:type="dxa" w:w="208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□ 通过  □ 不通过</w:t>
            </w:r>
          </w:p>
        </w:tc>
        <w:tc>
          <w:tcPr>
            <w:tcW w:type="dxa" w:w="230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554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□ 完整剖面测量和本机与 DCS 对照通过</w:t>
            </w:r>
          </w:p>
        </w:tc>
        <w:tc>
          <w:tcPr>
            <w:tcW w:type="dxa" w:w="2088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□ 通过  □ 不通过</w:t>
            </w:r>
          </w:p>
        </w:tc>
        <w:tc>
          <w:tcPr>
            <w:tcW w:type="dxa" w:w="230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554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□ 残余风险和临时措施已关闭或正式接受</w:t>
            </w:r>
          </w:p>
        </w:tc>
        <w:tc>
          <w:tcPr>
            <w:tcW w:type="dxa" w:w="208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□ 通过  □ 不通过</w:t>
            </w:r>
          </w:p>
        </w:tc>
        <w:tc>
          <w:tcPr>
            <w:tcW w:type="dxa" w:w="230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</w:tr>
    </w:tbl>
    <w:p>
      <w:pPr>
        <w:spacing w:after="40"/>
      </w:pPr>
    </w:p>
    <w:p>
      <w:pPr>
        <w:pStyle w:val="BodyText"/>
      </w:pPr>
      <w:r>
        <w:rPr>
          <w:rFonts w:ascii="Arial" w:hAnsi="Arial" w:eastAsia="Microsoft YaHei"/>
          <w:b/>
          <w:color w:val="222222"/>
          <w:sz w:val="22"/>
        </w:rPr>
        <w:t xml:space="preserve">通过原则  </w:t>
      </w:r>
      <w:r>
        <w:rPr>
          <w:rFonts w:ascii="Arial" w:hAnsi="Arial" w:eastAsia="SimSun"/>
          <w:color w:val="222222"/>
          <w:sz w:val="22"/>
        </w:rPr>
        <w:t>线盘报警清除本身不是恢复运行的充分条件。任一门禁项不通过时，不得把设备判定为完全恢复。</w:t>
      </w:r>
    </w:p>
    <w:p>
      <w:pPr>
        <w:pStyle w:val="Heading1"/>
        <w:keepNext/>
        <w:pageBreakBefore w:val="0"/>
      </w:pPr>
      <w:r>
        <w:t>8 现场结论与交接记录</w:t>
      </w:r>
    </w:p>
    <w:p>
      <w:pPr>
        <w:pStyle w:val="Heading2"/>
        <w:keepNext/>
        <w:pageBreakBefore w:val="0"/>
      </w:pPr>
      <w:r>
        <w:t>8.1 故障结论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31"/>
        <w:gridCol w:w="4831"/>
      </w:tblGrid>
      <w:tr>
        <w:trPr>
          <w:cantSplit/>
          <w:trHeight w:val="691" w:hRule="atLeast"/>
        </w:trPr>
        <w:tc>
          <w:tcPr>
            <w:tcW w:type="dxa" w:w="2664"/>
            <w:shd w:fill="DCE6F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22222"/>
                <w:sz w:val="18"/>
              </w:rPr>
              <w:t>根因状态</w:t>
            </w:r>
          </w:p>
        </w:tc>
        <w:tc>
          <w:tcPr>
            <w:tcW w:type="dxa" w:w="727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□ 已确认  □ 高度疑似  □ 尚未确认</w:t>
            </w:r>
          </w:p>
        </w:tc>
      </w:tr>
      <w:tr>
        <w:trPr>
          <w:cantSplit/>
          <w:trHeight w:val="691" w:hRule="atLeast"/>
        </w:trPr>
        <w:tc>
          <w:tcPr>
            <w:tcW w:type="dxa" w:w="2664"/>
            <w:shd w:fill="DCE6F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22222"/>
                <w:sz w:val="18"/>
              </w:rPr>
              <w:t>直接故障现象</w:t>
            </w:r>
          </w:p>
        </w:tc>
        <w:tc>
          <w:tcPr>
            <w:tcW w:type="dxa" w:w="727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</w:tr>
      <w:tr>
        <w:trPr>
          <w:cantSplit/>
          <w:trHeight w:val="691" w:hRule="atLeast"/>
        </w:trPr>
        <w:tc>
          <w:tcPr>
            <w:tcW w:type="dxa" w:w="2664"/>
            <w:shd w:fill="DCE6F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22222"/>
                <w:sz w:val="18"/>
              </w:rPr>
              <w:t>已确认根因及证据</w:t>
            </w:r>
          </w:p>
        </w:tc>
        <w:tc>
          <w:tcPr>
            <w:tcW w:type="dxa" w:w="727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</w:tr>
      <w:tr>
        <w:trPr>
          <w:cantSplit/>
          <w:trHeight w:val="691" w:hRule="atLeast"/>
        </w:trPr>
        <w:tc>
          <w:tcPr>
            <w:tcW w:type="dxa" w:w="2664"/>
            <w:shd w:fill="DCE6F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22222"/>
                <w:sz w:val="18"/>
              </w:rPr>
              <w:t>工程推断及待验证项</w:t>
            </w:r>
          </w:p>
        </w:tc>
        <w:tc>
          <w:tcPr>
            <w:tcW w:type="dxa" w:w="727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</w:tr>
      <w:tr>
        <w:trPr>
          <w:cantSplit/>
          <w:trHeight w:val="691" w:hRule="atLeast"/>
        </w:trPr>
        <w:tc>
          <w:tcPr>
            <w:tcW w:type="dxa" w:w="2664"/>
            <w:shd w:fill="DCE6F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22222"/>
                <w:sz w:val="18"/>
              </w:rPr>
              <w:t>更换或处理的部件</w:t>
            </w:r>
          </w:p>
        </w:tc>
        <w:tc>
          <w:tcPr>
            <w:tcW w:type="dxa" w:w="727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</w:tr>
      <w:tr>
        <w:trPr>
          <w:cantSplit/>
          <w:trHeight w:val="691" w:hRule="atLeast"/>
        </w:trPr>
        <w:tc>
          <w:tcPr>
            <w:tcW w:type="dxa" w:w="2664"/>
            <w:shd w:fill="DCE6F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22222"/>
                <w:sz w:val="18"/>
              </w:rPr>
              <w:t>遗留问题和残余风险</w:t>
            </w:r>
          </w:p>
        </w:tc>
        <w:tc>
          <w:tcPr>
            <w:tcW w:type="dxa" w:w="727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</w:tr>
      <w:tr>
        <w:trPr>
          <w:cantSplit/>
          <w:trHeight w:val="691" w:hRule="atLeast"/>
        </w:trPr>
        <w:tc>
          <w:tcPr>
            <w:tcW w:type="dxa" w:w="2664"/>
            <w:shd w:fill="DCE6F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22222"/>
                <w:sz w:val="18"/>
              </w:rPr>
              <w:t>临时运行限制</w:t>
            </w:r>
          </w:p>
        </w:tc>
        <w:tc>
          <w:tcPr>
            <w:tcW w:type="dxa" w:w="727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</w:tr>
      <w:tr>
        <w:trPr>
          <w:cantSplit/>
          <w:trHeight w:val="691" w:hRule="atLeast"/>
        </w:trPr>
        <w:tc>
          <w:tcPr>
            <w:tcW w:type="dxa" w:w="2664"/>
            <w:shd w:fill="DCE6F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22222"/>
                <w:sz w:val="18"/>
              </w:rPr>
              <w:t>恢复运行决定</w:t>
            </w:r>
          </w:p>
        </w:tc>
        <w:tc>
          <w:tcPr>
            <w:tcW w:type="dxa" w:w="727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□ 完全恢复  □ 限制运行  □ 不允许运行</w:t>
            </w:r>
          </w:p>
        </w:tc>
      </w:tr>
      <w:tr>
        <w:trPr>
          <w:cantSplit/>
          <w:trHeight w:val="691" w:hRule="atLeast"/>
        </w:trPr>
        <w:tc>
          <w:tcPr>
            <w:tcW w:type="dxa" w:w="2664"/>
            <w:shd w:fill="DCE6F1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/>
                <w:color w:val="222222"/>
                <w:sz w:val="18"/>
              </w:rPr>
              <w:t>编制 审核 批准</w:t>
            </w:r>
          </w:p>
        </w:tc>
        <w:tc>
          <w:tcPr>
            <w:tcW w:type="dxa" w:w="727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8.2 照片和视频证据清单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33"/>
        <w:gridCol w:w="1933"/>
        <w:gridCol w:w="1933"/>
        <w:gridCol w:w="1933"/>
        <w:gridCol w:w="1933"/>
      </w:tblGrid>
      <w:tr>
        <w:trPr>
          <w:tblHeader w:val="true"/>
          <w:cantSplit/>
        </w:trPr>
        <w:tc>
          <w:tcPr>
            <w:tcW w:type="dxa" w:w="648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512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1944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部位和方向</w:t>
            </w:r>
          </w:p>
        </w:tc>
        <w:tc>
          <w:tcPr>
            <w:tcW w:type="dxa" w:w="3168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观察结果</w:t>
            </w:r>
          </w:p>
        </w:tc>
        <w:tc>
          <w:tcPr>
            <w:tcW w:type="dxa" w:w="2664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原始文件和保管位置</w:t>
            </w:r>
          </w:p>
        </w:tc>
      </w:tr>
      <w:tr>
        <w:trPr>
          <w:cantSplit/>
          <w:trHeight w:val="605" w:hRule="atLeast"/>
        </w:trPr>
        <w:tc>
          <w:tcPr>
            <w:tcW w:type="dxa" w:w="64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1</w:t>
            </w:r>
          </w:p>
        </w:tc>
        <w:tc>
          <w:tcPr>
            <w:tcW w:type="dxa" w:w="151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194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316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266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</w:tr>
      <w:tr>
        <w:trPr>
          <w:cantSplit/>
          <w:trHeight w:val="605" w:hRule="atLeast"/>
        </w:trPr>
        <w:tc>
          <w:tcPr>
            <w:tcW w:type="dxa" w:w="648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2</w:t>
            </w:r>
          </w:p>
        </w:tc>
        <w:tc>
          <w:tcPr>
            <w:tcW w:type="dxa" w:w="151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194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3168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266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</w:tr>
      <w:tr>
        <w:trPr>
          <w:cantSplit/>
          <w:trHeight w:val="605" w:hRule="atLeast"/>
        </w:trPr>
        <w:tc>
          <w:tcPr>
            <w:tcW w:type="dxa" w:w="64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3</w:t>
            </w:r>
          </w:p>
        </w:tc>
        <w:tc>
          <w:tcPr>
            <w:tcW w:type="dxa" w:w="151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194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316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266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</w:tr>
      <w:tr>
        <w:trPr>
          <w:cantSplit/>
          <w:trHeight w:val="605" w:hRule="atLeast"/>
        </w:trPr>
        <w:tc>
          <w:tcPr>
            <w:tcW w:type="dxa" w:w="648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4</w:t>
            </w:r>
          </w:p>
        </w:tc>
        <w:tc>
          <w:tcPr>
            <w:tcW w:type="dxa" w:w="151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194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3168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266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</w:tr>
      <w:tr>
        <w:trPr>
          <w:cantSplit/>
          <w:trHeight w:val="605" w:hRule="atLeast"/>
        </w:trPr>
        <w:tc>
          <w:tcPr>
            <w:tcW w:type="dxa" w:w="64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5</w:t>
            </w:r>
          </w:p>
        </w:tc>
        <w:tc>
          <w:tcPr>
            <w:tcW w:type="dxa" w:w="151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194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316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  <w:tc>
          <w:tcPr>
            <w:tcW w:type="dxa" w:w="266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8.3 提交原厂技术支持的信息</w:t>
      </w:r>
    </w:p>
    <w:p>
      <w:pPr>
        <w:pStyle w:val="ListBullet"/>
        <w:spacing w:after="60"/>
        <w:ind w:left="403" w:hanging="245"/>
      </w:pPr>
      <w:r>
        <w:rPr>
          <w:rFonts w:ascii="Arial" w:hAnsi="Arial" w:eastAsia="SimSun"/>
          <w:color w:val="222222"/>
          <w:sz w:val="21"/>
        </w:rPr>
        <w:t>设备序列号、控制器软件版本、储罐标识、配置工作表和最近维护记录。</w:t>
      </w:r>
    </w:p>
    <w:p>
      <w:pPr>
        <w:pStyle w:val="ListBullet"/>
        <w:spacing w:after="60"/>
        <w:ind w:left="403" w:hanging="245"/>
      </w:pPr>
      <w:r>
        <w:rPr>
          <w:rFonts w:ascii="Arial" w:hAnsi="Arial" w:eastAsia="SimSun"/>
          <w:color w:val="222222"/>
          <w:sz w:val="21"/>
        </w:rPr>
        <w:t>报警发生时间、模式、方向、速度、位置、液位和 10004、10008、10009、10010、10013 状态。</w:t>
      </w:r>
    </w:p>
    <w:p>
      <w:pPr>
        <w:pStyle w:val="ListBullet"/>
        <w:spacing w:after="60"/>
        <w:ind w:left="403" w:hanging="245"/>
      </w:pPr>
      <w:r>
        <w:rPr>
          <w:rFonts w:ascii="Arial" w:hAnsi="Arial" w:eastAsia="SimSun"/>
          <w:color w:val="222222"/>
          <w:sz w:val="21"/>
        </w:rPr>
        <w:t>电机页面、DCS 趋势、同步运动视频、拆检照片和损伤位置记录。</w:t>
      </w:r>
    </w:p>
    <w:p>
      <w:pPr>
        <w:pStyle w:val="ListBullet"/>
        <w:spacing w:after="60"/>
        <w:ind w:left="403" w:hanging="245"/>
      </w:pPr>
      <w:r>
        <w:rPr>
          <w:rFonts w:ascii="Arial" w:hAnsi="Arial" w:eastAsia="SimSun"/>
          <w:color w:val="222222"/>
          <w:sz w:val="21"/>
        </w:rPr>
        <w:t>已完成的检查、替换部件、功能测试结果、残余风险和需要 SI 决定的问题。</w:t>
      </w:r>
    </w:p>
    <w:p>
      <w:pPr>
        <w:pStyle w:val="Heading1"/>
        <w:keepNext/>
        <w:pageBreakBefore w:val="0"/>
      </w:pPr>
      <w:r>
        <w:t>9 结论与资料依据</w:t>
      </w:r>
    </w:p>
    <w:p>
      <w:pPr>
        <w:pStyle w:val="Heading2"/>
        <w:keepNext/>
        <w:pageBreakBefore w:val="0"/>
      </w:pPr>
      <w:r>
        <w:t>9.1 结论</w:t>
      </w:r>
    </w:p>
    <w:p>
      <w:pPr>
        <w:pStyle w:val="BodyText"/>
      </w:pPr>
      <w:r>
        <w:rPr>
          <w:rFonts w:ascii="Arial" w:hAnsi="Arial" w:eastAsia="SimSun"/>
          <w:color w:val="222222"/>
          <w:sz w:val="22"/>
        </w:rPr>
        <w:t>原厂 SI-7000 的线盘报警应按物理驱动异常处置，同时调查线盘反馈信号。现场首先判断线盘是否真实转动，再区分供电或电机输出、机械传动、链条与探头通道，以及反馈链问题。固定高度、方向相关、链条或线缆损伤和探头擦痕可以强化某一排查方向，但只有形成时间、位置、运动和拆检证据闭环后才能确认根因。</w:t>
      </w:r>
    </w:p>
    <w:p>
      <w:pPr>
        <w:pStyle w:val="BodyText"/>
      </w:pPr>
      <w:r>
        <w:rPr>
          <w:rFonts w:ascii="Arial" w:hAnsi="Arial" w:eastAsia="SimSun"/>
          <w:color w:val="222222"/>
          <w:sz w:val="22"/>
        </w:rPr>
        <w:t>报警清除只能说明当前监控条件不再触发，不能证明机械损伤、位置偏差或间歇性反馈问题已经消失。恢复运行前必须完成原厂电机测试，确认位置基准和液位有效，完成完整剖面测量及本机与 DCS 对照，并消除残余风险或按程序正式接受残余风险。</w:t>
      </w:r>
    </w:p>
    <w:p>
      <w:pPr>
        <w:pStyle w:val="Heading2"/>
        <w:keepNext/>
        <w:pageBreakBefore w:val="0"/>
      </w:pPr>
      <w:r>
        <w:t>9.2 结论追溯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16"/>
        <w:gridCol w:w="2416"/>
        <w:gridCol w:w="2416"/>
        <w:gridCol w:w="2416"/>
      </w:tblGrid>
      <w:tr>
        <w:trPr>
          <w:tblHeader w:val="true"/>
          <w:cantSplit/>
        </w:trPr>
        <w:tc>
          <w:tcPr>
            <w:tcW w:type="dxa" w:w="1800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3816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原厂文件</w:t>
            </w:r>
          </w:p>
        </w:tc>
        <w:tc>
          <w:tcPr>
            <w:tcW w:type="dxa" w:w="2520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800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10009 状态及重要性</w:t>
            </w:r>
          </w:p>
        </w:tc>
        <w:tc>
          <w:tcPr>
            <w:tcW w:type="dxa" w:w="3816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020-701 Rev B DCS Modbus Interface Specification</w:t>
            </w:r>
          </w:p>
        </w:tc>
        <w:tc>
          <w:tcPr>
            <w:tcW w:type="dxa" w:w="252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原厂资料包第 6 至 7 页</w:t>
            </w:r>
          </w:p>
        </w:tc>
        <w:tc>
          <w:tcPr>
            <w:tcW w:type="dxa" w:w="180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状态定义和 DCS 显示要求</w:t>
            </w:r>
          </w:p>
        </w:tc>
      </w:tr>
      <w:tr>
        <w:trPr>
          <w:cantSplit/>
        </w:trPr>
        <w:tc>
          <w:tcPr>
            <w:tcW w:type="dxa" w:w="1800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线盘报警含义</w:t>
            </w:r>
          </w:p>
        </w:tc>
        <w:tc>
          <w:tcPr>
            <w:tcW w:type="dxa" w:w="3816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090-7000-2B Rev A Operational Manual Part B</w:t>
            </w:r>
          </w:p>
        </w:tc>
        <w:tc>
          <w:tcPr>
            <w:tcW w:type="dxa" w:w="2520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原厂资料包第 68 至 70 页</w:t>
            </w:r>
          </w:p>
        </w:tc>
        <w:tc>
          <w:tcPr>
            <w:tcW w:type="dxa" w:w="1800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线盘未转及两类可能原因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手动模式和方向切换</w:t>
            </w:r>
          </w:p>
        </w:tc>
        <w:tc>
          <w:tcPr>
            <w:tcW w:type="dxa" w:w="3816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090-7000-2B Rev A Operational Manual Part B</w:t>
            </w:r>
          </w:p>
        </w:tc>
        <w:tc>
          <w:tcPr>
            <w:tcW w:type="dxa" w:w="252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原厂资料包第 68 至 70 页及第 83 至 84 页</w:t>
            </w:r>
          </w:p>
        </w:tc>
        <w:tc>
          <w:tcPr>
            <w:tcW w:type="dxa" w:w="180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报警限制和停止键要求</w:t>
            </w:r>
          </w:p>
        </w:tc>
      </w:tr>
      <w:tr>
        <w:trPr>
          <w:cantSplit/>
        </w:trPr>
        <w:tc>
          <w:tcPr>
            <w:tcW w:type="dxa" w:w="1800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通道和静液井</w:t>
            </w:r>
          </w:p>
        </w:tc>
        <w:tc>
          <w:tcPr>
            <w:tcW w:type="dxa" w:w="3816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090-7000-1 Rev A Installation and Commissioning Manual</w:t>
            </w:r>
          </w:p>
        </w:tc>
        <w:tc>
          <w:tcPr>
            <w:tcW w:type="dxa" w:w="2520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原厂资料包第 38 页</w:t>
            </w:r>
          </w:p>
        </w:tc>
        <w:tc>
          <w:tcPr>
            <w:tcW w:type="dxa" w:w="1800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罐内障碍和侧向载荷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电机驱动测试</w:t>
            </w:r>
          </w:p>
        </w:tc>
        <w:tc>
          <w:tcPr>
            <w:tcW w:type="dxa" w:w="3816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090-7000-1 Rev A Installation and Commissioning Manual</w:t>
            </w:r>
          </w:p>
        </w:tc>
        <w:tc>
          <w:tcPr>
            <w:tcW w:type="dxa" w:w="252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原厂资料包第 48 至 49 页</w:t>
            </w:r>
          </w:p>
        </w:tc>
        <w:tc>
          <w:tcPr>
            <w:tcW w:type="dxa" w:w="180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上下方向和速度验收</w:t>
            </w:r>
          </w:p>
        </w:tc>
      </w:tr>
      <w:tr>
        <w:trPr>
          <w:cantSplit/>
        </w:trPr>
        <w:tc>
          <w:tcPr>
            <w:tcW w:type="dxa" w:w="1800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维护和反馈检查</w:t>
            </w:r>
          </w:p>
        </w:tc>
        <w:tc>
          <w:tcPr>
            <w:tcW w:type="dxa" w:w="3816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090-7000-3 Rev - Service Manual</w:t>
            </w:r>
          </w:p>
        </w:tc>
        <w:tc>
          <w:tcPr>
            <w:tcW w:type="dxa" w:w="2520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原厂资料包第 94 至 100 页</w:t>
            </w:r>
          </w:p>
        </w:tc>
        <w:tc>
          <w:tcPr>
            <w:tcW w:type="dxa" w:w="1800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6"/>
              </w:rPr>
              <w:t>隔爆、链条、解码器和功能测试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  <w:pageBreakBefore w:val="0"/>
      </w:pPr>
      <w:r>
        <w:t>9.3 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21"/>
        <w:gridCol w:w="3221"/>
        <w:gridCol w:w="3221"/>
      </w:tblGrid>
      <w:tr>
        <w:trPr>
          <w:tblHeader w:val="true"/>
          <w:cantSplit/>
        </w:trPr>
        <w:tc>
          <w:tcPr>
            <w:tcW w:type="dxa" w:w="1152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944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6840"/>
            <w:shd w:fill="1F4E7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修订内容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V1.0</w:t>
            </w:r>
          </w:p>
        </w:tc>
        <w:tc>
          <w:tcPr>
            <w:tcW w:type="dxa" w:w="1944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2026年9月10日</w:t>
            </w:r>
          </w:p>
        </w:tc>
        <w:tc>
          <w:tcPr>
            <w:tcW w:type="dxa" w:w="684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建立原厂定义、可能问题、排查顺序和功能验证。</w:t>
            </w:r>
          </w:p>
        </w:tc>
      </w:tr>
      <w:tr>
        <w:trPr>
          <w:cantSplit/>
        </w:trPr>
        <w:tc>
          <w:tcPr>
            <w:tcW w:type="dxa" w:w="1152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V1.1</w:t>
            </w:r>
          </w:p>
        </w:tc>
        <w:tc>
          <w:tcPr>
            <w:tcW w:type="dxa" w:w="1944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2026年9月11日</w:t>
            </w:r>
          </w:p>
        </w:tc>
        <w:tc>
          <w:tcPr>
            <w:tcW w:type="dxa" w:w="6840"/>
            <w:shd w:fill="F3F6F8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增加现场背景、事件时间线、证据等级、快速处置、安全禁止事项、完整电机测试、恢复运行门禁和交接记录；正文改为中文术语优先。</w:t>
            </w:r>
          </w:p>
        </w:tc>
      </w:tr>
    </w:tbl>
    <w:p>
      <w:pPr>
        <w:spacing w:after="40"/>
      </w:pPr>
    </w:p>
    <w:p>
      <w:pPr>
        <w:pStyle w:val="BodyText"/>
      </w:pPr>
      <w:r>
        <w:rPr>
          <w:rFonts w:ascii="Arial" w:hAnsi="Arial" w:eastAsia="Microsoft YaHei"/>
          <w:b/>
          <w:color w:val="222222"/>
          <w:sz w:val="22"/>
        </w:rPr>
        <w:t xml:space="preserve">参考边界  </w:t>
      </w:r>
      <w:r>
        <w:rPr>
          <w:rFonts w:ascii="Arial" w:hAnsi="Arial" w:eastAsia="SimSun"/>
          <w:color w:val="222222"/>
          <w:sz w:val="22"/>
        </w:rPr>
        <w:t>漳州 LNG 储罐 LTD 测量问题情况汇报仅用于学习现场报告的背景、时间线、照片证据、原因分析和分阶段处置结构。该报告中的设备状态、损伤位置、原因判断、处置措施和后续计划均不作为本报告所适用现场的事实或结论。</w:t>
      </w:r>
    </w:p>
    <w:p>
      <w:pPr>
        <w:pStyle w:val="BodyText"/>
      </w:pPr>
      <w:r>
        <w:rPr>
          <w:rFonts w:ascii="Arial" w:hAnsi="Arial" w:eastAsia="Microsoft YaHei"/>
          <w:b/>
          <w:color w:val="222222"/>
          <w:sz w:val="22"/>
        </w:rPr>
        <w:t xml:space="preserve">资料边界  </w:t>
      </w:r>
      <w:r>
        <w:rPr>
          <w:rFonts w:ascii="Arial" w:hAnsi="Arial" w:eastAsia="SimSun"/>
          <w:color w:val="222222"/>
          <w:sz w:val="22"/>
        </w:rPr>
        <w:t>原厂公开资料没有披露线盘报警的内部判定阈值、延时、去抖、锁存和复位算法，也没有给出该状态与各电气部件故障码的一一对应关系。传动机构和反馈链的细分结论必须以现场证据和 Scientific Instruments 技术支持判断为准。</w:t>
      </w:r>
    </w:p>
    <w:sectPr w:rsidR="00FC693F" w:rsidRPr="0006063C" w:rsidSect="00034616">
      <w:footerReference w:type="default" r:id="rId9"/>
      <w:pgSz w:w="11909" w:h="16834"/>
      <w:pgMar w:top="1037" w:right="1123" w:bottom="1008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SimSun"/>
        <w:color w:val="666666"/>
        <w:sz w:val="18"/>
      </w:rPr>
      <w:t xml:space="preserve">SI-7000 线盘报警现场维护技术分析报告  V1.1  第 </w:t>
    </w:r>
    <w:fldSimple w:instr="PAGE">
      <w:r>
        <w:rPr>
          <w:rFonts w:ascii="Arial" w:hAnsi="Arial" w:eastAsia="SimSun"/>
          <w:sz w:val="18"/>
        </w:rPr>
        <w:t>1</w:t>
      </w:r>
    </w:fldSimple>
    <w:r>
      <w:rPr>
        <w:rFonts w:ascii="Arial" w:hAnsi="Arial" w:eastAsia="SimSun"/>
        <w:color w:val="666666"/>
        <w:sz w:val="18"/>
      </w:rPr>
      <w:t xml:space="preserve"> 页 共 </w:t>
    </w:r>
    <w:fldSimple w:instr="NUMPAGES">
      <w:r>
        <w:rPr>
          <w:rFonts w:ascii="Arial" w:hAnsi="Arial" w:eastAsia="SimSun"/>
          <w:sz w:val="18"/>
        </w:rPr>
        <w:t>1</w:t>
      </w:r>
    </w:fldSimple>
    <w:r>
      <w:rPr>
        <w:rFonts w:ascii="Arial" w:hAnsi="Arial" w:eastAsia="SimSun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Arial" w:hAnsi="Arial" w:eastAsia="SimSun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324" w:lineRule="auto"/>
    </w:pPr>
    <w:rPr>
      <w:rFonts w:ascii="Arial" w:hAnsi="Arial" w:eastAsia="SimSun"/>
      <w:color w:val="222222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SimSun"/>
      <w:color w:val="22222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SimSun"/>
      <w:color w:val="22222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SimSun"/>
      <w:color w:val="222222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SI-7000 线盘报警故障分析与现场排查建议</dc:title>
  <dc:subject>SI-7000原厂设备线盘报警现场故障分析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