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_watermark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F1BAE1">
      <w:pPr>
        <w:spacing w:before="3600"/>
        <w:jc w:val="center"/>
      </w:pPr>
      <w:r>
        <w:rPr>
          <w:rFonts w:ascii="Arial" w:hAnsi="Arial" w:eastAsia="微软雅黑"/>
          <w:b/>
          <w:bCs/>
          <w:color w:val="1F4E79"/>
          <w:sz w:val="44"/>
          <w:szCs w:val="44"/>
        </w:rPr>
        <w:t>验证与确认计划</w:t>
      </w:r>
    </w:p>
    <w:p w14:paraId="03AECC9B">
      <w:pPr>
        <w:spacing w:before="500" w:after="150"/>
        <w:jc w:val="center"/>
      </w:pPr>
      <w:r>
        <w:rPr>
          <w:rFonts w:ascii="Arial" w:hAnsi="Arial" w:eastAsia="微软雅黑"/>
          <w:color w:val="1F4E79"/>
          <w:sz w:val="26"/>
          <w:szCs w:val="26"/>
        </w:rPr>
        <w:t>Verification &amp; Validation Plan</w:t>
      </w:r>
    </w:p>
    <w:p w14:paraId="41C6CA96">
      <w:pPr>
        <w:spacing w:before="350"/>
        <w:jc w:val="center"/>
      </w:pPr>
      <w:r>
        <w:rPr>
          <w:rFonts w:ascii="Arial" w:hAnsi="Arial" w:eastAsia="微软雅黑"/>
          <w:color w:val="666666"/>
          <w:sz w:val="22"/>
          <w:szCs w:val="22"/>
        </w:rPr>
        <w:t>依据 IEC 61508-1:2010 第7.18条款（验证）和第7.8条款（确认计划）</w:t>
      </w:r>
    </w:p>
    <w:p w14:paraId="04D95689">
      <w:pPr>
        <w:spacing w:before="1100"/>
        <w:jc w:val="center"/>
      </w:pPr>
      <w:r>
        <w:rPr>
          <w:rFonts w:ascii="Arial" w:hAnsi="Arial" w:eastAsia="微软雅黑"/>
          <w:color w:val="333333"/>
          <w:sz w:val="23"/>
          <w:szCs w:val="23"/>
        </w:rPr>
        <w:t>产品：电磁流量计   目标 SIL 2  |  HFT = 0  |  低要求模式</w:t>
      </w:r>
    </w:p>
    <w:p w14:paraId="60CA7F19">
      <w:pPr>
        <w:spacing w:before="2200"/>
        <w:jc w:val="center"/>
      </w:pPr>
      <w:r>
        <w:rPr>
          <w:rFonts w:ascii="Arial" w:hAnsi="Arial" w:eastAsia="微软雅黑"/>
          <w:color w:val="888888"/>
          <w:sz w:val="20"/>
          <w:szCs w:val="20"/>
        </w:rPr>
        <w:t>文件编号：VVP-EMF-001   版本：1.0  |  日期：YYYY-MM-DD</w:t>
      </w:r>
    </w:p>
    <w:p w14:paraId="17275760">
      <w:r>
        <w:br w:type="page"/>
      </w:r>
    </w:p>
    <w:p w14:paraId="12CCC685">
      <w:pPr>
        <w:pStyle w:val="2"/>
      </w:pPr>
      <w:r>
        <w:rPr>
          <w:rFonts w:ascii="Arial" w:hAnsi="Arial" w:eastAsia="微软雅黑"/>
        </w:rPr>
        <w:t>引言</w:t>
      </w:r>
    </w:p>
    <w:p w14:paraId="7D5D2E4B">
      <w:pPr>
        <w:spacing w:after="120"/>
      </w:pPr>
      <w:r>
        <w:rPr>
          <w:rFonts w:ascii="Arial" w:hAnsi="Arial" w:eastAsia="微软雅黑"/>
          <w:sz w:val="21"/>
          <w:szCs w:val="21"/>
        </w:rPr>
        <w:t>本文档定义电磁流量计功能安全开发过程中的验证(Verification)和确认(Validation)活动的策略、方法、时机和独立性要求。</w:t>
      </w:r>
    </w:p>
    <w:p w14:paraId="4E14BE37">
      <w:pPr>
        <w:pStyle w:val="16"/>
        <w:numPr>
          <w:ilvl w:val="0"/>
          <w:numId w:val="2"/>
        </w:numPr>
        <w:spacing w:after="80"/>
      </w:pPr>
      <w:r>
        <w:rPr>
          <w:rFonts w:ascii="Arial" w:hAnsi="Arial" w:eastAsia="微软雅黑"/>
          <w:sz w:val="21"/>
          <w:szCs w:val="21"/>
        </w:rPr>
        <w:t>验证(Verification)：每个安全生命周期阶段的输出是否满足该阶段的输入要求（正确构建产品）。标准依据：IEC 61508-1:2010 第7.18条款。</w:t>
      </w:r>
    </w:p>
    <w:p w14:paraId="5A96E4A6">
      <w:pPr>
        <w:pStyle w:val="16"/>
        <w:numPr>
          <w:ilvl w:val="0"/>
          <w:numId w:val="2"/>
        </w:numPr>
        <w:spacing w:after="80"/>
      </w:pPr>
      <w:r>
        <w:rPr>
          <w:rFonts w:ascii="Arial" w:hAnsi="Arial" w:eastAsia="微软雅黑"/>
          <w:sz w:val="21"/>
          <w:szCs w:val="21"/>
        </w:rPr>
        <w:t>确认(Validation)：最终的E/E/PE安全系统是否满足总体安全要求（构建了正确的产品）。标准依据：IEC 61508-1:2010 第7.8条款（规划）、第7.14条款（执行）。</w:t>
      </w:r>
    </w:p>
    <w:p w14:paraId="38BA60B6">
      <w:pPr>
        <w:pStyle w:val="16"/>
        <w:numPr>
          <w:ilvl w:val="0"/>
          <w:numId w:val="2"/>
        </w:numPr>
        <w:spacing w:after="80"/>
      </w:pPr>
      <w:r>
        <w:rPr>
          <w:rFonts w:ascii="Arial" w:hAnsi="Arial" w:eastAsia="微软雅黑"/>
          <w:sz w:val="21"/>
          <w:szCs w:val="21"/>
        </w:rPr>
        <w:t>上游文档：安全计划（SP-EMF-001）、系统安全需求规范（SSR-EMF-001）</w:t>
      </w:r>
    </w:p>
    <w:p w14:paraId="64F66719">
      <w:pPr>
        <w:pStyle w:val="3"/>
      </w:pPr>
      <w:r>
        <w:rPr>
          <w:rFonts w:ascii="Arial" w:hAnsi="Arial" w:eastAsia="微软雅黑"/>
        </w:rPr>
        <w:t>规范性引用文件</w:t>
      </w:r>
    </w:p>
    <w:p w14:paraId="1FD6F735">
      <w:pPr>
        <w:pStyle w:val="16"/>
        <w:numPr>
          <w:ilvl w:val="0"/>
          <w:numId w:val="2"/>
        </w:numPr>
        <w:spacing w:after="80"/>
      </w:pPr>
      <w:r>
        <w:rPr>
          <w:rFonts w:ascii="Arial" w:hAnsi="Arial" w:eastAsia="微软雅黑"/>
          <w:sz w:val="21"/>
          <w:szCs w:val="21"/>
        </w:rPr>
        <w:t>IEC 61508-1:2010 / IEC 61508-2:2010 / IEC 61508-3:2010</w:t>
      </w:r>
    </w:p>
    <w:p w14:paraId="061CD82B">
      <w:pPr>
        <w:pStyle w:val="16"/>
        <w:numPr>
          <w:ilvl w:val="0"/>
          <w:numId w:val="2"/>
        </w:numPr>
        <w:spacing w:after="80"/>
      </w:pPr>
      <w:r>
        <w:rPr>
          <w:rFonts w:ascii="Arial" w:hAnsi="Arial" w:eastAsia="微软雅黑"/>
          <w:sz w:val="21"/>
          <w:szCs w:val="21"/>
        </w:rPr>
        <w:t>IEC 61508-7:2010 第7部分：技术与措施概述</w:t>
      </w:r>
    </w:p>
    <w:p w14:paraId="7FF2DBB2">
      <w:pPr>
        <w:pStyle w:val="16"/>
        <w:numPr>
          <w:ilvl w:val="0"/>
          <w:numId w:val="2"/>
        </w:numPr>
        <w:spacing w:after="80"/>
      </w:pPr>
      <w:r>
        <w:rPr>
          <w:rFonts w:ascii="Arial" w:hAnsi="Arial" w:eastAsia="微软雅黑"/>
          <w:sz w:val="21"/>
          <w:szCs w:val="21"/>
        </w:rPr>
        <w:t>SP-EMF-001 安全计划</w:t>
      </w:r>
    </w:p>
    <w:p w14:paraId="40549DBB">
      <w:pPr>
        <w:pStyle w:val="16"/>
        <w:numPr>
          <w:ilvl w:val="0"/>
          <w:numId w:val="2"/>
        </w:numPr>
        <w:spacing w:after="80"/>
      </w:pPr>
      <w:r>
        <w:rPr>
          <w:rFonts w:ascii="Arial" w:hAnsi="Arial" w:eastAsia="微软雅黑"/>
          <w:sz w:val="21"/>
          <w:szCs w:val="21"/>
        </w:rPr>
        <w:t>系统安全需求规范（SSR-EMF-001）</w:t>
      </w:r>
    </w:p>
    <w:p w14:paraId="3D795970">
      <w:r>
        <w:br w:type="page"/>
      </w:r>
    </w:p>
    <w:p w14:paraId="2C7E4CDD">
      <w:pPr>
        <w:pStyle w:val="2"/>
      </w:pPr>
      <w:r>
        <w:rPr>
          <w:rFonts w:ascii="Arial" w:hAnsi="Arial" w:eastAsia="微软雅黑"/>
        </w:rPr>
        <w:t>验证策略总览</w:t>
      </w:r>
    </w:p>
    <w:p w14:paraId="0BCFE44D">
      <w:pPr>
        <w:spacing w:after="120"/>
      </w:pPr>
      <w:r>
        <w:rPr>
          <w:rFonts w:ascii="Arial" w:hAnsi="Arial" w:eastAsia="微软雅黑"/>
          <w:sz w:val="21"/>
          <w:szCs w:val="21"/>
        </w:rPr>
        <w:t>标准依据：IEC 61508-1:2010 第7.18.2.1条款（与开发同步建立验证计划）、第7.18.2.2条款（验证计划应记录准则、技术、工具）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72"/>
        <w:gridCol w:w="2159"/>
        <w:gridCol w:w="1372"/>
        <w:gridCol w:w="1255"/>
        <w:gridCol w:w="1048"/>
        <w:gridCol w:w="1710"/>
      </w:tblGrid>
      <w:tr w14:paraId="778663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3606CF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1"/>
                <w:szCs w:val="21"/>
              </w:rPr>
              <w:t>验证方法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824603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1"/>
                <w:szCs w:val="21"/>
              </w:rPr>
              <w:t>描述</w:t>
            </w:r>
          </w:p>
        </w:tc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EDAB63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1"/>
                <w:szCs w:val="21"/>
              </w:rPr>
              <w:t>适用阶段</w:t>
            </w:r>
          </w:p>
        </w:tc>
        <w:tc>
          <w:tcPr>
            <w:tcW w:w="1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877674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1"/>
                <w:szCs w:val="21"/>
              </w:rPr>
              <w:t>SIL 2要求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090365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1"/>
                <w:szCs w:val="21"/>
              </w:rPr>
              <w:t>独立性</w:t>
            </w:r>
          </w:p>
        </w:tc>
        <w:tc>
          <w:tcPr>
            <w:tcW w:w="17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53630A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1"/>
                <w:szCs w:val="21"/>
              </w:rPr>
              <w:t>工具/标准</w:t>
            </w:r>
          </w:p>
        </w:tc>
      </w:tr>
      <w:tr w14:paraId="740A21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56B8DD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文档评审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85A504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对文档产出的结构化走查/审查，检查完整性、正确性、一致性</w:t>
            </w:r>
          </w:p>
        </w:tc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1ACD8F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全部阶段</w:t>
            </w:r>
          </w:p>
        </w:tc>
        <w:tc>
          <w:tcPr>
            <w:tcW w:w="1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6ECF6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R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6A851F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IP</w:t>
            </w:r>
          </w:p>
        </w:tc>
        <w:tc>
          <w:tcPr>
            <w:tcW w:w="17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EC9C37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检查单模板</w:t>
            </w:r>
          </w:p>
        </w:tc>
      </w:tr>
      <w:tr w14:paraId="50024D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EB941E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设计审查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775731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正式设计评审会议（原理图、PCB、BOM、软件架构）</w:t>
            </w:r>
          </w:p>
        </w:tc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74495C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设计开发</w:t>
            </w:r>
          </w:p>
        </w:tc>
        <w:tc>
          <w:tcPr>
            <w:tcW w:w="1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997432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HR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AD3A1A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ID</w:t>
            </w:r>
          </w:p>
        </w:tc>
        <w:tc>
          <w:tcPr>
            <w:tcW w:w="17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DCFD3B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评审记录表</w:t>
            </w:r>
          </w:p>
        </w:tc>
      </w:tr>
      <w:tr w14:paraId="574ECD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5A9F3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静态分析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AF22BA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代码静态分析（MISRA-C规则检查、数据流分析）</w:t>
            </w:r>
          </w:p>
        </w:tc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6CE070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编码实现</w:t>
            </w:r>
          </w:p>
        </w:tc>
        <w:tc>
          <w:tcPr>
            <w:tcW w:w="1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55244F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HR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74E850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ID</w:t>
            </w:r>
          </w:p>
        </w:tc>
        <w:tc>
          <w:tcPr>
            <w:tcW w:w="17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783052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PC-Lint/Coverity</w:t>
            </w:r>
          </w:p>
        </w:tc>
      </w:tr>
      <w:tr w14:paraId="6164CD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671FBF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单元测试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F4643B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软件模块单元测试</w:t>
            </w:r>
          </w:p>
        </w:tc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8736E1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软件测试</w:t>
            </w:r>
          </w:p>
        </w:tc>
        <w:tc>
          <w:tcPr>
            <w:tcW w:w="1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5D3288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HR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6CB281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ID</w:t>
            </w:r>
          </w:p>
        </w:tc>
        <w:tc>
          <w:tcPr>
            <w:tcW w:w="17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23AFAD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CppUnit/Unity</w:t>
            </w:r>
          </w:p>
        </w:tc>
      </w:tr>
      <w:tr w14:paraId="562CBF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E614D5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集成测试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70D81E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软硬件集成测试、PE集成测试、系统集成测试</w:t>
            </w:r>
          </w:p>
        </w:tc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C64021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集成阶段</w:t>
            </w:r>
          </w:p>
        </w:tc>
        <w:tc>
          <w:tcPr>
            <w:tcW w:w="1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0AA4B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HR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FCD24A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ID</w:t>
            </w:r>
          </w:p>
        </w:tc>
        <w:tc>
          <w:tcPr>
            <w:tcW w:w="17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3CEB8D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测试脚本/工装</w:t>
            </w:r>
          </w:p>
        </w:tc>
      </w:tr>
      <w:tr w14:paraId="3216D1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B63F02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FMEDA验证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E47088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对FMEDA分析的独立审核——失效模式完整性、失效率数据来源、SFF/DC计算</w:t>
            </w:r>
          </w:p>
        </w:tc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31804C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设计开发</w:t>
            </w:r>
          </w:p>
        </w:tc>
        <w:tc>
          <w:tcPr>
            <w:tcW w:w="1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6B807A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R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2852C8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ID</w:t>
            </w:r>
          </w:p>
        </w:tc>
        <w:tc>
          <w:tcPr>
            <w:tcW w:w="17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057DF2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FMEA标准IEC 60812</w:t>
            </w:r>
          </w:p>
        </w:tc>
      </w:tr>
      <w:tr w14:paraId="390071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075DD0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EMC/环境测试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6CE55E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按IEC 61326-3-1 / IEC 60068执行EMC和环境测试</w:t>
            </w:r>
          </w:p>
        </w:tc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FEA3B2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验证确认</w:t>
            </w:r>
          </w:p>
        </w:tc>
        <w:tc>
          <w:tcPr>
            <w:tcW w:w="1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BFC845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R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760F8D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ID</w:t>
            </w:r>
          </w:p>
        </w:tc>
        <w:tc>
          <w:tcPr>
            <w:tcW w:w="17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86B27A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EMC测试设备</w:t>
            </w:r>
          </w:p>
        </w:tc>
      </w:tr>
      <w:tr w14:paraId="399A23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AC2119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故障插入测试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E8EAD3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注入硬件故障验证诊断覆盖率和故障响应</w:t>
            </w:r>
          </w:p>
        </w:tc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60C5E8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验证确认</w:t>
            </w:r>
          </w:p>
        </w:tc>
        <w:tc>
          <w:tcPr>
            <w:tcW w:w="1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838069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R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6589C6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ID</w:t>
            </w:r>
          </w:p>
        </w:tc>
        <w:tc>
          <w:tcPr>
            <w:tcW w:w="17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611164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故障注入工装</w:t>
            </w:r>
          </w:p>
        </w:tc>
      </w:tr>
    </w:tbl>
    <w:p w14:paraId="56623041">
      <w:pPr>
        <w:spacing w:after="120"/>
      </w:pPr>
      <w:r>
        <w:rPr>
          <w:rFonts w:ascii="Arial" w:hAnsi="Arial" w:eastAsia="微软雅黑"/>
          <w:sz w:val="21"/>
          <w:szCs w:val="21"/>
        </w:rPr>
        <w:t>R = Recommended（推荐）  HR = Highly Recommended（强烈推荐）  IP = Independent Person  ID = Independent Department</w:t>
      </w:r>
    </w:p>
    <w:p w14:paraId="3017FDD0">
      <w:pPr>
        <w:spacing w:after="120"/>
      </w:pPr>
      <w:r>
        <w:rPr>
          <w:rFonts w:ascii="Arial" w:hAnsi="Arial" w:eastAsia="微软雅黑"/>
          <w:sz w:val="21"/>
          <w:szCs w:val="21"/>
        </w:rPr>
        <w:t>独立性定义参见IEC 61508-4 第3.8.11-13条款：IP=独立于项目组的个人，ID=独立于项目组的部门（不同管理层汇报线）。</w:t>
      </w:r>
    </w:p>
    <w:p w14:paraId="0EE4CF92">
      <w:pPr>
        <w:pStyle w:val="2"/>
      </w:pPr>
      <w:r>
        <w:rPr>
          <w:rFonts w:ascii="Arial" w:hAnsi="Arial" w:eastAsia="微软雅黑"/>
        </w:rPr>
        <w:t>各阶段验证活动详情</w:t>
      </w:r>
    </w:p>
    <w:p w14:paraId="486A8842">
      <w:pPr>
        <w:spacing w:after="120"/>
      </w:pPr>
      <w:r>
        <w:rPr>
          <w:rFonts w:ascii="Arial" w:hAnsi="Arial" w:eastAsia="微软雅黑"/>
          <w:sz w:val="21"/>
          <w:szCs w:val="21"/>
        </w:rPr>
        <w:t>标准依据：IEC 61508-1:2010 第7.18.2.1-2条款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84"/>
        <w:gridCol w:w="2553"/>
        <w:gridCol w:w="1307"/>
        <w:gridCol w:w="1577"/>
        <w:gridCol w:w="1495"/>
      </w:tblGrid>
      <w:tr w14:paraId="587983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627BB6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1"/>
                <w:szCs w:val="21"/>
              </w:rPr>
              <w:t>生命周期阶段</w:t>
            </w:r>
          </w:p>
        </w:tc>
        <w:tc>
          <w:tcPr>
            <w:tcW w:w="2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D4A819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1"/>
                <w:szCs w:val="21"/>
              </w:rPr>
              <w:t>验证内容</w:t>
            </w:r>
          </w:p>
        </w:tc>
        <w:tc>
          <w:tcPr>
            <w:tcW w:w="1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AAD0D9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1"/>
                <w:szCs w:val="21"/>
              </w:rPr>
              <w:t>方法</w:t>
            </w:r>
          </w:p>
        </w:tc>
        <w:tc>
          <w:tcPr>
            <w:tcW w:w="1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84ECE7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1"/>
                <w:szCs w:val="21"/>
              </w:rPr>
              <w:t>输出</w:t>
            </w:r>
          </w:p>
        </w:tc>
        <w:tc>
          <w:tcPr>
            <w:tcW w:w="15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B0F8F3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1"/>
                <w:szCs w:val="21"/>
              </w:rPr>
              <w:t>追溯至</w:t>
            </w:r>
          </w:p>
        </w:tc>
      </w:tr>
      <w:tr w14:paraId="62C6DF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A550DF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概念+范围+风险分析</w:t>
            </w:r>
          </w:p>
        </w:tc>
        <w:tc>
          <w:tcPr>
            <w:tcW w:w="2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5CFBD0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危害识别完整性、风险等级合理性、SIL确定可追溯性</w:t>
            </w:r>
          </w:p>
        </w:tc>
        <w:tc>
          <w:tcPr>
            <w:tcW w:w="1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8D706D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文档评审</w:t>
            </w:r>
          </w:p>
        </w:tc>
        <w:tc>
          <w:tcPr>
            <w:tcW w:w="1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ED9B00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评审记录</w:t>
            </w:r>
          </w:p>
        </w:tc>
        <w:tc>
          <w:tcPr>
            <w:tcW w:w="15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A769DB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风险分析报告（1-6）</w:t>
            </w:r>
          </w:p>
        </w:tc>
      </w:tr>
      <w:tr w14:paraId="1270AC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C75056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系统安全需求</w:t>
            </w:r>
          </w:p>
        </w:tc>
        <w:tc>
          <w:tcPr>
            <w:tcW w:w="2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EDF302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SSR完整性和一致性；每个需求的明确性、可验证性、可追溯性</w:t>
            </w:r>
          </w:p>
        </w:tc>
        <w:tc>
          <w:tcPr>
            <w:tcW w:w="1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3A9FC7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审查+追溯矩阵检查</w:t>
            </w:r>
          </w:p>
        </w:tc>
        <w:tc>
          <w:tcPr>
            <w:tcW w:w="1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A11AD2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SSR审查报告</w:t>
            </w:r>
          </w:p>
        </w:tc>
        <w:tc>
          <w:tcPr>
            <w:tcW w:w="15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E39F6C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系统安全需求规范及需求追踪表（1-7,1-9）</w:t>
            </w:r>
          </w:p>
        </w:tc>
      </w:tr>
      <w:tr w14:paraId="6A5415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C696D9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硬件安全需求</w:t>
            </w:r>
          </w:p>
        </w:tc>
        <w:tc>
          <w:tcPr>
            <w:tcW w:w="2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752034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HSR是否完整覆盖SSR的硬件部分；需求是否正确派生</w:t>
            </w:r>
          </w:p>
        </w:tc>
        <w:tc>
          <w:tcPr>
            <w:tcW w:w="1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176DCF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审查+追溯矩阵检查</w:t>
            </w:r>
          </w:p>
        </w:tc>
        <w:tc>
          <w:tcPr>
            <w:tcW w:w="1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42FCBD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HSR审查报告</w:t>
            </w:r>
          </w:p>
        </w:tc>
        <w:tc>
          <w:tcPr>
            <w:tcW w:w="15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42B70C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硬件安全需求规范（2-1）</w:t>
            </w:r>
          </w:p>
        </w:tc>
      </w:tr>
      <w:tr w14:paraId="5D4107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781BB4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硬件设计(FMEA/FMEDA)</w:t>
            </w:r>
          </w:p>
        </w:tc>
        <w:tc>
          <w:tcPr>
            <w:tcW w:w="2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29AEC4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FMEA覆盖全部功能模块；FMEDA失效模式、数据源、SFF/DC/PFDavg计算</w:t>
            </w:r>
          </w:p>
        </w:tc>
        <w:tc>
          <w:tcPr>
            <w:tcW w:w="1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B365A3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独立审核+计算复核</w:t>
            </w:r>
          </w:p>
        </w:tc>
        <w:tc>
          <w:tcPr>
            <w:tcW w:w="1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EDAD82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FMEA/FMEDA审核报告</w:t>
            </w:r>
          </w:p>
        </w:tc>
        <w:tc>
          <w:tcPr>
            <w:tcW w:w="15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0BB3A1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系统FMEA报告及元器件FMEDA报告（2-2,2-4）</w:t>
            </w:r>
          </w:p>
        </w:tc>
      </w:tr>
      <w:tr w14:paraId="7FDB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791992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原理图/PCB/BOM</w:t>
            </w:r>
          </w:p>
        </w:tc>
        <w:tc>
          <w:tcPr>
            <w:tcW w:w="2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C42DEA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与HDL一致性；安全与非安全隔离；降额合规性；布局DFM</w:t>
            </w:r>
          </w:p>
        </w:tc>
        <w:tc>
          <w:tcPr>
            <w:tcW w:w="1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D3A277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正式设计审查</w:t>
            </w:r>
          </w:p>
        </w:tc>
        <w:tc>
          <w:tcPr>
            <w:tcW w:w="1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C29253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原理图/PCB/BOM审查报告（2-8,10,12）</w:t>
            </w:r>
          </w:p>
        </w:tc>
        <w:tc>
          <w:tcPr>
            <w:tcW w:w="15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CFF658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原理图/PCB/BOM及审查报告（2-7~12）</w:t>
            </w:r>
          </w:p>
        </w:tc>
      </w:tr>
      <w:tr w14:paraId="70F7CE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749749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软件安全需求</w:t>
            </w:r>
          </w:p>
        </w:tc>
        <w:tc>
          <w:tcPr>
            <w:tcW w:w="2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FCA2ED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SWSR是否完整覆盖SSR+HSR中软件部分；每个需求的明确性</w:t>
            </w:r>
          </w:p>
        </w:tc>
        <w:tc>
          <w:tcPr>
            <w:tcW w:w="1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9A01D0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审查+追溯矩阵检查</w:t>
            </w:r>
          </w:p>
        </w:tc>
        <w:tc>
          <w:tcPr>
            <w:tcW w:w="1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7A0C24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SWSR审查报告</w:t>
            </w:r>
          </w:p>
        </w:tc>
        <w:tc>
          <w:tcPr>
            <w:tcW w:w="15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D690E0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软件安全需求规范（2-13）</w:t>
            </w:r>
          </w:p>
        </w:tc>
      </w:tr>
      <w:tr w14:paraId="332C09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3EC49F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软件架构设计</w:t>
            </w:r>
          </w:p>
        </w:tc>
        <w:tc>
          <w:tcPr>
            <w:tcW w:w="2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F5D08B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模块化、安全/非安全隔离、独立性分析</w:t>
            </w:r>
          </w:p>
        </w:tc>
        <w:tc>
          <w:tcPr>
            <w:tcW w:w="1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287B80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正式设计审查</w:t>
            </w:r>
          </w:p>
        </w:tc>
        <w:tc>
          <w:tcPr>
            <w:tcW w:w="1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94B4B9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架构审查报告</w:t>
            </w:r>
          </w:p>
        </w:tc>
        <w:tc>
          <w:tcPr>
            <w:tcW w:w="15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FB293B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软件架构设计规范（2-14）</w:t>
            </w:r>
          </w:p>
        </w:tc>
      </w:tr>
      <w:tr w14:paraId="2DC39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153A37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软件详细设计+编码</w:t>
            </w:r>
          </w:p>
        </w:tc>
        <w:tc>
          <w:tcPr>
            <w:tcW w:w="2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C59095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代码审查(MISRA C:2012合规性)；静态分析；配置管理</w:t>
            </w:r>
          </w:p>
        </w:tc>
        <w:tc>
          <w:tcPr>
            <w:tcW w:w="1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64619A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Code Review+静态分析</w:t>
            </w:r>
          </w:p>
        </w:tc>
        <w:tc>
          <w:tcPr>
            <w:tcW w:w="1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A7C2EC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审查报告(2-20,21)</w:t>
            </w:r>
          </w:p>
        </w:tc>
        <w:tc>
          <w:tcPr>
            <w:tcW w:w="15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18566D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软件模块设计描述及编码相关文档（2-16,18~21）</w:t>
            </w:r>
          </w:p>
        </w:tc>
      </w:tr>
      <w:tr w14:paraId="5E8CB8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7FC437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硬件模块测试</w:t>
            </w:r>
          </w:p>
        </w:tc>
        <w:tc>
          <w:tcPr>
            <w:tcW w:w="2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BBF889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与HDL一致；功能正确性；边界条件</w:t>
            </w:r>
          </w:p>
        </w:tc>
        <w:tc>
          <w:tcPr>
            <w:tcW w:w="1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C4EADA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模块测试(自动+手动)</w:t>
            </w:r>
          </w:p>
        </w:tc>
        <w:tc>
          <w:tcPr>
            <w:tcW w:w="1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A7F534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测试报告(3-2)</w:t>
            </w:r>
          </w:p>
        </w:tc>
        <w:tc>
          <w:tcPr>
            <w:tcW w:w="15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D8AFB1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硬件模块测试计划及报告（3-1,2）</w:t>
            </w:r>
          </w:p>
        </w:tc>
      </w:tr>
      <w:tr w14:paraId="6B3783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5D9DD7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软件单元测试</w:t>
            </w:r>
          </w:p>
        </w:tc>
        <w:tc>
          <w:tcPr>
            <w:tcW w:w="2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6CFA8F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语句覆盖≥95%、分支覆盖≥90%</w:t>
            </w:r>
          </w:p>
        </w:tc>
        <w:tc>
          <w:tcPr>
            <w:tcW w:w="1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7B4032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单元测试+覆盖率</w:t>
            </w:r>
          </w:p>
        </w:tc>
        <w:tc>
          <w:tcPr>
            <w:tcW w:w="1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BA19BA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测试报告(3-4)</w:t>
            </w:r>
          </w:p>
        </w:tc>
        <w:tc>
          <w:tcPr>
            <w:tcW w:w="15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2CCA91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软件单元测试计划及报告（3-3,4）</w:t>
            </w:r>
          </w:p>
        </w:tc>
      </w:tr>
      <w:tr w14:paraId="76E59D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1B7118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软件集成测试</w:t>
            </w:r>
          </w:p>
        </w:tc>
        <w:tc>
          <w:tcPr>
            <w:tcW w:w="2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853C61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模块间接口正确性；数据流一致性</w:t>
            </w:r>
          </w:p>
        </w:tc>
        <w:tc>
          <w:tcPr>
            <w:tcW w:w="1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D689AC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集成测试</w:t>
            </w:r>
          </w:p>
        </w:tc>
        <w:tc>
          <w:tcPr>
            <w:tcW w:w="1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ABF35A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测试报告(3-6)</w:t>
            </w:r>
          </w:p>
        </w:tc>
        <w:tc>
          <w:tcPr>
            <w:tcW w:w="15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4C7843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软件集成测试计划及报告（3-5,6）</w:t>
            </w:r>
          </w:p>
        </w:tc>
      </w:tr>
      <w:tr w14:paraId="7EDB6D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F10609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PE集成测试</w:t>
            </w:r>
          </w:p>
        </w:tc>
        <w:tc>
          <w:tcPr>
            <w:tcW w:w="2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20A589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硬件与软件联合工作正确性；故障注入下的安全状态达成</w:t>
            </w:r>
          </w:p>
        </w:tc>
        <w:tc>
          <w:tcPr>
            <w:tcW w:w="1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278A82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系统集成测试</w:t>
            </w:r>
          </w:p>
        </w:tc>
        <w:tc>
          <w:tcPr>
            <w:tcW w:w="1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C35EA6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PE集成报告</w:t>
            </w:r>
          </w:p>
        </w:tc>
        <w:tc>
          <w:tcPr>
            <w:tcW w:w="15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B0F9FA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系统安全验证报告（3-7）</w:t>
            </w:r>
          </w:p>
        </w:tc>
      </w:tr>
      <w:tr w14:paraId="5A1D04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CF5225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系统安全确认</w:t>
            </w:r>
          </w:p>
        </w:tc>
        <w:tc>
          <w:tcPr>
            <w:tcW w:w="2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2293DD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最终系统是否满足SSR全部要求；全部安全功能在定义的环境条件下的表现</w:t>
            </w:r>
          </w:p>
        </w:tc>
        <w:tc>
          <w:tcPr>
            <w:tcW w:w="1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3F0111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确认测试+分析</w:t>
            </w:r>
          </w:p>
        </w:tc>
        <w:tc>
          <w:tcPr>
            <w:tcW w:w="1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56BE9C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系统安全确认报告(3-7)</w:t>
            </w:r>
          </w:p>
        </w:tc>
        <w:tc>
          <w:tcPr>
            <w:tcW w:w="15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6794BD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安全确认计划（1-8）,3-7</w:t>
            </w:r>
          </w:p>
        </w:tc>
      </w:tr>
    </w:tbl>
    <w:p w14:paraId="237C969F">
      <w:r>
        <w:br w:type="page"/>
      </w:r>
    </w:p>
    <w:p w14:paraId="23D5380E">
      <w:pPr>
        <w:pStyle w:val="2"/>
      </w:pPr>
      <w:r>
        <w:rPr>
          <w:rFonts w:ascii="Arial" w:hAnsi="Arial" w:eastAsia="微软雅黑"/>
        </w:rPr>
        <w:t>确认(Validation)策略</w:t>
      </w:r>
    </w:p>
    <w:p w14:paraId="762CB126">
      <w:pPr>
        <w:spacing w:after="120"/>
      </w:pPr>
      <w:r>
        <w:rPr>
          <w:rFonts w:ascii="Arial" w:hAnsi="Arial" w:eastAsia="微软雅黑"/>
          <w:sz w:val="21"/>
          <w:szCs w:val="21"/>
        </w:rPr>
        <w:t>标准依据：IEC 61508-1:2010 第7.8.2.1条款。详细确认活动计划见独立文档——系统安全确认计划（安全确认计划（SVP-EMF-001 / 1-8））。本节提供确认策略的概要。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04"/>
        <w:gridCol w:w="6512"/>
      </w:tblGrid>
      <w:tr w14:paraId="23B9BA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778A18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1"/>
                <w:szCs w:val="21"/>
              </w:rPr>
              <w:t>确认项目</w:t>
            </w:r>
          </w:p>
        </w:tc>
        <w:tc>
          <w:tcPr>
            <w:tcW w:w="67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4872D2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1"/>
                <w:szCs w:val="21"/>
              </w:rPr>
              <w:t>概要策略</w:t>
            </w:r>
          </w:p>
        </w:tc>
      </w:tr>
      <w:tr w14:paraId="2C6A60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FA3FC1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确认时机</w:t>
            </w:r>
          </w:p>
        </w:tc>
        <w:tc>
          <w:tcPr>
            <w:tcW w:w="67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01188F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E/E/PE系统集成完成后，在代表性EUC环境下进行。</w:t>
            </w:r>
          </w:p>
        </w:tc>
      </w:tr>
      <w:tr w14:paraId="5D7CB7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9773B5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确认执行人</w:t>
            </w:r>
          </w:p>
        </w:tc>
        <w:tc>
          <w:tcPr>
            <w:tcW w:w="67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A508B2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验证工程师团队（独立于开发部门）。</w:t>
            </w:r>
          </w:p>
        </w:tc>
      </w:tr>
      <w:tr w14:paraId="450852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0AF001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EUC操作模式覆盖</w:t>
            </w:r>
          </w:p>
        </w:tc>
        <w:tc>
          <w:tcPr>
            <w:tcW w:w="67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AF289D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覆盖正常运行、启动、停机、维护/校准模式。</w:t>
            </w:r>
          </w:p>
        </w:tc>
      </w:tr>
      <w:tr w14:paraId="6BBD0A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DB52F7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确认方法</w:t>
            </w:r>
          </w:p>
        </w:tc>
        <w:tc>
          <w:tcPr>
            <w:tcW w:w="67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AB2559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功能测试（模拟流量信号全量程扫描）；故障插入测试（模拟传感器/ADC/MCU/DAC故障）；环境应力测试（温度/EMC/振动下的性能验证）。</w:t>
            </w:r>
          </w:p>
        </w:tc>
      </w:tr>
      <w:tr w14:paraId="017290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2934C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通过/失败准则</w:t>
            </w:r>
          </w:p>
        </w:tc>
        <w:tc>
          <w:tcPr>
            <w:tcW w:w="67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971802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全部安全功能在规定环境条件下表现符合SSR要求；故障注入下均在≤2s内进入安全状态；PFDavg计算结果在SIL 2范围内（FMEDA确认）</w:t>
            </w:r>
          </w:p>
        </w:tc>
      </w:tr>
      <w:tr w14:paraId="098C4D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1C5167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确认环境</w:t>
            </w:r>
          </w:p>
        </w:tc>
        <w:tc>
          <w:tcPr>
            <w:tcW w:w="67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7F33A1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实验室+现场联合确认。实验室：全环境模拟；现场：选定客户现场进行安装后确认测试。</w:t>
            </w:r>
          </w:p>
        </w:tc>
      </w:tr>
      <w:tr w14:paraId="63F3E5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D90223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设备校准</w:t>
            </w:r>
          </w:p>
        </w:tc>
        <w:tc>
          <w:tcPr>
            <w:tcW w:w="67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2BA97F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定量测量所用设备应溯源至国家标准。校准数据记录于确认报告中。</w:t>
            </w:r>
          </w:p>
        </w:tc>
      </w:tr>
      <w:tr w14:paraId="6F1AC0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1F2E18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确认偏差处理</w:t>
            </w:r>
          </w:p>
        </w:tc>
        <w:tc>
          <w:tcPr>
            <w:tcW w:w="67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387F6E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预期与实际结果不一致时，分析原因，决定继续确认或提交变更请求返回早期阶段。</w:t>
            </w:r>
          </w:p>
        </w:tc>
      </w:tr>
    </w:tbl>
    <w:p w14:paraId="58DF6CA2">
      <w:pPr>
        <w:pStyle w:val="2"/>
      </w:pPr>
      <w:r>
        <w:rPr>
          <w:rFonts w:ascii="Arial" w:hAnsi="Arial" w:eastAsia="微软雅黑"/>
        </w:rPr>
        <w:t>验证独立性要求</w:t>
      </w:r>
    </w:p>
    <w:p w14:paraId="2D17D1FB">
      <w:pPr>
        <w:spacing w:after="120"/>
      </w:pPr>
      <w:r>
        <w:rPr>
          <w:rFonts w:ascii="Arial" w:hAnsi="Arial" w:eastAsia="微软雅黑"/>
          <w:sz w:val="21"/>
          <w:szCs w:val="21"/>
        </w:rPr>
        <w:t>标准依据：IEC 61508-1:2010 第7.18.2.3条款。验证独立性程度取决于多个因素，按以下规则执行：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92"/>
        <w:gridCol w:w="2919"/>
        <w:gridCol w:w="3605"/>
      </w:tblGrid>
      <w:tr w14:paraId="0D0C0D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D5DDEA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1"/>
                <w:szCs w:val="21"/>
              </w:rPr>
              <w:t>生命周期阶段</w:t>
            </w:r>
          </w:p>
        </w:tc>
        <w:tc>
          <w:tcPr>
            <w:tcW w:w="3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B3CC11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1"/>
                <w:szCs w:val="21"/>
              </w:rPr>
              <w:t>SIL 2最低独立性</w:t>
            </w:r>
          </w:p>
        </w:tc>
        <w:tc>
          <w:tcPr>
            <w:tcW w:w="37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D5B189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1"/>
                <w:szCs w:val="21"/>
              </w:rPr>
              <w:t>本产品策略</w:t>
            </w:r>
          </w:p>
        </w:tc>
      </w:tr>
      <w:tr w14:paraId="420F5A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394667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概念/风险分析/安全需求</w:t>
            </w:r>
          </w:p>
        </w:tc>
        <w:tc>
          <w:tcPr>
            <w:tcW w:w="3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7AA8BB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Independent Person</w:t>
            </w:r>
          </w:p>
        </w:tc>
        <w:tc>
          <w:tcPr>
            <w:tcW w:w="37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59A3EB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安全经理独立于分析师——不同人员执行</w:t>
            </w:r>
          </w:p>
        </w:tc>
      </w:tr>
      <w:tr w14:paraId="48027F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CA87B8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设计开发阶段</w:t>
            </w:r>
          </w:p>
        </w:tc>
        <w:tc>
          <w:tcPr>
            <w:tcW w:w="3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758DD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Independent Department（强烈推荐）</w:t>
            </w:r>
          </w:p>
        </w:tc>
        <w:tc>
          <w:tcPr>
            <w:tcW w:w="37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26A6BB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验证工程师团队独立于开发团队——不同部门</w:t>
            </w:r>
          </w:p>
        </w:tc>
      </w:tr>
      <w:tr w14:paraId="3293DE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CCD545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集成测试/确认阶段</w:t>
            </w:r>
          </w:p>
        </w:tc>
        <w:tc>
          <w:tcPr>
            <w:tcW w:w="3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82EA03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Independent Department</w:t>
            </w:r>
          </w:p>
        </w:tc>
        <w:tc>
          <w:tcPr>
            <w:tcW w:w="37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B21EF3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同上</w:t>
            </w:r>
          </w:p>
        </w:tc>
      </w:tr>
      <w:tr w14:paraId="68E45C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126962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操作维护/修改</w:t>
            </w:r>
          </w:p>
        </w:tc>
        <w:tc>
          <w:tcPr>
            <w:tcW w:w="3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7CEBE6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Independent Person</w:t>
            </w:r>
          </w:p>
        </w:tc>
        <w:tc>
          <w:tcPr>
            <w:tcW w:w="37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7D2E9C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运维人员独立于原开发人员</w:t>
            </w:r>
          </w:p>
        </w:tc>
      </w:tr>
    </w:tbl>
    <w:p w14:paraId="6D02A718">
      <w:r>
        <w:br w:type="page"/>
      </w:r>
    </w:p>
    <w:p w14:paraId="1D67F873">
      <w:pPr>
        <w:pStyle w:val="2"/>
      </w:pPr>
      <w:r>
        <w:rPr>
          <w:rFonts w:ascii="Arial" w:hAnsi="Arial" w:eastAsia="微软雅黑"/>
        </w:rPr>
        <w:t>验证活动追溯矩阵</w:t>
      </w:r>
    </w:p>
    <w:p w14:paraId="48001143">
      <w:pPr>
        <w:spacing w:after="120"/>
      </w:pPr>
      <w:r>
        <w:rPr>
          <w:rFonts w:ascii="Arial" w:hAnsi="Arial" w:eastAsia="微软雅黑"/>
          <w:sz w:val="21"/>
          <w:szCs w:val="21"/>
        </w:rPr>
        <w:t>下表建立验证活动与IEC 61508条款和受检产出文档之间的追溯关系。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09"/>
        <w:gridCol w:w="2117"/>
        <w:gridCol w:w="1902"/>
        <w:gridCol w:w="1522"/>
        <w:gridCol w:w="1566"/>
      </w:tblGrid>
      <w:tr w14:paraId="48424C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F58471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1"/>
                <w:szCs w:val="21"/>
              </w:rPr>
              <w:t>验证活动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3497F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1"/>
                <w:szCs w:val="21"/>
              </w:rPr>
              <w:t>受检产出文档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F4B1FB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1"/>
                <w:szCs w:val="21"/>
              </w:rPr>
              <w:t>IEC 61508条款</w:t>
            </w:r>
          </w:p>
        </w:tc>
        <w:tc>
          <w:tcPr>
            <w:tcW w:w="15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967EDA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1"/>
                <w:szCs w:val="21"/>
              </w:rPr>
              <w:t>验证报告</w:t>
            </w:r>
          </w:p>
        </w:tc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12E91E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1"/>
                <w:szCs w:val="21"/>
              </w:rPr>
              <w:t>确认验证通过准则</w:t>
            </w:r>
          </w:p>
        </w:tc>
      </w:tr>
      <w:tr w14:paraId="55C039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CDAFE3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SSR完整性与一致性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F3E338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系统安全需求规范（1-7） SSR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38A371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61508-1 7.10</w:t>
            </w:r>
          </w:p>
        </w:tc>
        <w:tc>
          <w:tcPr>
            <w:tcW w:w="15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09D4BE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VVR-SSR-001</w:t>
            </w:r>
          </w:p>
        </w:tc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250CD2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全部需求明确、可验证</w:t>
            </w:r>
          </w:p>
        </w:tc>
      </w:tr>
      <w:tr w14:paraId="09B92E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0AD296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HSR完整性与派生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2CD398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硬件安全需求规范（2-1） HSR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BFA7B1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61508-2 7.2</w:t>
            </w:r>
          </w:p>
        </w:tc>
        <w:tc>
          <w:tcPr>
            <w:tcW w:w="15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8C836D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VVR-HSR-001</w:t>
            </w:r>
          </w:p>
        </w:tc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803A8A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覆盖SSR全部硬件相关需求</w:t>
            </w:r>
          </w:p>
        </w:tc>
      </w:tr>
      <w:tr w14:paraId="4978C6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383930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FMEA覆盖面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A1895D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系统FMEA报告（2-2） FMEA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031924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61508-2 7.4.6</w:t>
            </w:r>
          </w:p>
        </w:tc>
        <w:tc>
          <w:tcPr>
            <w:tcW w:w="15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8AE6B8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VVR-FMEA-001</w:t>
            </w:r>
          </w:p>
        </w:tc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D79825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全部功能模块覆盖，有缓解措施</w:t>
            </w:r>
          </w:p>
        </w:tc>
      </w:tr>
      <w:tr w14:paraId="271F13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11778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FMEDA数据与SFF计算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BF3FF1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元器件FMEDA报告（2-4） FMEDA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3E2CAA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61508-2 7.4.5, Annex C</w:t>
            </w:r>
          </w:p>
        </w:tc>
        <w:tc>
          <w:tcPr>
            <w:tcW w:w="15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64D73C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VVR-FMEDA-001</w:t>
            </w:r>
          </w:p>
        </w:tc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7AC7D9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SFF ≥90%, PFDavg符合SIL 2</w:t>
            </w:r>
          </w:p>
        </w:tc>
      </w:tr>
      <w:tr w14:paraId="4F3962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65410B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原理图/PCB审查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ED9184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原理图/PCB/BOM及审查报告（2-7~12）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955D17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61508-2 7.4.9</w:t>
            </w:r>
          </w:p>
        </w:tc>
        <w:tc>
          <w:tcPr>
            <w:tcW w:w="15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E79141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电路原理图检查报告（2-8）,10,12</w:t>
            </w:r>
          </w:p>
        </w:tc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20B898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与HDL一致，降额合规</w:t>
            </w:r>
          </w:p>
        </w:tc>
      </w:tr>
      <w:tr w14:paraId="1EE6DE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E6E4E6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SWSR完整性与派生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350BEE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软件安全需求规范（2-13） SWSR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75C98E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61508-3 7.2</w:t>
            </w:r>
          </w:p>
        </w:tc>
        <w:tc>
          <w:tcPr>
            <w:tcW w:w="15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8771F1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VVR-SWSR-001</w:t>
            </w:r>
          </w:p>
        </w:tc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EC600D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覆盖SSR+HSR全部软件需求</w:t>
            </w:r>
          </w:p>
        </w:tc>
      </w:tr>
      <w:tr w14:paraId="174200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077964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软件架构审查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D29B82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软件架构设计规范（2-14） Arch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241E9B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61508-3 7.4.3</w:t>
            </w:r>
          </w:p>
        </w:tc>
        <w:tc>
          <w:tcPr>
            <w:tcW w:w="15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E68488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VVR-SW-ARCH-001</w:t>
            </w:r>
          </w:p>
        </w:tc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E1F83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模块化、隔离充分</w:t>
            </w:r>
          </w:p>
        </w:tc>
      </w:tr>
      <w:tr w14:paraId="158A78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B2A503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代码审查+静态分析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0AA821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源代码及审查报告（2-19~21）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06694B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61508-3 7.9, Annex A/B</w:t>
            </w:r>
          </w:p>
        </w:tc>
        <w:tc>
          <w:tcPr>
            <w:tcW w:w="15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A5F225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源代码审查报告（2-20）,21</w:t>
            </w:r>
          </w:p>
        </w:tc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31E962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MISRA C传递,无严重警告</w:t>
            </w:r>
          </w:p>
        </w:tc>
      </w:tr>
      <w:tr w14:paraId="1F9DE9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CE7313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模块/单元测试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590924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软件/硬件模块测试文档（3-1~6）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F9B007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61508-3 7.4.7,8</w:t>
            </w:r>
          </w:p>
        </w:tc>
        <w:tc>
          <w:tcPr>
            <w:tcW w:w="15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0A3FBF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硬件模块测试报告（3-2）,4,6</w:t>
            </w:r>
          </w:p>
        </w:tc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AA2F76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覆盖≥95%/分支≥90%</w:t>
            </w:r>
          </w:p>
        </w:tc>
      </w:tr>
      <w:tr w14:paraId="22AE3D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5AD3CA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PE集成测试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0AB6B6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系统安全验证报告（3-7） Integ.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360099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61508-3 7.5</w:t>
            </w:r>
          </w:p>
        </w:tc>
        <w:tc>
          <w:tcPr>
            <w:tcW w:w="15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7F2AD1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系统安全验证报告（3-7）</w:t>
            </w:r>
          </w:p>
        </w:tc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D990CD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HW+SW联合正确性</w:t>
            </w:r>
          </w:p>
        </w:tc>
      </w:tr>
      <w:tr w14:paraId="058BBB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53B4F2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EMC/环境/故障插入测试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46C1C6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EMC/环境/故障插入测试文档（3-8~13）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666278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61508-2 7.4.5, Annex A</w:t>
            </w:r>
          </w:p>
        </w:tc>
        <w:tc>
          <w:tcPr>
            <w:tcW w:w="15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39092B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EMC测试报告（3-9）,11,13</w:t>
            </w:r>
          </w:p>
        </w:tc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FC28CA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满足IEC 61326-3-1/60068</w:t>
            </w:r>
          </w:p>
        </w:tc>
      </w:tr>
      <w:tr w14:paraId="3D41BB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B81C7D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系统安全确认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3B9AA4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系统安全验证报告（3-7） Valid.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74B2CF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61508-1 7.14</w:t>
            </w:r>
          </w:p>
        </w:tc>
        <w:tc>
          <w:tcPr>
            <w:tcW w:w="15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D5072B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系统安全验证报告（3-7）</w:t>
            </w:r>
          </w:p>
        </w:tc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25A300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满足SSR全部要求</w:t>
            </w:r>
          </w:p>
        </w:tc>
      </w:tr>
    </w:tbl>
    <w:p w14:paraId="1FAE648C">
      <w:bookmarkStart w:id="0" w:name="_GoBack"/>
      <w:bookmarkEnd w:id="0"/>
    </w:p>
    <w:sectPr>
      <w:headerReference w:type="default" r:id="rId8"/>
      <w:headerReference r:id="rId3" w:type="default"/>
      <w:footerReference r:id="rId4" w:type="default"/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CE726D">
    <w:pPr>
      <w:jc w:val="center"/>
    </w:pPr>
    <w:r>
      <w:rPr>
        <w:rFonts w:ascii="Arial" w:hAnsi="Arial" w:eastAsia="微软雅黑"/>
        <w:color w:val="999999"/>
        <w:sz w:val="16"/>
        <w:szCs w:val="16"/>
      </w:rPr>
      <w:t xml:space="preserve">第 </w:t>
    </w:r>
    <w:r>
      <w:rPr>
        <w:rFonts w:ascii="Arial" w:hAnsi="Arial" w:eastAsia="微软雅黑"/>
        <w:color w:val="999999"/>
        <w:sz w:val="16"/>
        <w:szCs w:val="16"/>
      </w:rPr>
      <w:fldChar w:fldCharType="begin"/>
    </w:r>
    <w:r>
      <w:rPr>
        <w:rFonts w:ascii="Arial" w:hAnsi="Arial" w:eastAsia="微软雅黑"/>
        <w:color w:val="999999"/>
        <w:sz w:val="16"/>
        <w:szCs w:val="16"/>
      </w:rPr>
      <w:instrText xml:space="preserve">PAGE</w:instrText>
    </w:r>
    <w:r>
      <w:rPr>
        <w:rFonts w:ascii="Arial" w:hAnsi="Arial" w:eastAsia="微软雅黑"/>
        <w:color w:val="999999"/>
        <w:sz w:val="16"/>
        <w:szCs w:val="16"/>
      </w:rPr>
      <w:fldChar w:fldCharType="separate"/>
    </w:r>
    <w:r>
      <w:rPr>
        <w:rFonts w:ascii="Arial" w:hAnsi="Arial" w:eastAsia="微软雅黑"/>
        <w:color w:val="999999"/>
        <w:sz w:val="16"/>
        <w:szCs w:val="16"/>
      </w:rPr>
      <w:fldChar w:fldCharType="end"/>
    </w:r>
    <w:r>
      <w:rPr>
        <w:rFonts w:ascii="Arial" w:hAnsi="Arial" w:eastAsia="微软雅黑"/>
        <w:color w:val="999999"/>
        <w:sz w:val="16"/>
        <w:szCs w:val="16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B38B34">
    <w:pPr>
      <w:jc w:val="right"/>
    </w:pPr>
    <w:r>
      <w:rPr>
        <w:rFonts w:ascii="Arial" w:hAnsi="Arial" w:eastAsia="微软雅黑"/>
        <w:color w:val="999999"/>
        <w:sz w:val="16"/>
        <w:szCs w:val="16"/>
      </w:rPr>
      <w:t>IEC 61508 概念阶段文档模板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0" w:hanging="432"/>
      </w:pPr>
    </w:lvl>
    <w:lvl w:ilvl="1" w:tentative="0">
      <w:start w:val="1"/>
      <w:numFmt w:val="decimal"/>
      <w:lvlText w:val="%1.%2"/>
      <w:lvlJc w:val="left"/>
      <w:pPr>
        <w:ind w:left="432" w:hanging="432"/>
      </w:pPr>
    </w:lvl>
  </w:abstractNum>
  <w:abstractNum w:abstractNumId="1">
    <w:nsid w:val="59ADCABA"/>
    <w:multiLevelType w:val="singleLevel"/>
    <w:tmpl w:val="59ADCABA"/>
    <w:lvl w:ilvl="0" w:tentative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7AB82F1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微软雅黑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微软雅黑"/>
      <w:sz w:val="21"/>
      <w:szCs w:val="21"/>
    </w:rPr>
  </w:style>
  <w:style w:type="paragraph" w:styleId="2">
    <w:name w:val="heading 1"/>
    <w:next w:val="1"/>
    <w:qFormat/>
    <w:uiPriority w:val="0"/>
    <w:pPr>
      <w:keepNext w:val="0"/>
      <w:keepLines w:val="0"/>
      <w:numPr>
        <w:ilvl w:val="0"/>
        <w:numId w:val="1"/>
      </w:numPr>
      <w:spacing w:before="360" w:after="200"/>
      <w:outlineLvl w:val="0"/>
    </w:pPr>
    <w:rPr>
      <w:rFonts w:ascii="Arial" w:hAnsi="Arial" w:eastAsia="微软雅黑"/>
      <w:b/>
      <w:bCs/>
      <w:color w:val="1F4E79"/>
      <w:sz w:val="32"/>
      <w:szCs w:val="32"/>
    </w:rPr>
  </w:style>
  <w:style w:type="paragraph" w:styleId="3">
    <w:name w:val="heading 2"/>
    <w:next w:val="1"/>
    <w:qFormat/>
    <w:uiPriority w:val="0"/>
    <w:pPr>
      <w:keepNext w:val="0"/>
      <w:keepLines w:val="0"/>
      <w:numPr>
        <w:ilvl w:val="1"/>
        <w:numId w:val="1"/>
      </w:numPr>
      <w:spacing w:before="240" w:after="120"/>
      <w:outlineLvl w:val="1"/>
    </w:pPr>
    <w:rPr>
      <w:rFonts w:ascii="Arial" w:hAnsi="Arial" w:eastAsia="微软雅黑"/>
      <w:b/>
      <w:bCs/>
      <w:color w:val="2B6CB0"/>
      <w:sz w:val="26"/>
      <w:szCs w:val="26"/>
    </w:rPr>
  </w:style>
  <w:style w:type="paragraph" w:styleId="4">
    <w:name w:val="heading 3"/>
    <w:next w:val="1"/>
    <w:qFormat/>
    <w:uiPriority w:val="0"/>
    <w:rPr>
      <w:rFonts w:ascii="Arial" w:hAnsi="Arial" w:eastAsia="微软雅黑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微软雅黑"/>
      <w:i/>
      <w:iCs/>
      <w:color w:val="2E74B5"/>
      <w:sz w:val="21"/>
      <w:szCs w:val="21"/>
    </w:rPr>
  </w:style>
  <w:style w:type="paragraph" w:styleId="6">
    <w:name w:val="heading 5"/>
    <w:next w:val="1"/>
    <w:qFormat/>
    <w:uiPriority w:val="0"/>
    <w:rPr>
      <w:rFonts w:ascii="Arial" w:hAnsi="Arial" w:eastAsia="微软雅黑"/>
      <w:color w:val="2E74B5"/>
      <w:sz w:val="21"/>
      <w:szCs w:val="21"/>
    </w:rPr>
  </w:style>
  <w:style w:type="paragraph" w:styleId="7">
    <w:name w:val="heading 6"/>
    <w:next w:val="1"/>
    <w:qFormat/>
    <w:uiPriority w:val="0"/>
    <w:rPr>
      <w:rFonts w:ascii="Arial" w:hAnsi="Arial" w:eastAsia="微软雅黑"/>
      <w:color w:val="1F4D78"/>
      <w:sz w:val="21"/>
      <w:szCs w:val="21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Arial" w:hAnsi="Arial" w:eastAsia="微软雅黑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Arial" w:hAnsi="Arial" w:eastAsia="微软雅黑"/>
      <w:sz w:val="20"/>
      <w:szCs w:val="20"/>
    </w:rPr>
  </w:style>
  <w:style w:type="paragraph" w:styleId="10">
    <w:name w:val="Title"/>
    <w:qFormat/>
    <w:uiPriority w:val="0"/>
    <w:rPr>
      <w:rFonts w:ascii="Arial" w:hAnsi="Arial" w:eastAsia="微软雅黑"/>
      <w:sz w:val="56"/>
      <w:szCs w:val="56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Arial" w:hAnsi="Arial" w:eastAsia="微软雅黑"/>
      <w:sz w:val="21"/>
      <w:szCs w:val="21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header" Target="header_watermark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1085</Words>
  <Characters>1685</Characters>
  <TotalTime>0</TotalTime>
  <ScaleCrop>false</ScaleCrop>
  <LinksUpToDate>false</LinksUpToDate>
  <CharactersWithSpaces>1755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2026-05-28T03:11:00Z</dcterms:created>
  <dc:creator>Un-named</dc:creator>
  <cp:lastModifiedBy>王金星</cp:lastModifiedBy>
  <dcterms:modified xsi:type="dcterms:W3CDTF">2026-05-28T03:16:31Z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eyJoZGlkIjoiZTE0YWVhNzkyNjIwZTg3NzMyNjM1ZTJmM2UyZWVhYzAiLCJ1c2VySWQiOiIxNzgyMjAzNDAyIn0=</vt:lpwstr>
  </property>
  <property fmtid="{D5CDD505-2E9C-101B-9397-08002B2CF9AE}" pid="3" name="KSOProductBuildVer">
    <vt:lpwstr>2052-12.1.0.26375</vt:lpwstr>
  </property>
  <property fmtid="{D5CDD505-2E9C-101B-9397-08002B2CF9AE}" pid="4" name="ICV">
    <vt:lpwstr>A67D9E4807C047DEB05FD57C33FBA9DA_12</vt:lpwstr>
  </property>
</Properties>
</file>