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1B873">
      <w:pPr>
        <w:spacing w:before="3600"/>
        <w:jc w:val="center"/>
      </w:pPr>
      <w:r>
        <w:rPr>
          <w:rFonts w:ascii="Arial" w:hAnsi="Arial" w:eastAsia="微软雅黑"/>
          <w:b/>
          <w:bCs/>
          <w:color w:val="1F4E79"/>
          <w:sz w:val="44"/>
          <w:szCs w:val="44"/>
        </w:rPr>
        <w:t>硬件安全需求规范</w:t>
      </w:r>
    </w:p>
    <w:p w14:paraId="70A67E72">
      <w:pPr>
        <w:spacing w:before="500" w:after="150"/>
        <w:jc w:val="center"/>
      </w:pPr>
      <w:r>
        <w:rPr>
          <w:rFonts w:ascii="Arial" w:hAnsi="Arial" w:eastAsia="微软雅黑"/>
          <w:color w:val="1F4E79"/>
          <w:sz w:val="26"/>
          <w:szCs w:val="26"/>
        </w:rPr>
        <w:t>Hardware Safety Requirement Specification</w:t>
      </w:r>
    </w:p>
    <w:p w14:paraId="6E1FFDD4">
      <w:pPr>
        <w:spacing w:before="350"/>
        <w:jc w:val="center"/>
      </w:pPr>
      <w:r>
        <w:rPr>
          <w:rFonts w:ascii="Arial" w:hAnsi="Arial" w:eastAsia="微软雅黑"/>
          <w:color w:val="666666"/>
          <w:sz w:val="22"/>
          <w:szCs w:val="22"/>
        </w:rPr>
        <w:t>依据 IEC 61508-2:2010 第7.2条款</w:t>
      </w:r>
    </w:p>
    <w:p w14:paraId="44297249">
      <w:pPr>
        <w:spacing w:before="1100"/>
        <w:jc w:val="center"/>
      </w:pPr>
      <w:r>
        <w:rPr>
          <w:rFonts w:ascii="Arial" w:hAnsi="Arial" w:eastAsia="微软雅黑"/>
          <w:color w:val="333333"/>
          <w:sz w:val="23"/>
          <w:szCs w:val="23"/>
        </w:rPr>
        <w:t>产品：电磁流量计   目标 SIL 2  |  HFT = 0  |  B类元件  |  低要求模式</w:t>
      </w:r>
    </w:p>
    <w:p w14:paraId="5EEB69A1">
      <w:pPr>
        <w:spacing w:before="2200"/>
        <w:jc w:val="center"/>
      </w:pPr>
      <w:r>
        <w:rPr>
          <w:rFonts w:ascii="Arial" w:hAnsi="Arial" w:eastAsia="微软雅黑"/>
          <w:color w:val="888888"/>
          <w:sz w:val="20"/>
          <w:szCs w:val="20"/>
        </w:rPr>
        <w:t>文件编号：HSR-EMF-001   版本：1.0  |  日期：YYYY-MM-DD</w:t>
      </w:r>
    </w:p>
    <w:p w14:paraId="060E89EA">
      <w:r>
        <w:br w:type="page"/>
      </w:r>
      <w:bookmarkStart w:id="0" w:name="_GoBack"/>
      <w:bookmarkEnd w:id="0"/>
    </w:p>
    <w:p w14:paraId="4562DB94">
      <w:pPr>
        <w:pStyle w:val="2"/>
      </w:pPr>
      <w:r>
        <w:rPr>
          <w:rFonts w:ascii="Arial" w:hAnsi="Arial" w:eastAsia="微软雅黑"/>
        </w:rPr>
        <w:t>引言</w:t>
      </w:r>
    </w:p>
    <w:p w14:paraId="68ADE459">
      <w:pPr>
        <w:spacing w:after="120"/>
      </w:pPr>
      <w:r>
        <w:rPr>
          <w:rFonts w:ascii="Arial" w:hAnsi="Arial" w:eastAsia="微软雅黑"/>
          <w:sz w:val="21"/>
          <w:szCs w:val="21"/>
        </w:rPr>
        <w:t>本文档规定电磁流量计的硬件安全需求，从系统安全需求规范(SSR-EMF-001)派生。</w:t>
      </w:r>
    </w:p>
    <w:p w14:paraId="6C12CDB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标准依据：IEC 61508-2:2010 第7.2.1条款</w:t>
      </w:r>
    </w:p>
    <w:p w14:paraId="050C8C3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上游文档：SSR-EMF-001（系统安全需求规范）</w:t>
      </w:r>
    </w:p>
    <w:p w14:paraId="0D4CDCA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下游文档：HDD-EMF-001（硬件设计说明）</w:t>
      </w:r>
    </w:p>
    <w:p w14:paraId="63ED40FD">
      <w:pPr>
        <w:pStyle w:val="3"/>
      </w:pPr>
      <w:r>
        <w:rPr>
          <w:rFonts w:ascii="Arial" w:hAnsi="Arial" w:eastAsia="微软雅黑"/>
        </w:rPr>
        <w:t>目的</w:t>
      </w:r>
    </w:p>
    <w:p w14:paraId="50E25D82">
      <w:pPr>
        <w:spacing w:after="120"/>
      </w:pPr>
      <w:r>
        <w:rPr>
          <w:rFonts w:ascii="Arial" w:hAnsi="Arial" w:eastAsia="微软雅黑"/>
          <w:sz w:val="21"/>
          <w:szCs w:val="21"/>
        </w:rPr>
        <w:t>将E/E/PE系统安全需求规范细化为子系统与元件层面的硬件设计需求。</w:t>
      </w:r>
    </w:p>
    <w:p w14:paraId="19B3B358">
      <w:pPr>
        <w:pStyle w:val="2"/>
      </w:pPr>
      <w:r>
        <w:rPr>
          <w:rFonts w:ascii="Arial" w:hAnsi="Arial" w:eastAsia="微软雅黑"/>
        </w:rPr>
        <w:t>规范性引用文件</w:t>
      </w:r>
    </w:p>
    <w:p w14:paraId="400EF71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61508-1:2010 / IEC 61508-2:2010 / IEC 61508-4:2010 / IEC 61508-6:2010</w:t>
      </w:r>
    </w:p>
    <w:p w14:paraId="45602F9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IEC/TS 61000-1-2 / IEC 61326-3-1 / NAMUR NE43</w:t>
      </w:r>
    </w:p>
    <w:p w14:paraId="3435262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SSR-EMF-001（系统安全需求规范）</w:t>
      </w:r>
    </w:p>
    <w:p w14:paraId="230275C8">
      <w:pPr>
        <w:pStyle w:val="2"/>
      </w:pPr>
      <w:r>
        <w:rPr>
          <w:rFonts w:ascii="Arial" w:hAnsi="Arial" w:eastAsia="微软雅黑"/>
        </w:rPr>
        <w:t>术语与缩略语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7"/>
        <w:gridCol w:w="6659"/>
      </w:tblGrid>
      <w:tr w14:paraId="0D538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E27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术语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BAA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定义</w:t>
            </w:r>
          </w:p>
        </w:tc>
      </w:tr>
      <w:tr w14:paraId="41C6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A9487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SIL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500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安全完整性等级</w:t>
            </w:r>
          </w:p>
        </w:tc>
      </w:tr>
      <w:tr w14:paraId="162A8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8742A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HFT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8E2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硬件故障裕度，本产品HFT=0</w:t>
            </w:r>
          </w:p>
        </w:tc>
      </w:tr>
      <w:tr w14:paraId="2F13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2ACD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SFF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3CA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安全失效分数（目标≥90%）</w:t>
            </w:r>
          </w:p>
        </w:tc>
      </w:tr>
      <w:tr w14:paraId="66B3C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2C86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PFDavg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F1B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平均危险失效概率</w:t>
            </w:r>
          </w:p>
        </w:tc>
      </w:tr>
      <w:tr w14:paraId="46CB7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D8FC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PTC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AB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验证测试覆盖率</w:t>
            </w:r>
          </w:p>
        </w:tc>
      </w:tr>
      <w:tr w14:paraId="2737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E266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DC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D16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诊断覆盖率</w:t>
            </w:r>
          </w:p>
        </w:tc>
      </w:tr>
      <w:tr w14:paraId="77709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5BF4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DU/DD/SU/SD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5B7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危险不可检测/危险可检测/安全不可检测/安全可检测失效</w:t>
            </w:r>
          </w:p>
        </w:tc>
      </w:tr>
      <w:tr w14:paraId="64F3C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065A4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B类元件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FF0A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复杂元件，失效模式不完全已知（IEC 61508-4 3.4.5.2）</w:t>
            </w:r>
          </w:p>
        </w:tc>
      </w:tr>
    </w:tbl>
    <w:p w14:paraId="160A5A1D">
      <w:r>
        <w:br w:type="page"/>
      </w:r>
    </w:p>
    <w:p w14:paraId="6EB4DF16">
      <w:pPr>
        <w:pStyle w:val="2"/>
      </w:pPr>
      <w:r>
        <w:rPr>
          <w:rFonts w:ascii="Arial" w:hAnsi="Arial" w:eastAsia="微软雅黑"/>
        </w:rPr>
        <w:t>安全功能描述</w:t>
      </w:r>
    </w:p>
    <w:p w14:paraId="48B086EE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61508-2:2010 第7.2.3.2条款。安全功能SF-01：4-20mA电流环输出，安全状态为&lt;3.6mA（低报警）或&gt;21mA（高报警），目标SIL 2，低要求模式。详细定义见SSR-EMF-001第4节。</w:t>
      </w:r>
    </w:p>
    <w:p w14:paraId="49616A22">
      <w:pPr>
        <w:pStyle w:val="2"/>
      </w:pPr>
      <w:r>
        <w:rPr>
          <w:rFonts w:ascii="Arial" w:hAnsi="Arial" w:eastAsia="微软雅黑"/>
        </w:rPr>
        <w:t>安全完整性要求</w:t>
      </w:r>
    </w:p>
    <w:p w14:paraId="63E600A7">
      <w:pPr>
        <w:spacing w:after="120"/>
      </w:pPr>
      <w:r>
        <w:rPr>
          <w:rFonts w:ascii="Arial" w:hAnsi="Arial" w:eastAsia="微软雅黑"/>
          <w:sz w:val="21"/>
          <w:szCs w:val="21"/>
        </w:rPr>
        <w:t>[R] HSR-001：硬件架构为单通道（HFT=0）设计（标准依据：IEC 61508-2:2010 第7.4.4条款、表3）。</w:t>
      </w:r>
    </w:p>
    <w:p w14:paraId="7B1D5A77">
      <w:pPr>
        <w:spacing w:after="120"/>
      </w:pPr>
      <w:r>
        <w:rPr>
          <w:rFonts w:ascii="Arial" w:hAnsi="Arial" w:eastAsia="微软雅黑"/>
          <w:sz w:val="21"/>
          <w:szCs w:val="21"/>
        </w:rPr>
        <w:t>[R] HSR-002：B类元件HFT=0目标SIL 2，SFF须≥90%。FMEDA详见于文档2-4（标准依据：IEC 61508-2:2010 表3、附录C）。</w:t>
      </w:r>
    </w:p>
    <w:p w14:paraId="6889E4A7">
      <w:pPr>
        <w:spacing w:after="120"/>
      </w:pPr>
      <w:r>
        <w:rPr>
          <w:rFonts w:ascii="Arial" w:hAnsi="Arial" w:eastAsia="微软雅黑"/>
          <w:sz w:val="21"/>
          <w:szCs w:val="21"/>
        </w:rPr>
        <w:t>[R] HSR-003：PFDavg应在SIL 2范围内：≥10⁻³至&lt;10⁻²（标准依据：IEC 61508-1:2010 表2）。</w:t>
      </w:r>
    </w:p>
    <w:p w14:paraId="710C6788">
      <w:r>
        <w:br w:type="page"/>
      </w:r>
    </w:p>
    <w:p w14:paraId="4C8C03F1">
      <w:pPr>
        <w:pStyle w:val="2"/>
      </w:pPr>
      <w:r>
        <w:rPr>
          <w:rFonts w:ascii="Arial" w:hAnsi="Arial" w:eastAsia="微软雅黑"/>
        </w:rPr>
        <w:t>硬件架构</w:t>
      </w:r>
    </w:p>
    <w:p w14:paraId="0189A7ED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61508-2:2010 第7.2.3.3 a)条款、第7.4.4条款。以下架构图由安全需求派生，展示了硬件功能模块划分及其互连关系。</w:t>
      </w:r>
    </w:p>
    <w:p w14:paraId="2B662893">
      <w:pPr>
        <w:spacing w:before="200" w:after="100"/>
        <w:jc w:val="center"/>
      </w:pPr>
      <w:r>
        <w:drawing>
          <wp:inline distT="0" distB="0" distL="0" distR="0">
            <wp:extent cx="3686175" cy="4762500"/>
            <wp:effectExtent l="0" t="0" r="0" b="0"/>
            <wp:docPr id="1" name="arch" descr="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" descr="Architecture Diagram" title="Archite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A6EB">
      <w:pPr>
        <w:jc w:val="center"/>
      </w:pPr>
      <w:r>
        <w:rPr>
          <w:rFonts w:ascii="Arial" w:hAnsi="Arial" w:eastAsia="微软雅黑"/>
          <w:color w:val="666666"/>
          <w:sz w:val="18"/>
          <w:szCs w:val="18"/>
        </w:rPr>
        <w:t>图2 - 硬件架构：安全信号链（红框） + 诊断保护（黄框） + 非安全功能（灰框）</w:t>
      </w:r>
    </w:p>
    <w:p w14:paraId="540D2CB5">
      <w:pPr>
        <w:pStyle w:val="3"/>
      </w:pPr>
      <w:r>
        <w:rPr>
          <w:rFonts w:ascii="Arial" w:hAnsi="Arial" w:eastAsia="微软雅黑"/>
        </w:rPr>
        <w:t>架构说明</w:t>
      </w:r>
    </w:p>
    <w:p w14:paraId="4E8247B2">
      <w:pPr>
        <w:spacing w:after="120"/>
      </w:pPr>
      <w:r>
        <w:rPr>
          <w:rFonts w:ascii="Arial" w:hAnsi="Arial" w:eastAsia="微软雅黑"/>
          <w:sz w:val="21"/>
          <w:szCs w:val="21"/>
        </w:rPr>
        <w:t>硬件架构分为四个功能域：</w:t>
      </w:r>
    </w:p>
    <w:p w14:paraId="30B3CDC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传感器前端（蓝框）：励磁线圈驱动和电极信号采集，将物理流量转换为电信号；</w:t>
      </w:r>
    </w:p>
    <w:p w14:paraId="45E387D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安全信号链（红框）：LDO稳压 -&gt; ADC -&gt; MCU -&gt; DAC -&gt; 环路驱动 -&gt; 4-20mA输出，构成安全功能的完整数据路径，HFT=0单通道；</w:t>
      </w:r>
    </w:p>
    <w:p w14:paraId="301B311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诊断与保护（黄框）：电压监控器(TPS3808) + 外部看门狗(TPS3850) + MPU内存保护，与信号链并行运行，检测到故障时强制输出进入安全状态；</w:t>
      </w:r>
    </w:p>
    <w:p w14:paraId="6F994B8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非安全功能（灰框）：HART通信、LCD显示、报警继电器——通过虚线接口与MCU连接，不影响安全功能。</w:t>
      </w:r>
    </w:p>
    <w:p w14:paraId="7DF7C1C8">
      <w:pPr>
        <w:spacing w:after="120"/>
      </w:pPr>
      <w:r>
        <w:rPr>
          <w:rFonts w:ascii="Arial" w:hAnsi="Arial" w:eastAsia="微软雅黑"/>
          <w:sz w:val="21"/>
          <w:szCs w:val="21"/>
        </w:rPr>
        <w:t>该架构满足HFT=0条件下B类元件SIL 2的架构约束：依据IEC 61508-2表3，需SFF≥90%。串行链路中最低SIL的元件决定整体SIL（IEC 61508-2 第7.4.4.2.3条款）。</w:t>
      </w:r>
    </w:p>
    <w:p w14:paraId="66E913D2">
      <w:pPr>
        <w:pStyle w:val="2"/>
      </w:pPr>
      <w:r>
        <w:rPr>
          <w:rFonts w:ascii="Arial" w:hAnsi="Arial" w:eastAsia="微软雅黑"/>
        </w:rPr>
        <w:t>硬件架构要求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8"/>
        <w:gridCol w:w="4596"/>
        <w:gridCol w:w="1749"/>
        <w:gridCol w:w="1783"/>
      </w:tblGrid>
      <w:tr w14:paraId="6A370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6B4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需求ID</w:t>
            </w:r>
          </w:p>
        </w:tc>
        <w:tc>
          <w:tcPr>
            <w:tcW w:w="4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CED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需求内容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A42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标准条款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5E4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设计追溯</w:t>
            </w:r>
          </w:p>
        </w:tc>
      </w:tr>
      <w:tr w14:paraId="37EEF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A737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HSR-010</w:t>
            </w:r>
          </w:p>
        </w:tc>
        <w:tc>
          <w:tcPr>
            <w:tcW w:w="4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EDA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硬件按功能模块组织：传感器/线圈驱动、信号调理与ADC、MCU/DSP、4-20mA DAC与环路驱动、电源管理。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C098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a)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D788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HDD 第3.1条款</w:t>
            </w:r>
          </w:p>
        </w:tc>
      </w:tr>
      <w:tr w14:paraId="515B7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52BA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HSR-011</w:t>
            </w:r>
          </w:p>
        </w:tc>
        <w:tc>
          <w:tcPr>
            <w:tcW w:w="4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565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所有安全相关硬件元件应明确标识并与非安全元件区分。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1F49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a)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8E0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HDD 第3.2条款</w:t>
            </w:r>
          </w:p>
        </w:tc>
      </w:tr>
      <w:tr w14:paraId="10FC2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A212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HSR-012</w:t>
            </w:r>
          </w:p>
        </w:tc>
        <w:tc>
          <w:tcPr>
            <w:tcW w:w="4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739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单通道架构（HFT=0），安全功能无冗余并行路径。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98D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7.4.4.2.1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C90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HDD 第3.3条款</w:t>
            </w:r>
          </w:p>
        </w:tc>
      </w:tr>
      <w:tr w14:paraId="0525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B597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HSR-013</w:t>
            </w:r>
          </w:p>
        </w:tc>
        <w:tc>
          <w:tcPr>
            <w:tcW w:w="4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513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安全功能串行链路：传感器-&gt;ADC-&gt;MCU-&gt;DAC-&gt;环路驱动。整体SIL受限于达到最低SIL的元件（7.4.4.2.3）。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40E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7.4.4.2.3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1AE9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HDD 第3.3条款</w:t>
            </w:r>
          </w:p>
        </w:tc>
      </w:tr>
    </w:tbl>
    <w:p w14:paraId="10EFC0F8">
      <w:r>
        <w:br w:type="page"/>
      </w:r>
    </w:p>
    <w:p w14:paraId="6F8E5319">
      <w:pPr>
        <w:pStyle w:val="2"/>
      </w:pPr>
      <w:r>
        <w:rPr>
          <w:rFonts w:ascii="Arial" w:hAnsi="Arial" w:eastAsia="微软雅黑"/>
        </w:rPr>
        <w:t>安全功能详细需求</w:t>
      </w:r>
    </w:p>
    <w:p w14:paraId="21C7CC91">
      <w:pPr>
        <w:pStyle w:val="3"/>
      </w:pPr>
      <w:r>
        <w:rPr>
          <w:rFonts w:ascii="Arial" w:hAnsi="Arial" w:eastAsia="微软雅黑"/>
        </w:rPr>
        <w:t>输出信号要求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5"/>
        <w:gridCol w:w="4782"/>
        <w:gridCol w:w="1556"/>
        <w:gridCol w:w="1883"/>
      </w:tblGrid>
      <w:tr w14:paraId="6D75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C34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F062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需求内容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573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条款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846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HDD</w:t>
            </w:r>
          </w:p>
        </w:tc>
      </w:tr>
      <w:tr w14:paraId="4825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7652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HSR-020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095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输出范围4.00-20.00mA，与流量0-100%成比例。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2A1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c,d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3D6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第6.2条款</w:t>
            </w:r>
          </w:p>
        </w:tc>
      </w:tr>
      <w:tr w14:paraId="21EC3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8519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HSR-021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BDB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精度满量程±0.5%，全温度范围。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377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d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C12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第6.2条款</w:t>
            </w:r>
          </w:p>
        </w:tc>
      </w:tr>
      <w:tr w14:paraId="38B5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36BD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HSR-022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847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响应时间：阶跃后500ms内输出稳定至1%。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29F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c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722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第6.3条款</w:t>
            </w:r>
          </w:p>
        </w:tc>
      </w:tr>
      <w:tr w14:paraId="7E40F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0BB0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HSR-023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2C3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MCU检测危险故障时，2s内输出至安全状态(&lt;3.6mA)。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951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g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E72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第7.2条款</w:t>
            </w:r>
          </w:p>
        </w:tc>
      </w:tr>
      <w:tr w14:paraId="245B3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15A8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HSR-024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BAB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总电源丢失或关键元件故障时，输出被动至0mA。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EA8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g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FC9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第7.3条款</w:t>
            </w:r>
          </w:p>
        </w:tc>
      </w:tr>
    </w:tbl>
    <w:p w14:paraId="4A8584E9">
      <w:pPr>
        <w:pStyle w:val="3"/>
      </w:pPr>
      <w:r>
        <w:rPr>
          <w:rFonts w:ascii="Arial" w:hAnsi="Arial" w:eastAsia="微软雅黑"/>
        </w:rPr>
        <w:t>电源要求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5"/>
        <w:gridCol w:w="4774"/>
        <w:gridCol w:w="1558"/>
        <w:gridCol w:w="1889"/>
      </w:tblGrid>
      <w:tr w14:paraId="79CD5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B029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941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需求内容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7F76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条款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927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HDD</w:t>
            </w:r>
          </w:p>
        </w:tc>
      </w:tr>
      <w:tr w14:paraId="2F58D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6085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HSR-030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147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二线制环路供电，24VDC名义，10.5-36VDC范围。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203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a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F54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第4.3条款</w:t>
            </w:r>
          </w:p>
        </w:tc>
      </w:tr>
      <w:tr w14:paraId="4885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52D8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HSR-031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5D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电压监控器监测MCU供电轨。低于最低电压时MCU保持复位，输出被动至0mA。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8FF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g, 7.4.7.1 b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A35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第4.3条款, 7.3</w:t>
            </w:r>
          </w:p>
        </w:tc>
      </w:tr>
      <w:tr w14:paraId="2008D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28A5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HSR-032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88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欠压/上电复位期间输出默认安全状态。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B53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7.4.7.1 b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E86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第4.3条款</w:t>
            </w:r>
          </w:p>
        </w:tc>
      </w:tr>
    </w:tbl>
    <w:p w14:paraId="666A262B">
      <w:pPr>
        <w:pStyle w:val="3"/>
      </w:pPr>
      <w:r>
        <w:rPr>
          <w:rFonts w:ascii="Arial" w:hAnsi="Arial" w:eastAsia="微软雅黑"/>
        </w:rPr>
        <w:t>软硬件接口要求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5"/>
        <w:gridCol w:w="4779"/>
        <w:gridCol w:w="1557"/>
        <w:gridCol w:w="1885"/>
      </w:tblGrid>
      <w:tr w14:paraId="6739C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22C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2C6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需求内容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A7B0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条款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2FC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HDD</w:t>
            </w:r>
          </w:p>
        </w:tc>
      </w:tr>
      <w:tr w14:paraId="74614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3E314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HSR-040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481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所有关键寄存器、内存映射I/O和时序约束在文档2-5中定义。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9A4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h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951E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Doc 2-5, 第8节</w:t>
            </w:r>
          </w:p>
        </w:tc>
      </w:tr>
      <w:tr w14:paraId="78B2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983AA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HSR-041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66D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独立硬件看门狗，超时≤100ms。喂狗失败触发复位和安全状态。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3AF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h, 7.4.7.1 a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F23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第7.4条款</w:t>
            </w:r>
          </w:p>
        </w:tc>
      </w:tr>
      <w:tr w14:paraId="24E61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C1AC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HSR-042</w:t>
            </w:r>
          </w:p>
        </w:tc>
        <w:tc>
          <w:tcPr>
            <w:tcW w:w="5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4D1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MPU配置栈保护，防止软件故障破坏安全数据。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CA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h, IEC 61508-3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93B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第5.4条款</w:t>
            </w:r>
          </w:p>
        </w:tc>
      </w:tr>
    </w:tbl>
    <w:p w14:paraId="1104F221">
      <w:pPr>
        <w:pStyle w:val="2"/>
      </w:pPr>
      <w:r>
        <w:rPr>
          <w:rFonts w:ascii="Arial" w:hAnsi="Arial" w:eastAsia="微软雅黑"/>
        </w:rPr>
        <w:t>故障检测时的系统行为</w:t>
      </w:r>
    </w:p>
    <w:p w14:paraId="576AE629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61508-2:2010 第7.4.8条款</w:t>
      </w:r>
    </w:p>
    <w:p w14:paraId="04DD888D">
      <w:pPr>
        <w:spacing w:after="120"/>
      </w:pPr>
      <w:r>
        <w:rPr>
          <w:rFonts w:ascii="Arial" w:hAnsi="Arial" w:eastAsia="微软雅黑"/>
          <w:sz w:val="21"/>
          <w:szCs w:val="21"/>
        </w:rPr>
        <w:t>[R] HSR-050：HFT=0低要求模式，诊断检测危险故障时输出驱动至&lt;3.6mA（标准依据：7.4.8.2）。</w:t>
      </w:r>
    </w:p>
    <w:p w14:paraId="2DFB7AF8">
      <w:pPr>
        <w:spacing w:after="120"/>
      </w:pPr>
      <w:r>
        <w:rPr>
          <w:rFonts w:ascii="Arial" w:hAnsi="Arial" w:eastAsia="微软雅黑"/>
          <w:sz w:val="21"/>
          <w:szCs w:val="21"/>
        </w:rPr>
        <w:t>[R] HSR-051：诊断检测+故障反应时间≤2s（标准依据：7.4.8.2 a)）。</w:t>
      </w:r>
    </w:p>
    <w:p w14:paraId="0D3F4D9B">
      <w:pPr>
        <w:spacing w:after="120"/>
      </w:pPr>
      <w:r>
        <w:rPr>
          <w:rFonts w:ascii="Arial" w:hAnsi="Arial" w:eastAsia="微软雅黑"/>
          <w:sz w:val="21"/>
          <w:szCs w:val="21"/>
        </w:rPr>
        <w:t>[R] HSR-052：故障锁存，需断电重启或手动复位清除，禁止自动恢复（标准依据：7.4.8.2）。</w:t>
      </w:r>
    </w:p>
    <w:p w14:paraId="3EFFE224">
      <w:pPr>
        <w:pStyle w:val="2"/>
      </w:pPr>
      <w:r>
        <w:rPr>
          <w:rFonts w:ascii="Arial" w:hAnsi="Arial" w:eastAsia="微软雅黑"/>
        </w:rPr>
        <w:t>环境与EMC要求</w:t>
      </w:r>
    </w:p>
    <w:p w14:paraId="7E2A9D11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61508-2:2010 第7.2.3.3 e), f)条款</w:t>
      </w:r>
    </w:p>
    <w:p w14:paraId="7B776013">
      <w:pPr>
        <w:spacing w:after="120"/>
      </w:pPr>
      <w:r>
        <w:rPr>
          <w:rFonts w:ascii="Arial" w:hAnsi="Arial" w:eastAsia="微软雅黑"/>
          <w:sz w:val="21"/>
          <w:szCs w:val="21"/>
        </w:rPr>
        <w:t>[R] HSR-060：工作温度-40°C至+85°C。</w:t>
      </w:r>
    </w:p>
    <w:p w14:paraId="1C13EFF1">
      <w:pPr>
        <w:spacing w:after="120"/>
      </w:pPr>
      <w:r>
        <w:rPr>
          <w:rFonts w:ascii="Arial" w:hAnsi="Arial" w:eastAsia="微软雅黑"/>
          <w:sz w:val="21"/>
          <w:szCs w:val="21"/>
        </w:rPr>
        <w:t>[R] HSR-061：EMC按IEC 61326-3-1工业环境，性能判据A：射频辐射10V/m、EFT ±2kV、浪涌±1kV、射频传导10V。</w:t>
      </w:r>
    </w:p>
    <w:p w14:paraId="009924B3">
      <w:pPr>
        <w:spacing w:after="120"/>
      </w:pPr>
      <w:r>
        <w:rPr>
          <w:rFonts w:ascii="Arial" w:hAnsi="Arial" w:eastAsia="微软雅黑"/>
          <w:sz w:val="21"/>
          <w:szCs w:val="21"/>
        </w:rPr>
        <w:t>[R] HSR-062/063：IP65，振动IEC 60068-2-6 3gRMS。</w:t>
      </w:r>
    </w:p>
    <w:p w14:paraId="142FDC88">
      <w:pPr>
        <w:pStyle w:val="2"/>
      </w:pPr>
      <w:r>
        <w:rPr>
          <w:rFonts w:ascii="Arial" w:hAnsi="Arial" w:eastAsia="微软雅黑"/>
        </w:rPr>
        <w:t>验证测试要求</w:t>
      </w:r>
    </w:p>
    <w:p w14:paraId="4FE49ED6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61508-2:2010 第7.2.3.3 b), d)条款</w:t>
      </w:r>
    </w:p>
    <w:p w14:paraId="352D30BD">
      <w:pPr>
        <w:spacing w:after="120"/>
      </w:pPr>
      <w:r>
        <w:rPr>
          <w:rFonts w:ascii="Arial" w:hAnsi="Arial" w:eastAsia="微软雅黑"/>
          <w:sz w:val="21"/>
          <w:szCs w:val="21"/>
        </w:rPr>
        <w:t>[R] HSR-070：验证测试间隔1年(8760h)，检验测试覆盖率(Proof Test Coverage, 检验测试覆盖率(Proof Test Coverage, PTC))≥95%（由FMEDA确定）。</w:t>
      </w:r>
    </w:p>
    <w:p w14:paraId="488C5B56">
      <w:pPr>
        <w:spacing w:after="120"/>
      </w:pPr>
      <w:r>
        <w:rPr>
          <w:rFonts w:ascii="Arial" w:hAnsi="Arial" w:eastAsia="微软雅黑"/>
          <w:sz w:val="21"/>
          <w:szCs w:val="21"/>
        </w:rPr>
        <w:t>[R] HSR-071：提供在线验证测试设施（HART/本地接口）。</w:t>
      </w:r>
    </w:p>
    <w:p w14:paraId="239B0404">
      <w:pPr>
        <w:spacing w:after="120"/>
      </w:pPr>
      <w:r>
        <w:rPr>
          <w:rFonts w:ascii="Arial" w:hAnsi="Arial" w:eastAsia="微软雅黑"/>
          <w:sz w:val="21"/>
          <w:szCs w:val="21"/>
        </w:rPr>
        <w:t>[R] HSR-072：验证测试程序记录于安全手册（文档4-5）。</w:t>
      </w:r>
    </w:p>
    <w:p w14:paraId="21052B1A">
      <w:pPr>
        <w:pStyle w:val="2"/>
      </w:pPr>
      <w:r>
        <w:rPr>
          <w:rFonts w:ascii="Arial" w:hAnsi="Arial" w:eastAsia="微软雅黑"/>
        </w:rPr>
        <w:t>系统性故障的避免与控制</w:t>
      </w:r>
    </w:p>
    <w:p w14:paraId="41542F19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61508-2:2010 第7.4.6条款、第7.4.7条款。按Route 1_S合规路径。</w:t>
      </w:r>
    </w:p>
    <w:p w14:paraId="515DF7C7">
      <w:pPr>
        <w:spacing w:after="120"/>
      </w:pPr>
      <w:r>
        <w:rPr>
          <w:rFonts w:ascii="Arial" w:hAnsi="Arial" w:eastAsia="微软雅黑"/>
          <w:sz w:val="21"/>
          <w:szCs w:val="21"/>
        </w:rPr>
        <w:t>[R] HSR-080~082：结构化设计/设计评审/计算机辅助设计/元器件降额（50%无源器件/70%半导体），按表B.2 SIL 2推荐。</w:t>
      </w:r>
    </w:p>
    <w:p w14:paraId="5B2241FF">
      <w:pPr>
        <w:spacing w:after="120"/>
      </w:pPr>
      <w:r>
        <w:rPr>
          <w:rFonts w:ascii="Arial" w:hAnsi="Arial" w:eastAsia="微软雅黑"/>
          <w:sz w:val="21"/>
          <w:szCs w:val="21"/>
        </w:rPr>
        <w:t>[R] HSR-090~092：残余设计故障控制(表A.15)/EMC防护(表A.16)/可测试性(7.4.7.2)。</w:t>
      </w:r>
    </w:p>
    <w:p w14:paraId="11288A13">
      <w:pPr>
        <w:pStyle w:val="2"/>
      </w:pPr>
      <w:r>
        <w:rPr>
          <w:rFonts w:ascii="Arial" w:hAnsi="Arial" w:eastAsia="微软雅黑"/>
        </w:rPr>
        <w:t>需求追溯矩阵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4"/>
        <w:gridCol w:w="3223"/>
        <w:gridCol w:w="1725"/>
        <w:gridCol w:w="3044"/>
      </w:tblGrid>
      <w:tr w14:paraId="34462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ED0E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HSR ID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08A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需求概要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1BF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IEC 61508条款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C16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HDD</w:t>
            </w:r>
          </w:p>
        </w:tc>
      </w:tr>
      <w:tr w14:paraId="0E91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DE5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HSR-001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639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HFT=0单通道架构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1F0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7.4.4, 表3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EBFA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第3.1条款, 3.3</w:t>
            </w:r>
          </w:p>
        </w:tc>
      </w:tr>
      <w:tr w14:paraId="42EDE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FE1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HSR-002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423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B类HFT=0 SIL 2需SFF&gt;=90%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168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表3, 附录C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3FF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第5.2条款, Doc 2-4</w:t>
            </w:r>
          </w:p>
        </w:tc>
      </w:tr>
      <w:tr w14:paraId="6685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E70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HSR-010~013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44E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功能块分解/元件分类/架构约束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77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7.2.3.2, 7.4.4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F02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第3节</w:t>
            </w:r>
          </w:p>
        </w:tc>
      </w:tr>
      <w:tr w14:paraId="25B58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188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HSR-020~025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8DC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输出信号特性/安全状态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6CD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c,d,g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667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第6.2条款, 6.3</w:t>
            </w:r>
          </w:p>
        </w:tc>
      </w:tr>
      <w:tr w14:paraId="62E3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F2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HSR-030~032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C29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电源与监控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E76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a,g; 7.4.7.1 b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3F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第4.3条款</w:t>
            </w:r>
          </w:p>
        </w:tc>
      </w:tr>
      <w:tr w14:paraId="0472E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393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HSR-040~042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86D8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软硬件接口/看门狗/MPU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74E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7.2.3.2 h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FF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第7.4条款, 8</w:t>
            </w:r>
          </w:p>
        </w:tc>
      </w:tr>
      <w:tr w14:paraId="3154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6A0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HSR-050~053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BD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故障检测行为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FBA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7.4.8.2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639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第7节</w:t>
            </w:r>
          </w:p>
        </w:tc>
      </w:tr>
      <w:tr w14:paraId="034B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0B6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HSR-060~063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6FF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环境与EMC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44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7.2.3.3 e,f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41D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第9节</w:t>
            </w:r>
          </w:p>
        </w:tc>
      </w:tr>
      <w:tr w14:paraId="3778E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F7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HSR-070~072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59A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验证测试/在线能力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BDA5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7.2.3.3 b,d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A1B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第10节, Doc 4-5</w:t>
            </w:r>
          </w:p>
        </w:tc>
      </w:tr>
      <w:tr w14:paraId="02CAB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B9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HSR-080~092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8A2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系统性故障避免/控制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9DA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7.4.6, 7.4.7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CBA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第5节, Doc 2-6</w:t>
            </w:r>
          </w:p>
        </w:tc>
      </w:tr>
    </w:tbl>
    <w:p w14:paraId="57204F5A"/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67071">
    <w:pPr>
      <w:jc w:val="center"/>
    </w:pPr>
    <w:r>
      <w:rPr>
        <w:rFonts w:ascii="Arial" w:hAnsi="Arial" w:eastAsia="微软雅黑"/>
        <w:color w:val="999999"/>
        <w:sz w:val="16"/>
        <w:szCs w:val="16"/>
      </w:rPr>
      <w:t xml:space="preserve">第 </w:t>
    </w:r>
    <w:r>
      <w:rPr>
        <w:rFonts w:ascii="Arial" w:hAnsi="Arial" w:eastAsia="微软雅黑"/>
        <w:color w:val="999999"/>
        <w:sz w:val="16"/>
        <w:szCs w:val="16"/>
      </w:rPr>
      <w:fldChar w:fldCharType="begin"/>
    </w:r>
    <w:r>
      <w:rPr>
        <w:rFonts w:ascii="Arial" w:hAnsi="Arial" w:eastAsia="微软雅黑"/>
        <w:color w:val="999999"/>
        <w:sz w:val="16"/>
        <w:szCs w:val="16"/>
      </w:rPr>
      <w:instrText xml:space="preserve">PAGE</w:instrText>
    </w:r>
    <w:r>
      <w:rPr>
        <w:rFonts w:ascii="Arial" w:hAnsi="Arial" w:eastAsia="微软雅黑"/>
        <w:color w:val="999999"/>
        <w:sz w:val="16"/>
        <w:szCs w:val="16"/>
      </w:rPr>
      <w:fldChar w:fldCharType="separate"/>
    </w:r>
    <w:r>
      <w:rPr>
        <w:rFonts w:ascii="Arial" w:hAnsi="Arial" w:eastAsia="微软雅黑"/>
        <w:color w:val="999999"/>
        <w:sz w:val="16"/>
        <w:szCs w:val="16"/>
      </w:rPr>
      <w:fldChar w:fldCharType="end"/>
    </w:r>
    <w:r>
      <w:rPr>
        <w:rFonts w:ascii="Arial" w:hAnsi="Arial" w:eastAsia="微软雅黑"/>
        <w:color w:val="999999"/>
        <w:sz w:val="16"/>
        <w:szCs w:val="16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hanging="432"/>
      </w:pPr>
    </w:lvl>
    <w:lvl w:ilvl="1" w:tentative="0">
      <w:start w:val="1"/>
      <w:numFmt w:val="decimal"/>
      <w:lvlText w:val="%1.%2"/>
      <w:lvlJc w:val="left"/>
      <w:pPr>
        <w:ind w:left="432" w:hanging="432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09E34D9"/>
    <w:rsid w:val="548E66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numPr>
        <w:ilvl w:val="0"/>
        <w:numId w:val="1"/>
      </w:numPr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numPr>
        <w:ilvl w:val="1"/>
        <w:numId w:val="1"/>
      </w:numPr>
      <w:spacing w:before="240" w:after="120"/>
      <w:outlineLvl w:val="1"/>
    </w:pPr>
    <w:rPr>
      <w:rFonts w:ascii="Arial" w:hAnsi="Arial" w:eastAsia="微软雅黑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1193</Words>
  <Characters>1982</Characters>
  <TotalTime>12</TotalTime>
  <ScaleCrop>false</ScaleCrop>
  <LinksUpToDate>false</LinksUpToDate>
  <CharactersWithSpaces>2089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2026-05-27T03:27:00Z</dcterms:created>
  <dc:creator>Un-named</dc:creator>
  <cp:lastModifiedBy>王金星</cp:lastModifiedBy>
  <dcterms:modified xsi:type="dcterms:W3CDTF">2026-07-13T10:01:13Z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84A4146FE84F4AD1B27624EBC6A4EB06_12</vt:lpwstr>
  </property>
</Properties>
</file>