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DAE5D">
      <w:pPr>
        <w:spacing w:before="3600"/>
        <w:jc w:val="center"/>
      </w:pPr>
      <w:r>
        <w:rPr>
          <w:rFonts w:ascii="Arial" w:hAnsi="Arial" w:eastAsia="微软雅黑"/>
          <w:b/>
          <w:bCs/>
          <w:color w:val="1F4E79"/>
          <w:sz w:val="44"/>
          <w:szCs w:val="44"/>
        </w:rPr>
        <w:t>软件安全需求规范</w:t>
      </w:r>
    </w:p>
    <w:p w14:paraId="310C89B3">
      <w:pPr>
        <w:spacing w:before="500" w:after="150"/>
        <w:jc w:val="center"/>
      </w:pPr>
      <w:r>
        <w:rPr>
          <w:rFonts w:ascii="Arial" w:hAnsi="Arial" w:eastAsia="微软雅黑"/>
          <w:color w:val="1F4E79"/>
          <w:sz w:val="26"/>
          <w:szCs w:val="26"/>
        </w:rPr>
        <w:t>Software Safety Requirements Specification</w:t>
      </w:r>
    </w:p>
    <w:p w14:paraId="42CC6C68">
      <w:pPr>
        <w:spacing w:before="350"/>
        <w:jc w:val="center"/>
      </w:pPr>
      <w:r>
        <w:rPr>
          <w:rFonts w:ascii="Arial" w:hAnsi="Arial" w:eastAsia="微软雅黑"/>
          <w:color w:val="666666"/>
          <w:sz w:val="22"/>
          <w:szCs w:val="22"/>
        </w:rPr>
        <w:t>依据 IEC 61508-3:2010 第7.2条款</w:t>
      </w:r>
    </w:p>
    <w:p w14:paraId="234E4C4D">
      <w:pPr>
        <w:spacing w:before="1100"/>
        <w:jc w:val="center"/>
      </w:pPr>
      <w:r>
        <w:rPr>
          <w:rFonts w:ascii="Arial" w:hAnsi="Arial" w:eastAsia="微软雅黑"/>
          <w:color w:val="333333"/>
          <w:sz w:val="23"/>
          <w:szCs w:val="23"/>
        </w:rPr>
        <w:t>产品：电磁流量计   目标 SIL 2  |  HFT = 0  |  B类元件  |  低要求模式</w:t>
      </w:r>
      <w:bookmarkStart w:id="0" w:name="_GoBack"/>
      <w:bookmarkEnd w:id="0"/>
    </w:p>
    <w:p w14:paraId="68F3ED03">
      <w:pPr>
        <w:spacing w:before="2200"/>
        <w:jc w:val="center"/>
      </w:pPr>
      <w:r>
        <w:rPr>
          <w:rFonts w:ascii="Arial" w:hAnsi="Arial" w:eastAsia="微软雅黑"/>
          <w:color w:val="888888"/>
          <w:sz w:val="20"/>
          <w:szCs w:val="20"/>
        </w:rPr>
        <w:t>文件编号：SWSR-EMF-001   版本：1.0  |  日期：YYYY-MM-DD</w:t>
      </w:r>
    </w:p>
    <w:p w14:paraId="711FE6CB">
      <w:r>
        <w:br w:type="page"/>
      </w:r>
    </w:p>
    <w:p w14:paraId="525A2413">
      <w:pPr>
        <w:pStyle w:val="2"/>
      </w:pPr>
      <w:r>
        <w:rPr>
          <w:rFonts w:ascii="Arial" w:hAnsi="Arial" w:eastAsia="微软雅黑"/>
        </w:rPr>
        <w:t>引言</w:t>
      </w:r>
    </w:p>
    <w:p w14:paraId="78527940">
      <w:pPr>
        <w:spacing w:after="120"/>
      </w:pPr>
      <w:r>
        <w:rPr>
          <w:rFonts w:ascii="Arial" w:hAnsi="Arial" w:eastAsia="微软雅黑"/>
          <w:sz w:val="21"/>
          <w:szCs w:val="21"/>
        </w:rPr>
        <w:t>本文档规定电磁流量计中安全相关软件的需求。该软件运行于MCU上，负责流量信号处理、诊断执行和安全输出控制。</w:t>
      </w:r>
    </w:p>
    <w:p w14:paraId="13031064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标准依据：IEC 61508-3:2010 第7.2.1条款</w:t>
      </w:r>
    </w:p>
    <w:p w14:paraId="6A60C82E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上游文档：SSR-EMF-001 / HSR-EMF-001</w:t>
      </w:r>
    </w:p>
    <w:p w14:paraId="4EA1636B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下游文档：软件架构设计规范（文档2-14）等</w:t>
      </w:r>
    </w:p>
    <w:p w14:paraId="0838A582">
      <w:pPr>
        <w:pStyle w:val="2"/>
      </w:pPr>
      <w:r>
        <w:rPr>
          <w:rFonts w:ascii="Arial" w:hAnsi="Arial" w:eastAsia="微软雅黑"/>
        </w:rPr>
        <w:t>规范性引用文件</w:t>
      </w:r>
    </w:p>
    <w:p w14:paraId="0B9B7947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IEC 61508-3:2010 第3部分：软件要求</w:t>
      </w:r>
    </w:p>
    <w:p w14:paraId="6F99351C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IEC 61508-7:2010 第7部分：技术与措施概述</w:t>
      </w:r>
    </w:p>
    <w:p w14:paraId="456996F8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SSR-EMF-001 / HSR-EMF-001</w:t>
      </w:r>
    </w:p>
    <w:p w14:paraId="1BBC8FF9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文档2-5 软硬件接口规范</w:t>
      </w:r>
    </w:p>
    <w:p w14:paraId="61FA92EB">
      <w:pPr>
        <w:pStyle w:val="2"/>
      </w:pPr>
      <w:r>
        <w:rPr>
          <w:rFonts w:ascii="Arial" w:hAnsi="Arial" w:eastAsia="微软雅黑"/>
        </w:rPr>
        <w:t>术语与缩略语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9"/>
        <w:gridCol w:w="6797"/>
      </w:tblGrid>
      <w:tr w14:paraId="3078D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CD3D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缩略语</w:t>
            </w:r>
          </w:p>
        </w:tc>
        <w:tc>
          <w:tcPr>
            <w:tcW w:w="7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A01E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全称</w:t>
            </w:r>
          </w:p>
        </w:tc>
      </w:tr>
      <w:tr w14:paraId="1CCCC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091C7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MCU/WDT/MPU</w:t>
            </w:r>
          </w:p>
        </w:tc>
        <w:tc>
          <w:tcPr>
            <w:tcW w:w="7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B62F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微控制器单元/看门狗定时器/内存保护单元</w:t>
            </w:r>
          </w:p>
        </w:tc>
      </w:tr>
      <w:tr w14:paraId="69223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BFD0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DAC/ADC/CRC/BIST</w:t>
            </w:r>
          </w:p>
        </w:tc>
        <w:tc>
          <w:tcPr>
            <w:tcW w:w="7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9DFA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数模转换/模数转换/循环冗余校验/内建自测试</w:t>
            </w:r>
          </w:p>
        </w:tc>
      </w:tr>
    </w:tbl>
    <w:p w14:paraId="2DFC98E5">
      <w:r>
        <w:br w:type="page"/>
      </w:r>
    </w:p>
    <w:p w14:paraId="52035CD1">
      <w:pPr>
        <w:pStyle w:val="2"/>
      </w:pPr>
      <w:r>
        <w:rPr>
          <w:rFonts w:ascii="Arial" w:hAnsi="Arial" w:eastAsia="微软雅黑"/>
        </w:rPr>
        <w:t>软件架构</w:t>
      </w:r>
    </w:p>
    <w:p w14:paraId="1831FE07">
      <w:pPr>
        <w:spacing w:after="120"/>
      </w:pPr>
      <w:r>
        <w:rPr>
          <w:rFonts w:ascii="Arial" w:hAnsi="Arial" w:eastAsia="微软雅黑"/>
          <w:sz w:val="21"/>
          <w:szCs w:val="21"/>
        </w:rPr>
        <w:t>标准依据：IEC 61508-3:2010 第7.4.3条款（软件架构设计）。以下架构图由软件安全需求派生，展示了安全关键域与非安全域的划分以及模块间的数据流和控制流。</w:t>
      </w:r>
    </w:p>
    <w:p w14:paraId="479930B0">
      <w:pPr>
        <w:spacing w:before="200" w:after="100"/>
        <w:jc w:val="center"/>
      </w:pPr>
      <w:r>
        <w:drawing>
          <wp:inline distT="0" distB="0" distL="0" distR="0">
            <wp:extent cx="3629025" cy="4762500"/>
            <wp:effectExtent l="0" t="0" r="0" b="0"/>
            <wp:docPr id="1" name="arch" descr="Architecture Diagram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" descr="Architecture Diagram" title="Archite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3152">
      <w:pPr>
        <w:jc w:val="center"/>
      </w:pPr>
      <w:r>
        <w:rPr>
          <w:rFonts w:ascii="Arial" w:hAnsi="Arial" w:eastAsia="微软雅黑"/>
          <w:color w:val="666666"/>
          <w:sz w:val="18"/>
          <w:szCs w:val="18"/>
        </w:rPr>
        <w:t>图3 - 软件架构：安全关键域（红框）+ 非安全域（灰框）+ 系统服务（绿框）</w:t>
      </w:r>
    </w:p>
    <w:p w14:paraId="4C34BCF4">
      <w:pPr>
        <w:pStyle w:val="3"/>
      </w:pPr>
      <w:r>
        <w:rPr>
          <w:rFonts w:ascii="Arial" w:hAnsi="Arial" w:eastAsia="微软雅黑"/>
        </w:rPr>
        <w:t>架构说明</w:t>
      </w:r>
    </w:p>
    <w:p w14:paraId="04CB32E4">
      <w:pPr>
        <w:spacing w:after="120"/>
      </w:pPr>
      <w:r>
        <w:rPr>
          <w:rFonts w:ascii="Arial" w:hAnsi="Arial" w:eastAsia="微软雅黑"/>
          <w:sz w:val="21"/>
          <w:szCs w:val="21"/>
        </w:rPr>
        <w:t>软件架构按安全关键性划分为三个层次：</w:t>
      </w:r>
    </w:p>
    <w:p w14:paraId="1224BC6F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安全关键域（红框）：包含数据采集(ADC驱动+数字滤波)、信号处理(线性化+阻尼)、安全输出控制(DAC映射+回环监测)、诊断管理(5项在线诊断+优先级调度)、模式管理(状态机+故障锁存)。这是V模型开发的核心范围。</w:t>
      </w:r>
    </w:p>
    <w:p w14:paraId="079C6DC2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非安全域（灰框）：HART通信栈和LCD显示，各自运行于独立任务中，通过硬件抽象层与硬件交互。这些模块的故障不得影响安全关键域。</w:t>
      </w:r>
    </w:p>
    <w:p w14:paraId="297D132C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系统服务（绿框）：硬件抽象层封装所有底层寄存器访问；看门狗服务在主循环中执行喂狗操作（禁止中断喂狗）；验证测试模块支持HART命令进行在线功能验证。</w:t>
      </w:r>
    </w:p>
    <w:p w14:paraId="6FF06E5C">
      <w:pPr>
        <w:spacing w:after="120"/>
      </w:pPr>
      <w:r>
        <w:rPr>
          <w:rFonts w:ascii="Arial" w:hAnsi="Arial" w:eastAsia="微软雅黑"/>
          <w:sz w:val="21"/>
          <w:szCs w:val="21"/>
        </w:rPr>
        <w:t>安全关键数据流：ADC驱动-&gt;数字滤波-&gt;线性化-&gt;阻尼-&gt;4-20mA映射-&gt;DAC写入-&gt;回环监测。诊断管理并行运行，发现故障通过模式管理器触发安全状态。</w:t>
      </w:r>
    </w:p>
    <w:p w14:paraId="7EC306C1">
      <w:r>
        <w:br w:type="page"/>
      </w:r>
    </w:p>
    <w:p w14:paraId="1A6EC411">
      <w:pPr>
        <w:pStyle w:val="2"/>
      </w:pPr>
      <w:r>
        <w:rPr>
          <w:rFonts w:ascii="Arial" w:hAnsi="Arial" w:eastAsia="微软雅黑"/>
        </w:rPr>
        <w:t>软件安全功能需求</w:t>
      </w:r>
    </w:p>
    <w:p w14:paraId="1CB03569">
      <w:pPr>
        <w:spacing w:after="120"/>
      </w:pPr>
      <w:r>
        <w:rPr>
          <w:rFonts w:ascii="Arial" w:hAnsi="Arial" w:eastAsia="微软雅黑"/>
          <w:sz w:val="21"/>
          <w:szCs w:val="21"/>
        </w:rPr>
        <w:t>标准依据：IEC 61508-3:2010 第7.2.2.3条款</w:t>
      </w:r>
    </w:p>
    <w:p w14:paraId="3D40AD70">
      <w:pPr>
        <w:pStyle w:val="3"/>
      </w:pPr>
      <w:r>
        <w:rPr>
          <w:rFonts w:ascii="Arial" w:hAnsi="Arial" w:eastAsia="微软雅黑"/>
        </w:rPr>
        <w:t>信号采集与处理</w:t>
      </w:r>
    </w:p>
    <w:p w14:paraId="24123153">
      <w:pPr>
        <w:spacing w:after="120"/>
      </w:pPr>
      <w:r>
        <w:rPr>
          <w:rFonts w:ascii="Arial" w:hAnsi="Arial" w:eastAsia="微软雅黑"/>
          <w:sz w:val="21"/>
          <w:szCs w:val="21"/>
        </w:rPr>
        <w:t>[R] SWSR-010：通过SPI从24位ADC读取数字信号，每测量周期[Y]个采样点平均（追溯：HSR-010）。</w:t>
      </w:r>
    </w:p>
    <w:p w14:paraId="4A4131FA">
      <w:pPr>
        <w:spacing w:after="120"/>
      </w:pPr>
      <w:r>
        <w:rPr>
          <w:rFonts w:ascii="Arial" w:hAnsi="Arial" w:eastAsia="微软雅黑"/>
          <w:sz w:val="21"/>
          <w:szCs w:val="21"/>
        </w:rPr>
        <w:t>[R] SWSR-011：数字低通FIR滤波，消除工频干扰（追溯：HSR-010）。</w:t>
      </w:r>
    </w:p>
    <w:p w14:paraId="3F0A2868">
      <w:pPr>
        <w:spacing w:after="120"/>
      </w:pPr>
      <w:r>
        <w:rPr>
          <w:rFonts w:ascii="Arial" w:hAnsi="Arial" w:eastAsia="微软雅黑"/>
          <w:sz w:val="21"/>
          <w:szCs w:val="21"/>
        </w:rPr>
        <w:t>[R] SWSR-012：线性化计算流量值并转为工程单位，精度满量程±0.5%（追溯：HSR-020,021）。</w:t>
      </w:r>
    </w:p>
    <w:p w14:paraId="0B1C0773">
      <w:pPr>
        <w:pStyle w:val="3"/>
      </w:pPr>
      <w:r>
        <w:rPr>
          <w:rFonts w:ascii="Arial" w:hAnsi="Arial" w:eastAsia="微软雅黑"/>
        </w:rPr>
        <w:t>输出控制</w:t>
      </w:r>
    </w:p>
    <w:p w14:paraId="6733CA43">
      <w:pPr>
        <w:spacing w:after="120"/>
      </w:pPr>
      <w:r>
        <w:rPr>
          <w:rFonts w:ascii="Arial" w:hAnsi="Arial" w:eastAsia="微软雅黑"/>
          <w:sz w:val="21"/>
          <w:szCs w:val="21"/>
        </w:rPr>
        <w:t>[R] SWSR-020：流量值线性映射为4-20mA，通过SPI/I2C写入DAC寄存器（追溯：HSR-020,022）。</w:t>
      </w:r>
    </w:p>
    <w:p w14:paraId="608041A3">
      <w:pPr>
        <w:spacing w:after="120"/>
      </w:pPr>
      <w:r>
        <w:rPr>
          <w:rFonts w:ascii="Arial" w:hAnsi="Arial" w:eastAsia="微软雅黑"/>
          <w:sz w:val="21"/>
          <w:szCs w:val="21"/>
        </w:rPr>
        <w:t>[R] SWSR-021：诊断检测危险故障时，立即将DAC输出设为3.5mA。总反应时间≤2s（追溯：HSR-023,050,051）。</w:t>
      </w:r>
    </w:p>
    <w:p w14:paraId="2915335E">
      <w:pPr>
        <w:spacing w:after="120"/>
      </w:pPr>
      <w:r>
        <w:rPr>
          <w:rFonts w:ascii="Arial" w:hAnsi="Arial" w:eastAsia="微软雅黑"/>
          <w:sz w:val="21"/>
          <w:szCs w:val="21"/>
        </w:rPr>
        <w:t>[R] SWSR-022：输出回环监测：ADC通道回读DAC电压，偏差≥2%触发安全状态（追溯：HSR-050）。</w:t>
      </w:r>
    </w:p>
    <w:p w14:paraId="4C30ED12">
      <w:pPr>
        <w:pStyle w:val="3"/>
      </w:pPr>
      <w:r>
        <w:rPr>
          <w:rFonts w:ascii="Arial" w:hAnsi="Arial" w:eastAsia="微软雅黑"/>
        </w:rPr>
        <w:t>操作模式管理</w:t>
      </w:r>
    </w:p>
    <w:p w14:paraId="1F1D8286">
      <w:pPr>
        <w:spacing w:after="120"/>
      </w:pPr>
      <w:r>
        <w:rPr>
          <w:rFonts w:ascii="Arial" w:hAnsi="Arial" w:eastAsia="微软雅黑"/>
          <w:sz w:val="21"/>
          <w:szCs w:val="21"/>
        </w:rPr>
        <w:t>[R] SWSR-030：管理模式转换：上电初始化-&gt;正常运行-&gt;故障安全-&gt;维护/校准。模式转换有明确条件和保护（追溯：HSR-052）。</w:t>
      </w:r>
    </w:p>
    <w:p w14:paraId="6DADB3EB">
      <w:pPr>
        <w:spacing w:after="120"/>
      </w:pPr>
      <w:r>
        <w:rPr>
          <w:rFonts w:ascii="Arial" w:hAnsi="Arial" w:eastAsia="微软雅黑"/>
          <w:sz w:val="21"/>
          <w:szCs w:val="21"/>
        </w:rPr>
        <w:t>[R] SWSR-031：安全状态退出需要断电重启或授权复位，禁止自动恢复（追溯：HSR-052）。</w:t>
      </w:r>
    </w:p>
    <w:p w14:paraId="12790DCE">
      <w:pPr>
        <w:spacing w:after="120"/>
      </w:pPr>
      <w:r>
        <w:rPr>
          <w:rFonts w:ascii="Arial" w:hAnsi="Arial" w:eastAsia="微软雅黑"/>
          <w:sz w:val="21"/>
          <w:szCs w:val="21"/>
        </w:rPr>
        <w:t>[R] SWSR-032：维护模式有自动超时机制，超时后恢复安全状态（追溯：SSR SF-01）。</w:t>
      </w:r>
    </w:p>
    <w:p w14:paraId="529719C1">
      <w:r>
        <w:br w:type="page"/>
      </w:r>
    </w:p>
    <w:p w14:paraId="5CD905F1">
      <w:pPr>
        <w:pStyle w:val="2"/>
      </w:pPr>
      <w:r>
        <w:rPr>
          <w:rFonts w:ascii="Arial" w:hAnsi="Arial" w:eastAsia="微软雅黑"/>
        </w:rPr>
        <w:t>软件诊断需求</w:t>
      </w:r>
    </w:p>
    <w:p w14:paraId="198D8005">
      <w:pPr>
        <w:spacing w:after="120"/>
      </w:pPr>
      <w:r>
        <w:rPr>
          <w:rFonts w:ascii="Arial" w:hAnsi="Arial" w:eastAsia="微软雅黑"/>
          <w:sz w:val="21"/>
          <w:szCs w:val="21"/>
        </w:rPr>
        <w:t>标准依据：IEC 61508-3:2010 第7.2.2.8条款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014"/>
        <w:gridCol w:w="1556"/>
        <w:gridCol w:w="2546"/>
      </w:tblGrid>
      <w:tr w14:paraId="770A4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05F9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需求ID</w:t>
            </w:r>
          </w:p>
        </w:tc>
        <w:tc>
          <w:tcPr>
            <w:tcW w:w="4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B0E2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诊断功能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545D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触发条件</w:t>
            </w:r>
          </w:p>
        </w:tc>
        <w:tc>
          <w:tcPr>
            <w:tcW w:w="2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A77A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追溯来源</w:t>
            </w:r>
          </w:p>
        </w:tc>
      </w:tr>
      <w:tr w14:paraId="58B81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A304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SWSR-040</w:t>
            </w:r>
          </w:p>
        </w:tc>
        <w:tc>
          <w:tcPr>
            <w:tcW w:w="4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36FA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RAM March C- 测试（空闲周期执行）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5ADA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周期性</w:t>
            </w:r>
          </w:p>
        </w:tc>
        <w:tc>
          <w:tcPr>
            <w:tcW w:w="2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3E01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HSR-050</w:t>
            </w:r>
          </w:p>
        </w:tc>
      </w:tr>
      <w:tr w14:paraId="05C3B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8224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SWSR-041</w:t>
            </w:r>
          </w:p>
        </w:tc>
        <w:tc>
          <w:tcPr>
            <w:tcW w:w="4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7C95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程序Flash CRC-32校验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4D02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上电+周期性</w:t>
            </w:r>
          </w:p>
        </w:tc>
        <w:tc>
          <w:tcPr>
            <w:tcW w:w="2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2383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HSR-050</w:t>
            </w:r>
          </w:p>
        </w:tc>
      </w:tr>
      <w:tr w14:paraId="0F2CC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A958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SWSR-042</w:t>
            </w:r>
          </w:p>
        </w:tc>
        <w:tc>
          <w:tcPr>
            <w:tcW w:w="4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16B2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MPU栈保护区：溢出-&gt;HardFault-&gt;安全状态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4329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连续(硬件)</w:t>
            </w:r>
          </w:p>
        </w:tc>
        <w:tc>
          <w:tcPr>
            <w:tcW w:w="2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2A11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HSR-042,050</w:t>
            </w:r>
          </w:p>
        </w:tc>
      </w:tr>
      <w:tr w14:paraId="7A186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C7E1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SWSR-043</w:t>
            </w:r>
          </w:p>
        </w:tc>
        <w:tc>
          <w:tcPr>
            <w:tcW w:w="4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BD6A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ADC自诊断验证（内部基准/PGA/开路）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0204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每测量周期</w:t>
            </w:r>
          </w:p>
        </w:tc>
        <w:tc>
          <w:tcPr>
            <w:tcW w:w="2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6792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HSR-050</w:t>
            </w:r>
          </w:p>
        </w:tc>
      </w:tr>
      <w:tr w14:paraId="2492B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72B8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SWSR-044</w:t>
            </w:r>
          </w:p>
        </w:tc>
        <w:tc>
          <w:tcPr>
            <w:tcW w:w="4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C957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励磁线圈电流监测(ADC读取分流电阻)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3290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每测量周期</w:t>
            </w:r>
          </w:p>
        </w:tc>
        <w:tc>
          <w:tcPr>
            <w:tcW w:w="2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FDB0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HSR-050</w:t>
            </w:r>
          </w:p>
        </w:tc>
      </w:tr>
      <w:tr w14:paraId="4D1EC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5163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SWSR-045</w:t>
            </w:r>
          </w:p>
        </w:tc>
        <w:tc>
          <w:tcPr>
            <w:tcW w:w="4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C23F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环路供电电压监测(ADC分压器)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E869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每测量周期</w:t>
            </w:r>
          </w:p>
        </w:tc>
        <w:tc>
          <w:tcPr>
            <w:tcW w:w="2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4E78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HSR-030,031</w:t>
            </w:r>
          </w:p>
        </w:tc>
      </w:tr>
      <w:tr w14:paraId="2E8BE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2617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SWSR-046</w:t>
            </w:r>
          </w:p>
        </w:tc>
        <w:tc>
          <w:tcPr>
            <w:tcW w:w="4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5A92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看门狗喂狗(主循环固定周期)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A62C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≤100ms</w:t>
            </w:r>
          </w:p>
        </w:tc>
        <w:tc>
          <w:tcPr>
            <w:tcW w:w="2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A499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HSR-041</w:t>
            </w:r>
          </w:p>
        </w:tc>
      </w:tr>
      <w:tr w14:paraId="212AE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736A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SWSR-047</w:t>
            </w:r>
          </w:p>
        </w:tc>
        <w:tc>
          <w:tcPr>
            <w:tcW w:w="4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B659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诊断优先级：1)栈保护 2)关键诊断 3)RAM/Flash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D713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调度管理</w:t>
            </w:r>
          </w:p>
        </w:tc>
        <w:tc>
          <w:tcPr>
            <w:tcW w:w="2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3F34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HSR-050,051</w:t>
            </w:r>
          </w:p>
        </w:tc>
      </w:tr>
    </w:tbl>
    <w:p w14:paraId="32D302CE">
      <w:pPr>
        <w:pStyle w:val="2"/>
      </w:pPr>
      <w:r>
        <w:rPr>
          <w:rFonts w:ascii="Arial" w:hAnsi="Arial" w:eastAsia="微软雅黑"/>
        </w:rPr>
        <w:t>软件系统性能力需求</w:t>
      </w:r>
    </w:p>
    <w:p w14:paraId="1B5B3005">
      <w:pPr>
        <w:spacing w:after="120"/>
      </w:pPr>
      <w:r>
        <w:rPr>
          <w:rFonts w:ascii="Arial" w:hAnsi="Arial" w:eastAsia="微软雅黑"/>
          <w:sz w:val="21"/>
          <w:szCs w:val="21"/>
        </w:rPr>
        <w:t>标准依据：IEC 61508-3:2010 第7.2.1.3条款。软件系统性能力对应SIL 2，需满足附录A/B中对应的技术与措施要求。</w:t>
      </w:r>
    </w:p>
    <w:p w14:paraId="4D50D333">
      <w:pPr>
        <w:spacing w:after="120"/>
      </w:pPr>
      <w:r>
        <w:rPr>
          <w:rFonts w:ascii="Arial" w:hAnsi="Arial" w:eastAsia="微软雅黑"/>
          <w:sz w:val="21"/>
          <w:szCs w:val="21"/>
        </w:rPr>
        <w:t>[R] SWSR-050：V模型开发流程（依据IEC 61508-3图6）。</w:t>
      </w:r>
    </w:p>
    <w:p w14:paraId="74949D36">
      <w:pPr>
        <w:spacing w:after="120"/>
      </w:pPr>
      <w:r>
        <w:rPr>
          <w:rFonts w:ascii="Arial" w:hAnsi="Arial" w:eastAsia="微软雅黑"/>
          <w:sz w:val="21"/>
          <w:szCs w:val="21"/>
        </w:rPr>
        <w:t>[R] SWSR-051：模块化架构，安全/非安全模块隔离（依据7.4.3、附录F）。</w:t>
      </w:r>
    </w:p>
    <w:p w14:paraId="08DEC761">
      <w:pPr>
        <w:spacing w:after="120"/>
      </w:pPr>
      <w:r>
        <w:rPr>
          <w:rFonts w:ascii="Arial" w:hAnsi="Arial" w:eastAsia="微软雅黑"/>
          <w:sz w:val="21"/>
          <w:szCs w:val="21"/>
        </w:rPr>
        <w:t>[R] SWSR-052：C语言，遵循MISRA C:2012（依据7.4.4、表A.3）。</w:t>
      </w:r>
    </w:p>
    <w:p w14:paraId="105B219A">
      <w:pPr>
        <w:spacing w:after="120"/>
      </w:pPr>
      <w:r>
        <w:rPr>
          <w:rFonts w:ascii="Arial" w:hAnsi="Arial" w:eastAsia="微软雅黑"/>
          <w:sz w:val="21"/>
          <w:szCs w:val="21"/>
        </w:rPr>
        <w:t>[R] SWSR-053：开发工具链评估（依据7.4.4）。</w:t>
      </w:r>
    </w:p>
    <w:p w14:paraId="359AF395">
      <w:pPr>
        <w:spacing w:after="120"/>
      </w:pPr>
      <w:r>
        <w:rPr>
          <w:rFonts w:ascii="Arial" w:hAnsi="Arial" w:eastAsia="微软雅黑"/>
          <w:sz w:val="21"/>
          <w:szCs w:val="21"/>
        </w:rPr>
        <w:t>[R] SWSR-054：静态分析（依据7.9、表B.8）。</w:t>
      </w:r>
    </w:p>
    <w:p w14:paraId="3650BCE1">
      <w:pPr>
        <w:spacing w:after="120"/>
      </w:pPr>
      <w:r>
        <w:rPr>
          <w:rFonts w:ascii="Arial" w:hAnsi="Arial" w:eastAsia="微软雅黑"/>
          <w:sz w:val="21"/>
          <w:szCs w:val="21"/>
        </w:rPr>
        <w:t>[R] SWSR-055：单元测试语句覆盖≥95%/分支覆盖≥90%，集成测试（依据7.4.7、7.4.8、7.5）。</w:t>
      </w:r>
    </w:p>
    <w:p w14:paraId="77DC48C8">
      <w:pPr>
        <w:pStyle w:val="2"/>
      </w:pPr>
      <w:r>
        <w:rPr>
          <w:rFonts w:ascii="Arial" w:hAnsi="Arial" w:eastAsia="微软雅黑"/>
        </w:rPr>
        <w:t>软硬件接口约束</w:t>
      </w:r>
    </w:p>
    <w:p w14:paraId="285FF138">
      <w:pPr>
        <w:spacing w:after="120"/>
      </w:pPr>
      <w:r>
        <w:rPr>
          <w:rFonts w:ascii="Arial" w:hAnsi="Arial" w:eastAsia="微软雅黑"/>
          <w:sz w:val="21"/>
          <w:szCs w:val="21"/>
        </w:rPr>
        <w:t>[R] SWSR-060：仅通过文档2-5定义的接口与硬件交互（依据7.2.2.7）。</w:t>
      </w:r>
    </w:p>
    <w:p w14:paraId="3EF5F6EE">
      <w:pPr>
        <w:spacing w:after="120"/>
      </w:pPr>
      <w:r>
        <w:rPr>
          <w:rFonts w:ascii="Arial" w:hAnsi="Arial" w:eastAsia="微软雅黑"/>
          <w:sz w:val="21"/>
          <w:szCs w:val="21"/>
        </w:rPr>
        <w:t>[R] SWSR-061：安全关键变量存储于MPU保护和CRC校验区域（依据7.2.2.7）。</w:t>
      </w:r>
    </w:p>
    <w:p w14:paraId="6349AFAF">
      <w:pPr>
        <w:spacing w:after="120"/>
      </w:pPr>
      <w:r>
        <w:rPr>
          <w:rFonts w:ascii="Arial" w:hAnsi="Arial" w:eastAsia="微软雅黑"/>
          <w:sz w:val="21"/>
          <w:szCs w:val="21"/>
        </w:rPr>
        <w:t>[R] SWSR-062：中断设计最小执行时间；安全中断优先级高于非安全中断（依据7.2.2.5 e)。</w:t>
      </w:r>
    </w:p>
    <w:p w14:paraId="492D2358">
      <w:pPr>
        <w:spacing w:after="120"/>
      </w:pPr>
      <w:r>
        <w:rPr>
          <w:rFonts w:ascii="Arial" w:hAnsi="Arial" w:eastAsia="微软雅黑"/>
          <w:sz w:val="21"/>
          <w:szCs w:val="21"/>
        </w:rPr>
        <w:t>[R] SWSR-063：看门狗喂狗仅在主循环中执行，禁止中断服务中喂狗（依据7.2.2.7）。</w:t>
      </w:r>
    </w:p>
    <w:p w14:paraId="1C35245A">
      <w:pPr>
        <w:pStyle w:val="2"/>
      </w:pPr>
      <w:r>
        <w:rPr>
          <w:rFonts w:ascii="Arial" w:hAnsi="Arial" w:eastAsia="微软雅黑"/>
        </w:rPr>
        <w:t>外部接口</w:t>
      </w:r>
    </w:p>
    <w:p w14:paraId="3AAE2474">
      <w:pPr>
        <w:spacing w:after="120"/>
      </w:pPr>
      <w:r>
        <w:rPr>
          <w:rFonts w:ascii="Arial" w:hAnsi="Arial" w:eastAsia="微软雅黑"/>
          <w:sz w:val="21"/>
          <w:szCs w:val="21"/>
        </w:rPr>
        <w:t>[R] SWSR-070~072：HART/LCD/报警继电器均独立任务运行，故障不影响安全功能（依据7.2.2.5 f)、附录F）。</w:t>
      </w:r>
    </w:p>
    <w:p w14:paraId="45EB7CF7">
      <w:pPr>
        <w:pStyle w:val="2"/>
      </w:pPr>
      <w:r>
        <w:rPr>
          <w:rFonts w:ascii="Arial" w:hAnsi="Arial" w:eastAsia="微软雅黑"/>
        </w:rPr>
        <w:t>验证测试支持</w:t>
      </w:r>
    </w:p>
    <w:p w14:paraId="48AD658C">
      <w:pPr>
        <w:spacing w:after="120"/>
      </w:pPr>
      <w:r>
        <w:rPr>
          <w:rFonts w:ascii="Arial" w:hAnsi="Arial" w:eastAsia="微软雅黑"/>
          <w:sz w:val="21"/>
          <w:szCs w:val="21"/>
        </w:rPr>
        <w:t>[R] SWSR-080~082：HART命令响应模拟流量注入/输出回读；诊断状态寄存器可读取；支持在线诊断验证（依据7.2.2.8 b,d,e）。</w:t>
      </w:r>
    </w:p>
    <w:p w14:paraId="5C750D51">
      <w:r>
        <w:br w:type="page"/>
      </w:r>
    </w:p>
    <w:p w14:paraId="39E48B47">
      <w:pPr>
        <w:pStyle w:val="2"/>
      </w:pPr>
      <w:r>
        <w:rPr>
          <w:rFonts w:ascii="Arial" w:hAnsi="Arial" w:eastAsia="微软雅黑"/>
        </w:rPr>
        <w:t>需求追溯矩阵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4"/>
        <w:gridCol w:w="2220"/>
        <w:gridCol w:w="1570"/>
        <w:gridCol w:w="2594"/>
        <w:gridCol w:w="1608"/>
      </w:tblGrid>
      <w:tr w14:paraId="300DF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4FDB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SWSR ID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AEC7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需求概要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A3C9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IEC 61508-3条款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9F71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SSR/HSR追溯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73A6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下游文档</w:t>
            </w:r>
          </w:p>
        </w:tc>
      </w:tr>
      <w:tr w14:paraId="368B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C0DE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SWSR-010~012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4FCE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ADC读取/滤波/流量计算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5A6B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7.2.2.3,5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088C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SSR SF-01, HSR-010,020,021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B459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Doc 2-14,16</w:t>
            </w:r>
          </w:p>
        </w:tc>
      </w:tr>
      <w:tr w14:paraId="7AC6C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5161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SWSR-020~022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B4F5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DAC控制/安全切换/回环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232E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7.2.2.3, 7.2.2.8 a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2EFA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SSR SF-01, HSR-020~023,050,051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2EA0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Doc 2-14,16</w:t>
            </w:r>
          </w:p>
        </w:tc>
      </w:tr>
      <w:tr w14:paraId="4F057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0D3F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SWSR-030~032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6B62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操作模式/锁存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B19A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7.2.2.6, 7.2.2.8 d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F9B8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HSR-052, SSR SF-01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35C7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Doc 2-14,16</w:t>
            </w:r>
          </w:p>
        </w:tc>
      </w:tr>
      <w:tr w14:paraId="170A3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7BA6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SWSR-040~047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3B9A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8项诊断测试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6DC9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7.2.2.8 a,b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3B41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HSR-030,031,041,042,050,051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EC23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Doc 2-14,15,16</w:t>
            </w:r>
          </w:p>
        </w:tc>
      </w:tr>
      <w:tr w14:paraId="066A5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40C6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SWSR-050~055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E243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系统性能力(V模型/MISRA/工具/测试)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C893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7.1.2, 7.4.3,4, 7.9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1BBF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SSR-001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FF30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Doc 2-14~21</w:t>
            </w:r>
          </w:p>
        </w:tc>
      </w:tr>
      <w:tr w14:paraId="64435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C523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SWSR-060~063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3220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软硬件接口/MPU/中断/WDT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085F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7.2.2.5 e, 7.2.2.7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17CC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HSR-040,041,042, Doc 2-5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7D7A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Doc 2-14, 2-5</w:t>
            </w:r>
          </w:p>
        </w:tc>
      </w:tr>
      <w:tr w14:paraId="17D6B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AEF7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SWSR-070~072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5FF6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HART/LCD隔离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F2DE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7.2.2.5 f, 附录F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D2CE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HSR-053, SSR SF-01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AE19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Doc 2-14</w:t>
            </w:r>
          </w:p>
        </w:tc>
      </w:tr>
      <w:tr w14:paraId="19C31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AACC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SWSR-080~082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8AAE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验证测试/诊断寄存器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E15F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7.2.2.8 b,d,e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79EF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HSR-071,072, Doc 4-5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0A5A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Doc 2-14, 4-5</w:t>
            </w:r>
          </w:p>
        </w:tc>
      </w:tr>
    </w:tbl>
    <w:p w14:paraId="56AAB33B"/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6E3F7">
    <w:pPr>
      <w:jc w:val="center"/>
    </w:pPr>
    <w:r>
      <w:rPr>
        <w:rFonts w:ascii="Arial" w:hAnsi="Arial" w:eastAsia="微软雅黑"/>
        <w:color w:val="999999"/>
        <w:sz w:val="16"/>
        <w:szCs w:val="16"/>
      </w:rPr>
      <w:t xml:space="preserve">第 </w:t>
    </w:r>
    <w:r>
      <w:rPr>
        <w:rFonts w:ascii="Arial" w:hAnsi="Arial" w:eastAsia="微软雅黑"/>
        <w:color w:val="999999"/>
        <w:sz w:val="16"/>
        <w:szCs w:val="16"/>
      </w:rPr>
      <w:fldChar w:fldCharType="begin"/>
    </w:r>
    <w:r>
      <w:rPr>
        <w:rFonts w:ascii="Arial" w:hAnsi="Arial" w:eastAsia="微软雅黑"/>
        <w:color w:val="999999"/>
        <w:sz w:val="16"/>
        <w:szCs w:val="16"/>
      </w:rPr>
      <w:instrText xml:space="preserve">PAGE</w:instrText>
    </w:r>
    <w:r>
      <w:rPr>
        <w:rFonts w:ascii="Arial" w:hAnsi="Arial" w:eastAsia="微软雅黑"/>
        <w:color w:val="999999"/>
        <w:sz w:val="16"/>
        <w:szCs w:val="16"/>
      </w:rPr>
      <w:fldChar w:fldCharType="separate"/>
    </w:r>
    <w:r>
      <w:rPr>
        <w:rFonts w:ascii="Arial" w:hAnsi="Arial" w:eastAsia="微软雅黑"/>
        <w:color w:val="999999"/>
        <w:sz w:val="16"/>
        <w:szCs w:val="16"/>
      </w:rPr>
      <w:fldChar w:fldCharType="end"/>
    </w:r>
    <w:r>
      <w:rPr>
        <w:rFonts w:ascii="Arial" w:hAnsi="Arial" w:eastAsia="微软雅黑"/>
        <w:color w:val="999999"/>
        <w:sz w:val="16"/>
        <w:szCs w:val="16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0" w:hanging="432"/>
      </w:pPr>
    </w:lvl>
    <w:lvl w:ilvl="1" w:tentative="0">
      <w:start w:val="1"/>
      <w:numFmt w:val="decimal"/>
      <w:lvlText w:val="%1.%2"/>
      <w:lvlJc w:val="left"/>
      <w:pPr>
        <w:ind w:left="432" w:hanging="432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35E07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1"/>
      <w:szCs w:val="21"/>
    </w:rPr>
  </w:style>
  <w:style w:type="paragraph" w:styleId="2">
    <w:name w:val="heading 1"/>
    <w:next w:val="1"/>
    <w:qFormat/>
    <w:uiPriority w:val="0"/>
    <w:pPr>
      <w:keepNext w:val="0"/>
      <w:keepLines w:val="0"/>
      <w:numPr>
        <w:ilvl w:val="0"/>
        <w:numId w:val="1"/>
      </w:numPr>
      <w:spacing w:before="360" w:after="200"/>
      <w:outlineLvl w:val="0"/>
    </w:pPr>
    <w:rPr>
      <w:rFonts w:ascii="Arial" w:hAnsi="Arial" w:eastAsia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numPr>
        <w:ilvl w:val="1"/>
        <w:numId w:val="1"/>
      </w:numPr>
      <w:spacing w:before="240" w:after="120"/>
      <w:outlineLvl w:val="1"/>
    </w:pPr>
    <w:rPr>
      <w:rFonts w:ascii="Arial" w:hAnsi="Arial" w:eastAsia="微软雅黑"/>
      <w:b/>
      <w:bCs/>
      <w:color w:val="2B6CB0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1770</Words>
  <Characters>3087</Characters>
  <TotalTime>0</TotalTime>
  <ScaleCrop>false</ScaleCrop>
  <LinksUpToDate>false</LinksUpToDate>
  <CharactersWithSpaces>3212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2026-05-27T03:27:00Z</dcterms:created>
  <dc:creator>Un-named</dc:creator>
  <cp:lastModifiedBy>王金星</cp:lastModifiedBy>
  <dcterms:modified xsi:type="dcterms:W3CDTF">2026-07-13T03:47:33Z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eyJoZGlkIjoiZTE0YWVhNzkyNjIwZTg3NzMyNjM1ZTJmM2UyZWVhYzAiLCJ1c2VySWQiOiIxNzgyMjAzNDAyIn0=</vt:lpwstr>
  </property>
  <property fmtid="{D5CDD505-2E9C-101B-9397-08002B2CF9AE}" pid="3" name="KSOProductBuildVer">
    <vt:lpwstr>2052-12.1.0.26375</vt:lpwstr>
  </property>
  <property fmtid="{D5CDD505-2E9C-101B-9397-08002B2CF9AE}" pid="4" name="ICV">
    <vt:lpwstr>E753D721E8CA4E5D8E9DEFA5DC7DA521_12</vt:lpwstr>
  </property>
</Properties>
</file>