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72BF0"/>
    <w:p w14:paraId="39DA7162"/>
    <w:p w14:paraId="2C9408EF"/>
    <w:p w14:paraId="3DA250A9"/>
    <w:p w14:paraId="6A6878AE"/>
    <w:p w14:paraId="23B4B2BC"/>
    <w:p w14:paraId="5FE9AA8E">
      <w:pPr>
        <w:spacing w:after="240"/>
        <w:jc w:val="center"/>
      </w:pPr>
      <w:r>
        <w:rPr>
          <w:rFonts w:ascii="Arial" w:hAnsi="Arial" w:eastAsia="微软雅黑"/>
          <w:b/>
          <w:color w:val="1F4E79"/>
          <w:sz w:val="44"/>
        </w:rPr>
        <w:t>软件模块设计描述</w:t>
      </w:r>
    </w:p>
    <w:p w14:paraId="69F71329">
      <w:pPr>
        <w:spacing w:after="160"/>
        <w:jc w:val="center"/>
      </w:pPr>
      <w:r>
        <w:rPr>
          <w:rFonts w:ascii="Arial" w:hAnsi="Arial" w:eastAsia="微软雅黑"/>
          <w:color w:val="2B6CB0"/>
          <w:sz w:val="28"/>
        </w:rPr>
        <w:t>Software Detail Design Description</w:t>
      </w:r>
    </w:p>
    <w:p w14:paraId="5A46A06F">
      <w:pPr>
        <w:pBdr>
          <w:bottom w:val="single" w:color="1F4E79" w:sz="12" w:space="1"/>
        </w:pBdr>
        <w:jc w:val="center"/>
      </w:pPr>
    </w:p>
    <w:p w14:paraId="2A18D5F1"/>
    <w:p w14:paraId="28AFA2B7">
      <w:pPr>
        <w:spacing w:after="80"/>
        <w:jc w:val="center"/>
      </w:pPr>
      <w:r>
        <w:rPr>
          <w:rFonts w:ascii="Arial" w:hAnsi="Arial" w:eastAsia="微软雅黑"/>
          <w:color w:val="333333"/>
          <w:sz w:val="22"/>
        </w:rPr>
        <w:t>依据 IEC 61508-3:2010 第7.4.5条款</w:t>
      </w:r>
    </w:p>
    <w:p w14:paraId="411A8486">
      <w:pPr>
        <w:spacing w:after="320"/>
        <w:jc w:val="center"/>
      </w:pPr>
      <w:r>
        <w:rPr>
          <w:rFonts w:ascii="Arial" w:hAnsi="Arial" w:eastAsia="微软雅黑"/>
          <w:color w:val="333333"/>
          <w:sz w:val="22"/>
        </w:rPr>
        <w:t>（详细设计和开发——软件系统设计）</w:t>
      </w:r>
    </w:p>
    <w:p w14:paraId="6D621024"/>
    <w:p w14:paraId="592F956E"/>
    <w:p w14:paraId="63BB7E78"/>
    <w:p w14:paraId="760EB47D">
      <w:pPr>
        <w:spacing w:after="120"/>
        <w:jc w:val="center"/>
      </w:pPr>
      <w:r>
        <w:rPr>
          <w:rFonts w:ascii="Arial" w:hAnsi="Arial" w:eastAsia="微软雅黑"/>
          <w:sz w:val="22"/>
        </w:rPr>
        <w:t>文件编号：SWDD-EMF-001</w:t>
      </w:r>
    </w:p>
    <w:p w14:paraId="5362225C">
      <w:pPr>
        <w:spacing w:after="120"/>
        <w:jc w:val="center"/>
      </w:pPr>
      <w:r>
        <w:rPr>
          <w:rFonts w:ascii="Arial" w:hAnsi="Arial" w:eastAsia="微软雅黑"/>
          <w:color w:val="999999"/>
          <w:sz w:val="18"/>
        </w:rPr>
        <w:t>【提示：修改为您的文件编号】</w:t>
      </w:r>
    </w:p>
    <w:p w14:paraId="58EB7959">
      <w:r>
        <w:br w:type="page"/>
      </w:r>
    </w:p>
    <w:p w14:paraId="46DD0101">
      <w:pPr>
        <w:pStyle w:val="3"/>
      </w:pPr>
      <w:r>
        <w:t>1  引言</w:t>
      </w:r>
    </w:p>
    <w:p w14:paraId="4F41E5E8"/>
    <w:p w14:paraId="7658596F">
      <w:pPr>
        <w:pStyle w:val="4"/>
      </w:pPr>
      <w:r>
        <w:t xml:space="preserve">1.1  </w:t>
      </w:r>
      <w:r>
        <w:rPr>
          <w:rFonts w:hint="eastAsia" w:eastAsia="宋体"/>
          <w:lang w:val="en-US" w:eastAsia="zh-CN"/>
        </w:rPr>
        <w:t>编写目的</w:t>
      </w:r>
    </w:p>
    <w:p w14:paraId="44026F0F">
      <w:pPr>
        <w:pStyle w:val="16"/>
        <w:ind w:left="360"/>
      </w:pPr>
      <w:r>
        <w:rPr>
          <w:rFonts w:ascii="Arial" w:hAnsi="Arial" w:eastAsia="微软雅黑"/>
          <w:b/>
          <w:sz w:val="21"/>
        </w:rPr>
        <w:t>编写目的：</w:t>
      </w:r>
      <w:r>
        <w:rPr>
          <w:rFonts w:ascii="Arial" w:hAnsi="Arial" w:eastAsia="微软雅黑"/>
          <w:sz w:val="21"/>
        </w:rPr>
        <w:t>软件模块设计描述是对软件架构设计规范(SWAD)中每个模块的内部实现细节的文档化。</w:t>
      </w:r>
    </w:p>
    <w:p w14:paraId="69AE33B5">
      <w:pPr>
        <w:pStyle w:val="16"/>
        <w:ind w:left="360"/>
      </w:pPr>
      <w:r>
        <w:rPr>
          <w:rFonts w:ascii="Arial" w:hAnsi="Arial" w:eastAsia="微软雅黑"/>
          <w:sz w:val="21"/>
        </w:rPr>
        <w:t>IEC 61508-3第7.4.5条款要求详细设计描述应足够详细以便进行编码实现和验证。</w:t>
      </w:r>
    </w:p>
    <w:p w14:paraId="2E353084"/>
    <w:p w14:paraId="7700DFCE">
      <w:r>
        <w:rPr>
          <w:rFonts w:ascii="Arial" w:hAnsi="Arial" w:eastAsia="微软雅黑"/>
          <w:b/>
          <w:sz w:val="21"/>
        </w:rPr>
        <w:t>编写方法：</w:t>
      </w:r>
    </w:p>
    <w:p w14:paraId="5A69E69C">
      <w:pPr>
        <w:pStyle w:val="16"/>
        <w:ind w:left="360"/>
      </w:pPr>
      <w:r>
        <w:rPr>
          <w:rFonts w:ascii="Arial" w:hAnsi="Arial" w:eastAsia="微软雅黑"/>
          <w:sz w:val="21"/>
        </w:rPr>
        <w:t>阅读SWAD中定义的每个模块及其职责</w:t>
      </w:r>
    </w:p>
    <w:p w14:paraId="6A8D8445">
      <w:pPr>
        <w:pStyle w:val="16"/>
        <w:ind w:left="360"/>
      </w:pPr>
      <w:r>
        <w:rPr>
          <w:rFonts w:ascii="Arial" w:hAnsi="Arial" w:eastAsia="微软雅黑"/>
          <w:sz w:val="21"/>
        </w:rPr>
        <w:t>对每个模块，定义其：对外接口（头文件函数声明）、内部数据结构、算法/状态机逻辑、与依赖模块的交互方式</w:t>
      </w:r>
    </w:p>
    <w:p w14:paraId="71467DF1">
      <w:pPr>
        <w:pStyle w:val="16"/>
        <w:ind w:left="360"/>
      </w:pPr>
      <w:r>
        <w:rPr>
          <w:rFonts w:ascii="Arial" w:hAnsi="Arial" w:eastAsia="微软雅黑"/>
          <w:sz w:val="21"/>
        </w:rPr>
        <w:t>安全关键模块需要更详细的描述（包括故障处理路径）</w:t>
      </w:r>
    </w:p>
    <w:p w14:paraId="1167DB4E">
      <w:pPr>
        <w:pStyle w:val="16"/>
        <w:ind w:left="360"/>
      </w:pPr>
      <w:r>
        <w:rPr>
          <w:rFonts w:ascii="Arial" w:hAnsi="Arial" w:eastAsia="微软雅黑"/>
          <w:sz w:val="21"/>
        </w:rPr>
        <w:t>非安全模块可以简化描述</w:t>
      </w:r>
    </w:p>
    <w:p w14:paraId="6802354B"/>
    <w:p w14:paraId="3E214D7C">
      <w:pPr>
        <w:pStyle w:val="4"/>
      </w:pPr>
      <w:r>
        <w:t xml:space="preserve">1.2  </w:t>
      </w:r>
      <w:r>
        <w:rPr>
          <w:rFonts w:hint="eastAsia" w:eastAsia="宋体"/>
          <w:lang w:val="en-US" w:eastAsia="zh-CN"/>
        </w:rPr>
        <w:t>标准依据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601A1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  <w:shd w:val="clear" w:color="auto" w:fill="1F4E79"/>
          </w:tcPr>
          <w:p w14:paraId="32114BF1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标准</w:t>
            </w:r>
          </w:p>
        </w:tc>
        <w:tc>
          <w:tcPr>
            <w:tcW w:w="3009" w:type="dxa"/>
            <w:shd w:val="clear" w:color="auto" w:fill="1F4E79"/>
          </w:tcPr>
          <w:p w14:paraId="5DB8BA52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条款</w:t>
            </w:r>
          </w:p>
        </w:tc>
        <w:tc>
          <w:tcPr>
            <w:tcW w:w="3009" w:type="dxa"/>
            <w:shd w:val="clear" w:color="auto" w:fill="1F4E79"/>
          </w:tcPr>
          <w:p w14:paraId="4D2A1D36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要求</w:t>
            </w:r>
          </w:p>
        </w:tc>
      </w:tr>
      <w:tr w14:paraId="26978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  <w:shd w:val="clear" w:color="auto" w:fill="FFFFFF"/>
          </w:tcPr>
          <w:p w14:paraId="104B56C5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IEC 61508-3:2010</w:t>
            </w:r>
          </w:p>
        </w:tc>
        <w:tc>
          <w:tcPr>
            <w:tcW w:w="3009" w:type="dxa"/>
            <w:shd w:val="clear" w:color="auto" w:fill="FFFFFF"/>
          </w:tcPr>
          <w:p w14:paraId="406CFF86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§7.4.5</w:t>
            </w:r>
          </w:p>
        </w:tc>
        <w:tc>
          <w:tcPr>
            <w:tcW w:w="3009" w:type="dxa"/>
            <w:shd w:val="clear" w:color="auto" w:fill="FFFFFF"/>
          </w:tcPr>
          <w:p w14:paraId="0EC3D76C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详细设计和开发——软件系统设计。设计应细化至每个软件模块</w:t>
            </w:r>
          </w:p>
        </w:tc>
      </w:tr>
      <w:tr w14:paraId="22092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  <w:shd w:val="clear" w:color="auto" w:fill="F2F2F2"/>
          </w:tcPr>
          <w:p w14:paraId="1C9BB86E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IEC 61508-3:2010</w:t>
            </w:r>
          </w:p>
        </w:tc>
        <w:tc>
          <w:tcPr>
            <w:tcW w:w="3009" w:type="dxa"/>
            <w:shd w:val="clear" w:color="auto" w:fill="F2F2F2"/>
          </w:tcPr>
          <w:p w14:paraId="0D5D5192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§7.4.6</w:t>
            </w:r>
          </w:p>
        </w:tc>
        <w:tc>
          <w:tcPr>
            <w:tcW w:w="3009" w:type="dxa"/>
            <w:shd w:val="clear" w:color="auto" w:fill="F2F2F2"/>
          </w:tcPr>
          <w:p w14:paraId="6214AEA1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代码实现要求</w:t>
            </w:r>
          </w:p>
        </w:tc>
      </w:tr>
      <w:tr w14:paraId="47A8E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  <w:shd w:val="clear" w:color="auto" w:fill="FFFFFF"/>
          </w:tcPr>
          <w:p w14:paraId="213EEA6A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IEC 61508-3:2010</w:t>
            </w:r>
          </w:p>
        </w:tc>
        <w:tc>
          <w:tcPr>
            <w:tcW w:w="3009" w:type="dxa"/>
            <w:shd w:val="clear" w:color="auto" w:fill="FFFFFF"/>
          </w:tcPr>
          <w:p w14:paraId="3EBAE4F8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Annex A Table A.4</w:t>
            </w:r>
          </w:p>
        </w:tc>
        <w:tc>
          <w:tcPr>
            <w:tcW w:w="3009" w:type="dxa"/>
            <w:shd w:val="clear" w:color="auto" w:fill="FFFFFF"/>
          </w:tcPr>
          <w:p w14:paraId="5C11AD57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SIL 2详细设计推荐的技术和措施</w:t>
            </w:r>
          </w:p>
        </w:tc>
      </w:tr>
    </w:tbl>
    <w:p w14:paraId="61AE5410"/>
    <w:p w14:paraId="1D8C7C6E">
      <w:pPr>
        <w:pStyle w:val="4"/>
      </w:pPr>
      <w:r>
        <w:t xml:space="preserve">1.3  </w:t>
      </w:r>
      <w:r>
        <w:rPr>
          <w:rFonts w:hint="eastAsia" w:eastAsia="宋体"/>
          <w:lang w:val="en-US" w:eastAsia="zh-CN"/>
        </w:rPr>
        <w:t>本文档与架</w:t>
      </w:r>
      <w:r>
        <w:rPr>
          <w:rFonts w:hint="eastAsia" w:eastAsia="宋体"/>
          <w:lang w:val="en-US" w:eastAsia="zh-CN"/>
        </w:rPr>
        <w:t>构设计的关系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2585D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1F4E79"/>
          </w:tcPr>
          <w:p w14:paraId="32E5D0FC">
            <w:pPr>
              <w:spacing w:before="40" w:after="40"/>
              <w:jc w:val="center"/>
            </w:pPr>
          </w:p>
        </w:tc>
        <w:tc>
          <w:tcPr>
            <w:tcW w:w="4513" w:type="dxa"/>
            <w:shd w:val="clear" w:color="auto" w:fill="1F4E79"/>
          </w:tcPr>
          <w:p w14:paraId="6F4FE185">
            <w:pPr>
              <w:spacing w:before="40" w:after="40"/>
              <w:jc w:val="center"/>
            </w:pPr>
          </w:p>
        </w:tc>
      </w:tr>
      <w:tr w14:paraId="4CC80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FFFFFF"/>
          </w:tcPr>
          <w:p w14:paraId="4D0A181B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架构文档(SWAD 2-14)</w:t>
            </w:r>
          </w:p>
        </w:tc>
        <w:tc>
          <w:tcPr>
            <w:tcW w:w="4513" w:type="dxa"/>
            <w:shd w:val="clear" w:color="auto" w:fill="FFFFFF"/>
          </w:tcPr>
          <w:p w14:paraId="67BB010F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本文档(SWDD)</w:t>
            </w:r>
          </w:p>
        </w:tc>
      </w:tr>
      <w:tr w14:paraId="13DD7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F2F2F2"/>
          </w:tcPr>
          <w:p w14:paraId="3908BA4A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定义模块的WHAT和WHY（模块是什么，为什么这样划分）</w:t>
            </w:r>
          </w:p>
        </w:tc>
        <w:tc>
          <w:tcPr>
            <w:tcW w:w="4513" w:type="dxa"/>
            <w:shd w:val="clear" w:color="auto" w:fill="F2F2F2"/>
          </w:tcPr>
          <w:p w14:paraId="532FF246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定义模块的HOW（每个模块怎么实现）</w:t>
            </w:r>
          </w:p>
        </w:tc>
      </w:tr>
      <w:tr w14:paraId="2CADF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FFFFFF"/>
          </w:tcPr>
          <w:p w14:paraId="577335A2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描述模块间接口和依赖</w:t>
            </w:r>
          </w:p>
        </w:tc>
        <w:tc>
          <w:tcPr>
            <w:tcW w:w="4513" w:type="dxa"/>
            <w:shd w:val="clear" w:color="auto" w:fill="FFFFFF"/>
          </w:tcPr>
          <w:p w14:paraId="160744C5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描述模块内部数据结构和算法</w:t>
            </w:r>
          </w:p>
        </w:tc>
      </w:tr>
      <w:tr w14:paraId="4D801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F2F2F2"/>
          </w:tcPr>
          <w:p w14:paraId="3AE3798D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从软件安全需求(SWSR)出发</w:t>
            </w:r>
          </w:p>
        </w:tc>
        <w:tc>
          <w:tcPr>
            <w:tcW w:w="4513" w:type="dxa"/>
            <w:shd w:val="clear" w:color="auto" w:fill="F2F2F2"/>
          </w:tcPr>
          <w:p w14:paraId="4F56CDD5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逐模块从架构设计出发</w:t>
            </w:r>
          </w:p>
        </w:tc>
      </w:tr>
    </w:tbl>
    <w:p w14:paraId="3678EF5B">
      <w:r>
        <w:br w:type="page"/>
      </w:r>
    </w:p>
    <w:p w14:paraId="5A6727B8">
      <w:pPr>
        <w:pStyle w:val="3"/>
      </w:pPr>
      <w:r>
        <w:t>2  安全关键模块详细设计</w:t>
      </w:r>
    </w:p>
    <w:p w14:paraId="1459D553">
      <w:r>
        <w:rPr>
          <w:rFonts w:ascii="Arial" w:hAnsi="Arial" w:eastAsia="微软雅黑"/>
          <w:color w:val="666666"/>
          <w:sz w:val="18"/>
        </w:rPr>
        <w:t>本节详述被SWSR明确引用的安全关键模块。每个模块包含：接口API表、内部数据流、算法/状态机、故障处理路径。以下基于实际代码预填写示例。</w:t>
      </w:r>
      <w:bookmarkStart w:id="0" w:name="_GoBack"/>
      <w:bookmarkEnd w:id="0"/>
    </w:p>
    <w:p w14:paraId="3486A8C3"/>
    <w:p w14:paraId="3B68061D">
      <w:pPr>
        <w:pStyle w:val="4"/>
        <w:rPr>
          <w:rFonts w:hint="eastAsia" w:eastAsia="宋体"/>
          <w:lang w:val="en-US" w:eastAsia="zh-CN"/>
        </w:rPr>
      </w:pPr>
      <w:r>
        <w:t>2.1  MOD-10：协同任务调度器 (Task)</w:t>
      </w:r>
    </w:p>
    <w:p w14:paraId="2FD73BE1">
      <w:pPr>
        <w:spacing w:after="160"/>
      </w:pPr>
      <w:r>
        <w:rPr>
          <w:rFonts w:ascii="Arial" w:hAnsi="Arial" w:eastAsia="微软雅黑"/>
          <w:color w:val="666666"/>
          <w:sz w:val="18"/>
        </w:rPr>
        <w:t>这是整个系统时序行为的核心。所有安全关键功能的周期性执行都依赖此调度器。</w:t>
      </w:r>
    </w:p>
    <w:p w14:paraId="3F097B31">
      <w:pPr>
        <w:pStyle w:val="5"/>
      </w:pPr>
      <w:r>
        <w:t>2.1.1  模块职责</w:t>
      </w:r>
    </w:p>
    <w:p w14:paraId="0637D620">
      <w:r>
        <w:rPr>
          <w:rFonts w:ascii="Arial" w:hAnsi="Arial" w:eastAsia="微软雅黑"/>
        </w:rPr>
        <w:t>提供一个简单的、基于时间片倒计时的非抢占式协同任务调度框架。支持周期任务(RUN_ALWAYS)和一次性任务(RUN_ONCE)两种模式。</w:t>
      </w:r>
    </w:p>
    <w:p w14:paraId="105C06BB">
      <w:pPr>
        <w:pStyle w:val="5"/>
      </w:pPr>
      <w:r>
        <w:t>2.1.2  接口API</w:t>
      </w:r>
    </w:p>
    <w:p w14:paraId="43CDE4B4">
      <w:r>
        <w:rPr>
          <w:rFonts w:ascii="Arial" w:hAnsi="Arial" w:eastAsia="微软雅黑"/>
          <w:b/>
          <w:sz w:val="19"/>
        </w:rPr>
        <w:t>表2-1：Task模块对外接口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7"/>
        <w:gridCol w:w="1224"/>
        <w:gridCol w:w="1584"/>
        <w:gridCol w:w="1224"/>
        <w:gridCol w:w="1152"/>
        <w:gridCol w:w="1584"/>
      </w:tblGrid>
      <w:tr w14:paraId="68C62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shd w:val="clear" w:color="auto" w:fill="1F4E79"/>
          </w:tcPr>
          <w:p w14:paraId="1A3F9E5E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函数</w:t>
            </w:r>
          </w:p>
        </w:tc>
        <w:tc>
          <w:tcPr>
            <w:tcW w:w="1224" w:type="dxa"/>
            <w:shd w:val="clear" w:color="auto" w:fill="1F4E79"/>
          </w:tcPr>
          <w:p w14:paraId="35DC684D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w="1584" w:type="dxa"/>
            <w:shd w:val="clear" w:color="auto" w:fill="1F4E79"/>
          </w:tcPr>
          <w:p w14:paraId="7756D49C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参数</w:t>
            </w:r>
          </w:p>
        </w:tc>
        <w:tc>
          <w:tcPr>
            <w:tcW w:w="1224" w:type="dxa"/>
            <w:shd w:val="clear" w:color="auto" w:fill="1F4E79"/>
          </w:tcPr>
          <w:p w14:paraId="0FD22424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返回值</w:t>
            </w:r>
          </w:p>
        </w:tc>
        <w:tc>
          <w:tcPr>
            <w:tcW w:w="1152" w:type="dxa"/>
            <w:shd w:val="clear" w:color="auto" w:fill="1F4E79"/>
          </w:tcPr>
          <w:p w14:paraId="62E2969E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调用者</w:t>
            </w:r>
          </w:p>
        </w:tc>
        <w:tc>
          <w:tcPr>
            <w:tcW w:w="1584" w:type="dxa"/>
            <w:shd w:val="clear" w:color="auto" w:fill="1F4E79"/>
          </w:tcPr>
          <w:p w14:paraId="47837D7D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安全约束</w:t>
            </w:r>
          </w:p>
        </w:tc>
      </w:tr>
      <w:tr w14:paraId="0E9B1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shd w:val="clear" w:color="auto" w:fill="FFFFFF"/>
          </w:tcPr>
          <w:p w14:paraId="25F96A51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Task_Registration</w:t>
            </w:r>
          </w:p>
        </w:tc>
        <w:tc>
          <w:tcPr>
            <w:tcW w:w="1224" w:type="dxa"/>
            <w:shd w:val="clear" w:color="auto" w:fill="FFFFFF"/>
          </w:tcPr>
          <w:p w14:paraId="7F304CDD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注册一个任务到调度器</w:t>
            </w:r>
          </w:p>
        </w:tc>
        <w:tc>
          <w:tcPr>
            <w:tcW w:w="1584" w:type="dxa"/>
            <w:shd w:val="clear" w:color="auto" w:fill="FFFFFF"/>
          </w:tcPr>
          <w:p w14:paraId="2AB6C4F0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TaskPointer(回调函数), Parameters, TimerSlice(时隙数), RunOnce标志</w:t>
            </w:r>
          </w:p>
        </w:tc>
        <w:tc>
          <w:tcPr>
            <w:tcW w:w="1224" w:type="dxa"/>
            <w:shd w:val="clear" w:color="auto" w:fill="FFFFFF"/>
          </w:tcPr>
          <w:p w14:paraId="091B98B1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0=成功, 1=ALWAYS队列满, 2=ONCE队列满</w:t>
            </w:r>
          </w:p>
        </w:tc>
        <w:tc>
          <w:tcPr>
            <w:tcW w:w="1152" w:type="dxa"/>
            <w:shd w:val="clear" w:color="auto" w:fill="FFFFFF"/>
          </w:tcPr>
          <w:p w14:paraId="5B4B3A29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各模块初始化函数</w:t>
            </w:r>
          </w:p>
        </w:tc>
        <w:tc>
          <w:tcPr>
            <w:tcW w:w="1584" w:type="dxa"/>
            <w:shd w:val="clear" w:color="auto" w:fill="FFFFFF"/>
          </w:tcPr>
          <w:p w14:paraId="1E31B183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注册后任务status=1(等待)，TimerSlice在首次Time_Tick后开始递减</w:t>
            </w:r>
          </w:p>
        </w:tc>
      </w:tr>
      <w:tr w14:paraId="562C8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shd w:val="clear" w:color="auto" w:fill="F2F2F2"/>
          </w:tcPr>
          <w:p w14:paraId="327355E2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Time_Tick</w:t>
            </w:r>
          </w:p>
        </w:tc>
        <w:tc>
          <w:tcPr>
            <w:tcW w:w="1224" w:type="dxa"/>
            <w:shd w:val="clear" w:color="auto" w:fill="F2F2F2"/>
          </w:tcPr>
          <w:p w14:paraId="71D7D7D9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周期性中断服务——递减各任务时隙</w:t>
            </w:r>
          </w:p>
        </w:tc>
        <w:tc>
          <w:tcPr>
            <w:tcW w:w="1584" w:type="dxa"/>
            <w:shd w:val="clear" w:color="auto" w:fill="F2F2F2"/>
          </w:tcPr>
          <w:p w14:paraId="67CA9E56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无</w:t>
            </w:r>
          </w:p>
        </w:tc>
        <w:tc>
          <w:tcPr>
            <w:tcW w:w="1224" w:type="dxa"/>
            <w:shd w:val="clear" w:color="auto" w:fill="F2F2F2"/>
          </w:tcPr>
          <w:p w14:paraId="1B3106BD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无</w:t>
            </w:r>
          </w:p>
        </w:tc>
        <w:tc>
          <w:tcPr>
            <w:tcW w:w="1152" w:type="dxa"/>
            <w:shd w:val="clear" w:color="auto" w:fill="F2F2F2"/>
          </w:tcPr>
          <w:p w14:paraId="481166FF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定时器ISR</w:t>
            </w:r>
          </w:p>
        </w:tc>
        <w:tc>
          <w:tcPr>
            <w:tcW w:w="1584" w:type="dxa"/>
            <w:shd w:val="clear" w:color="auto" w:fill="F2F2F2"/>
          </w:tcPr>
          <w:p w14:paraId="5A947E8C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必须在定时器中断ISR中调用，不可在任务级调用</w:t>
            </w:r>
          </w:p>
        </w:tc>
      </w:tr>
      <w:tr w14:paraId="6127E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shd w:val="clear" w:color="auto" w:fill="FFFFFF"/>
          </w:tcPr>
          <w:p w14:paraId="0E322903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Task_Process</w:t>
            </w:r>
          </w:p>
        </w:tc>
        <w:tc>
          <w:tcPr>
            <w:tcW w:w="1224" w:type="dxa"/>
            <w:shd w:val="clear" w:color="auto" w:fill="FFFFFF"/>
          </w:tcPr>
          <w:p w14:paraId="10D8F0BB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主循环任务调度——执行可运行的任务</w:t>
            </w:r>
          </w:p>
        </w:tc>
        <w:tc>
          <w:tcPr>
            <w:tcW w:w="1584" w:type="dxa"/>
            <w:shd w:val="clear" w:color="auto" w:fill="FFFFFF"/>
          </w:tcPr>
          <w:p w14:paraId="02271888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无</w:t>
            </w:r>
          </w:p>
        </w:tc>
        <w:tc>
          <w:tcPr>
            <w:tcW w:w="1224" w:type="dxa"/>
            <w:shd w:val="clear" w:color="auto" w:fill="FFFFFF"/>
          </w:tcPr>
          <w:p w14:paraId="724F47BC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无</w:t>
            </w:r>
          </w:p>
        </w:tc>
        <w:tc>
          <w:tcPr>
            <w:tcW w:w="1152" w:type="dxa"/>
            <w:shd w:val="clear" w:color="auto" w:fill="FFFFFF"/>
          </w:tcPr>
          <w:p w14:paraId="349A9C0A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主循环(main while)</w:t>
            </w:r>
          </w:p>
        </w:tc>
        <w:tc>
          <w:tcPr>
            <w:tcW w:w="1584" w:type="dxa"/>
            <w:shd w:val="clear" w:color="auto" w:fill="FFFFFF"/>
          </w:tcPr>
          <w:p w14:paraId="6A63724E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先执行ONCE任务，再执行ALWAYS任务</w:t>
            </w:r>
          </w:p>
        </w:tc>
      </w:tr>
      <w:tr w14:paraId="64FC0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shd w:val="clear" w:color="auto" w:fill="F2F2F2"/>
          </w:tcPr>
          <w:p w14:paraId="431662E7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Task_Run</w:t>
            </w:r>
          </w:p>
        </w:tc>
        <w:tc>
          <w:tcPr>
            <w:tcW w:w="1224" w:type="dxa"/>
            <w:shd w:val="clear" w:color="auto" w:fill="F2F2F2"/>
          </w:tcPr>
          <w:p w14:paraId="0D487A1B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恢复已注册但停止的任务</w:t>
            </w:r>
          </w:p>
        </w:tc>
        <w:tc>
          <w:tcPr>
            <w:tcW w:w="1584" w:type="dxa"/>
            <w:shd w:val="clear" w:color="auto" w:fill="F2F2F2"/>
          </w:tcPr>
          <w:p w14:paraId="5C6E3E24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TaskPointer, parameter</w:t>
            </w:r>
          </w:p>
        </w:tc>
        <w:tc>
          <w:tcPr>
            <w:tcW w:w="1224" w:type="dxa"/>
            <w:shd w:val="clear" w:color="auto" w:fill="F2F2F2"/>
          </w:tcPr>
          <w:p w14:paraId="09047D7D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无</w:t>
            </w:r>
          </w:p>
        </w:tc>
        <w:tc>
          <w:tcPr>
            <w:tcW w:w="1152" w:type="dxa"/>
            <w:shd w:val="clear" w:color="auto" w:fill="F2F2F2"/>
          </w:tcPr>
          <w:p w14:paraId="7586AC84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CAN指令处理等</w:t>
            </w:r>
          </w:p>
        </w:tc>
        <w:tc>
          <w:tcPr>
            <w:tcW w:w="1584" w:type="dxa"/>
            <w:shd w:val="clear" w:color="auto" w:fill="F2F2F2"/>
          </w:tcPr>
          <w:p w14:paraId="3525B4F3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仅恢复已注册任务的运行</w:t>
            </w:r>
          </w:p>
        </w:tc>
      </w:tr>
      <w:tr w14:paraId="35FF2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shd w:val="clear" w:color="auto" w:fill="FFFFFF"/>
          </w:tcPr>
          <w:p w14:paraId="7498A7E9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Task_Stop</w:t>
            </w:r>
          </w:p>
        </w:tc>
        <w:tc>
          <w:tcPr>
            <w:tcW w:w="1224" w:type="dxa"/>
            <w:shd w:val="clear" w:color="auto" w:fill="FFFFFF"/>
          </w:tcPr>
          <w:p w14:paraId="0B71A94E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停止指定任务</w:t>
            </w:r>
          </w:p>
        </w:tc>
        <w:tc>
          <w:tcPr>
            <w:tcW w:w="1584" w:type="dxa"/>
            <w:shd w:val="clear" w:color="auto" w:fill="FFFFFF"/>
          </w:tcPr>
          <w:p w14:paraId="5298E047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TaskPointer</w:t>
            </w:r>
          </w:p>
        </w:tc>
        <w:tc>
          <w:tcPr>
            <w:tcW w:w="1224" w:type="dxa"/>
            <w:shd w:val="clear" w:color="auto" w:fill="FFFFFF"/>
          </w:tcPr>
          <w:p w14:paraId="2B34479E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无</w:t>
            </w:r>
          </w:p>
        </w:tc>
        <w:tc>
          <w:tcPr>
            <w:tcW w:w="1152" w:type="dxa"/>
            <w:shd w:val="clear" w:color="auto" w:fill="FFFFFF"/>
          </w:tcPr>
          <w:p w14:paraId="63898E2F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故障处理路径</w:t>
            </w:r>
          </w:p>
        </w:tc>
        <w:tc>
          <w:tcPr>
            <w:tcW w:w="1584" w:type="dxa"/>
            <w:shd w:val="clear" w:color="auto" w:fill="FFFFFF"/>
          </w:tcPr>
          <w:p w14:paraId="389C2D9F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停止后任务status=0，不再被调度</w:t>
            </w:r>
          </w:p>
        </w:tc>
      </w:tr>
    </w:tbl>
    <w:p w14:paraId="04F0CFFE">
      <w:pPr>
        <w:pStyle w:val="5"/>
      </w:pPr>
      <w:r>
        <w:t>2.1.3  内部数据流</w:t>
      </w:r>
    </w:p>
    <w:p w14:paraId="7B8CA59E">
      <w:r>
        <w:rPr>
          <w:rFonts w:ascii="Arial" w:hAnsi="Arial" w:eastAsia="微软雅黑"/>
        </w:rPr>
        <w:t>核心数据结构（Task.h:18-25）：</w:t>
      </w:r>
    </w:p>
    <w:p w14:paraId="5DED2563">
      <w:r>
        <w:rPr>
          <w:rFonts w:ascii="Arial" w:hAnsi="Arial" w:eastAsia="微软雅黑"/>
          <w:sz w:val="18"/>
        </w:rPr>
        <w:t>typedef struct { uint8_t status;  // 0:停止；1:等待；2:可运行</w:t>
      </w:r>
      <w:r>
        <w:rPr>
          <w:rFonts w:ascii="Arial" w:hAnsi="Arial" w:eastAsia="微软雅黑"/>
          <w:sz w:val="18"/>
        </w:rPr>
        <w:br w:type="textWrapping"/>
      </w:r>
      <w:r>
        <w:rPr>
          <w:rFonts w:ascii="Arial" w:hAnsi="Arial" w:eastAsia="微软雅黑"/>
          <w:sz w:val="18"/>
        </w:rPr>
        <w:t xml:space="preserve">    uint16_t TimerSlice; uint16_t SliceNumber;</w:t>
      </w:r>
      <w:r>
        <w:rPr>
          <w:rFonts w:ascii="Arial" w:hAnsi="Arial" w:eastAsia="微软雅黑"/>
          <w:sz w:val="18"/>
        </w:rPr>
        <w:br w:type="textWrapping"/>
      </w:r>
      <w:r>
        <w:rPr>
          <w:rFonts w:ascii="Arial" w:hAnsi="Arial" w:eastAsia="微软雅黑"/>
          <w:sz w:val="18"/>
        </w:rPr>
        <w:t xml:space="preserve">    uint8_t Parameters; Task_Pointer TaskPointer; } Task_Struct;</w:t>
      </w:r>
    </w:p>
    <w:p w14:paraId="0CBDFD3E"/>
    <w:p w14:paraId="08822192">
      <w:r>
        <w:rPr>
          <w:rFonts w:ascii="Arial" w:hAnsi="Arial" w:eastAsia="微软雅黑"/>
          <w:b/>
        </w:rPr>
        <w:t>数据流时序：</w:t>
      </w:r>
    </w:p>
    <w:p w14:paraId="03666287">
      <w:pPr>
        <w:pStyle w:val="16"/>
        <w:ind w:left="360"/>
      </w:pPr>
      <w:r>
        <w:rPr>
          <w:rFonts w:ascii="Arial" w:hAnsi="Arial" w:eastAsia="微软雅黑"/>
          <w:sz w:val="21"/>
        </w:rPr>
        <w:t>上电 -&gt; Peripheral_Init() -&gt; 各模块调用Task_Registration注册任务</w:t>
      </w:r>
    </w:p>
    <w:p w14:paraId="4B1598B8">
      <w:pPr>
        <w:pStyle w:val="16"/>
        <w:ind w:left="360"/>
      </w:pPr>
      <w:r>
        <w:rPr>
          <w:rFonts w:ascii="Arial" w:hAnsi="Arial" w:eastAsia="微软雅黑"/>
          <w:sz w:val="21"/>
        </w:rPr>
        <w:t>定时器中断(周期T_tick) -&gt; Time_Tick()递减时隙</w:t>
      </w:r>
    </w:p>
    <w:p w14:paraId="205E0AC1">
      <w:pPr>
        <w:pStyle w:val="16"/>
        <w:ind w:left="360"/>
      </w:pPr>
      <w:r>
        <w:rPr>
          <w:rFonts w:ascii="Arial" w:hAnsi="Arial" w:eastAsia="微软雅黑"/>
          <w:sz w:val="21"/>
        </w:rPr>
        <w:t>时隙归零的任务被标记status=2</w:t>
      </w:r>
    </w:p>
    <w:p w14:paraId="1006A447">
      <w:pPr>
        <w:pStyle w:val="16"/>
        <w:ind w:left="360"/>
      </w:pPr>
      <w:r>
        <w:rPr>
          <w:rFonts w:ascii="Arial" w:hAnsi="Arial" w:eastAsia="微软雅黑"/>
          <w:sz w:val="21"/>
        </w:rPr>
        <w:t>主循环Task_Process()依次执行status=2的任务</w:t>
      </w:r>
    </w:p>
    <w:p w14:paraId="256B9BC1">
      <w:pPr>
        <w:pStyle w:val="5"/>
      </w:pPr>
      <w:r>
        <w:t>2.1.4  约束</w:t>
      </w:r>
    </w:p>
    <w:p w14:paraId="5311E977">
      <w:pPr>
        <w:pStyle w:val="16"/>
        <w:ind w:left="360"/>
      </w:pPr>
      <w:r>
        <w:rPr>
          <w:rFonts w:ascii="Arial" w:hAnsi="Arial" w:eastAsia="微软雅黑"/>
          <w:sz w:val="21"/>
        </w:rPr>
        <w:t>最大周期任务数：ALWAYS_TASKS_MAX=15, ONCE_TASKS_MAX=15</w:t>
      </w:r>
    </w:p>
    <w:p w14:paraId="0C9056B7">
      <w:pPr>
        <w:pStyle w:val="16"/>
        <w:ind w:left="360"/>
      </w:pPr>
      <w:r>
        <w:rPr>
          <w:rFonts w:ascii="Arial" w:hAnsi="Arial" w:eastAsia="微软雅黑"/>
          <w:sz w:val="21"/>
        </w:rPr>
        <w:t>非抢占性：Task_Process()在执行一个任务期间不会被中断（虽然ISR可触发，但ISR返回后继续当前任务），因此每个任务的执行时间必须短且可控</w:t>
      </w:r>
    </w:p>
    <w:p w14:paraId="27F72C2A">
      <w:pPr>
        <w:pStyle w:val="16"/>
        <w:ind w:left="360"/>
      </w:pPr>
      <w:r>
        <w:rPr>
          <w:rFonts w:ascii="Arial" w:hAnsi="Arial" w:eastAsia="微软雅黑"/>
          <w:sz w:val="21"/>
        </w:rPr>
        <w:t>看门狗喂狗任务必须在主循环中注册（符合SWSR-063禁止中断喂狗）</w:t>
      </w:r>
    </w:p>
    <w:p w14:paraId="00CC4B05">
      <w:pPr>
        <w:ind w:left="432"/>
      </w:pPr>
      <w:r>
        <w:rPr>
          <w:rFonts w:ascii="Arial" w:hAnsi="Arial" w:eastAsia="微软雅黑"/>
          <w:color w:val="666666"/>
          <w:sz w:val="18"/>
        </w:rPr>
        <w:t>【提示：参照此格式描述您的调度器或RTOS配置。如果使用RTOS，描述任务优先级分配、栈大小、任务间通信机制(队列/信号量)】</w:t>
      </w:r>
    </w:p>
    <w:p w14:paraId="70583DE6"/>
    <w:p w14:paraId="1A870DB7">
      <w:pPr>
        <w:pStyle w:val="4"/>
      </w:pPr>
      <w:r>
        <w:t>2.2  MOD-11：数据完整性校验 (check + crc)</w:t>
      </w:r>
    </w:p>
    <w:p w14:paraId="1DE7A8BA">
      <w:pPr>
        <w:spacing w:after="160"/>
      </w:pPr>
      <w:r>
        <w:rPr>
          <w:rFonts w:ascii="Arial" w:hAnsi="Arial" w:eastAsia="微软雅黑"/>
          <w:color w:val="666666"/>
          <w:sz w:val="18"/>
        </w:rPr>
        <w:t>标准依据：IEC 61508-3:2010 第7.2.2.8 a)条款（软件自监控）。程序存储器CRC校验和RAM测试是检测随机硬件失效（位翻转）和残余软件故障的关键诊断手段。</w:t>
      </w:r>
    </w:p>
    <w:p w14:paraId="1AF492B4">
      <w:pPr>
        <w:pStyle w:val="5"/>
      </w:pPr>
      <w:r>
        <w:t>2.2.1  模块职责</w:t>
      </w:r>
    </w:p>
    <w:p w14:paraId="4ECAF950">
      <w:r>
        <w:rPr>
          <w:rFonts w:ascii="Arial" w:hAnsi="Arial" w:eastAsia="微软雅黑"/>
        </w:rPr>
        <w:t>提供数据完整性校验算法：CRC16、CRC8、校验和(Checksum16/8)、异或校验(XOR8)。</w:t>
      </w:r>
    </w:p>
    <w:p w14:paraId="46B96BEF">
      <w:pPr>
        <w:pStyle w:val="5"/>
      </w:pPr>
      <w:r>
        <w:t>2.2.2  接口API</w:t>
      </w:r>
    </w:p>
    <w:p w14:paraId="02505B3F">
      <w:r>
        <w:rPr>
          <w:rFonts w:ascii="Arial" w:hAnsi="Arial" w:eastAsia="微软雅黑"/>
          <w:b/>
          <w:sz w:val="19"/>
        </w:rPr>
        <w:t>表2-2：校验模块接口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584"/>
        <w:gridCol w:w="1440"/>
        <w:gridCol w:w="1800"/>
      </w:tblGrid>
      <w:tr w14:paraId="22C31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1F4E79"/>
          </w:tcPr>
          <w:p w14:paraId="61F2C6E5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函数</w:t>
            </w:r>
          </w:p>
        </w:tc>
        <w:tc>
          <w:tcPr>
            <w:tcW w:w="1728" w:type="dxa"/>
            <w:shd w:val="clear" w:color="auto" w:fill="1F4E79"/>
          </w:tcPr>
          <w:p w14:paraId="2620DAB4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算法</w:t>
            </w:r>
          </w:p>
        </w:tc>
        <w:tc>
          <w:tcPr>
            <w:tcW w:w="1584" w:type="dxa"/>
            <w:shd w:val="clear" w:color="auto" w:fill="1F4E79"/>
          </w:tcPr>
          <w:p w14:paraId="5B31CD89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输入</w:t>
            </w:r>
          </w:p>
        </w:tc>
        <w:tc>
          <w:tcPr>
            <w:tcW w:w="1440" w:type="dxa"/>
            <w:shd w:val="clear" w:color="auto" w:fill="1F4E79"/>
          </w:tcPr>
          <w:p w14:paraId="7E680108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输出</w:t>
            </w:r>
          </w:p>
        </w:tc>
        <w:tc>
          <w:tcPr>
            <w:tcW w:w="1800" w:type="dxa"/>
            <w:shd w:val="clear" w:color="auto" w:fill="1F4E79"/>
          </w:tcPr>
          <w:p w14:paraId="4178C8F7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用途</w:t>
            </w:r>
          </w:p>
        </w:tc>
      </w:tr>
      <w:tr w14:paraId="1BAB2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FFFFFF"/>
          </w:tcPr>
          <w:p w14:paraId="2ED8FD22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crc16_compute</w:t>
            </w:r>
          </w:p>
        </w:tc>
        <w:tc>
          <w:tcPr>
            <w:tcW w:w="1728" w:type="dxa"/>
            <w:shd w:val="clear" w:color="auto" w:fill="FFFFFF"/>
          </w:tcPr>
          <w:p w14:paraId="3A673037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CRC-16-CCITT</w:t>
            </w:r>
          </w:p>
        </w:tc>
        <w:tc>
          <w:tcPr>
            <w:tcW w:w="1584" w:type="dxa"/>
            <w:shd w:val="clear" w:color="auto" w:fill="FFFFFF"/>
          </w:tcPr>
          <w:p w14:paraId="42AD73AA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数据指针+长度(uint32_t)</w:t>
            </w:r>
          </w:p>
        </w:tc>
        <w:tc>
          <w:tcPr>
            <w:tcW w:w="1440" w:type="dxa"/>
            <w:shd w:val="clear" w:color="auto" w:fill="FFFFFF"/>
          </w:tcPr>
          <w:p w14:paraId="01C56033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uint16_t CRC值</w:t>
            </w:r>
          </w:p>
        </w:tc>
        <w:tc>
          <w:tcPr>
            <w:tcW w:w="1800" w:type="dxa"/>
            <w:shd w:val="clear" w:color="auto" w:fill="FFFFFF"/>
          </w:tcPr>
          <w:p w14:paraId="0B68C815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通用数据包CRC校验</w:t>
            </w:r>
          </w:p>
        </w:tc>
      </w:tr>
      <w:tr w14:paraId="67A8A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F2F2F2"/>
          </w:tcPr>
          <w:p w14:paraId="05C747F9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CheckSum_16</w:t>
            </w:r>
          </w:p>
        </w:tc>
        <w:tc>
          <w:tcPr>
            <w:tcW w:w="1728" w:type="dxa"/>
            <w:shd w:val="clear" w:color="auto" w:fill="F2F2F2"/>
          </w:tcPr>
          <w:p w14:paraId="08A8DA56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16位无进位加法</w:t>
            </w:r>
          </w:p>
        </w:tc>
        <w:tc>
          <w:tcPr>
            <w:tcW w:w="1584" w:type="dxa"/>
            <w:shd w:val="clear" w:color="auto" w:fill="F2F2F2"/>
          </w:tcPr>
          <w:p w14:paraId="69CCDB5E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数据指针+长度</w:t>
            </w:r>
          </w:p>
        </w:tc>
        <w:tc>
          <w:tcPr>
            <w:tcW w:w="1440" w:type="dxa"/>
            <w:shd w:val="clear" w:color="auto" w:fill="F2F2F2"/>
          </w:tcPr>
          <w:p w14:paraId="237A5359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uint16_t 校验和</w:t>
            </w:r>
          </w:p>
        </w:tc>
        <w:tc>
          <w:tcPr>
            <w:tcW w:w="1800" w:type="dxa"/>
            <w:shd w:val="clear" w:color="auto" w:fill="F2F2F2"/>
          </w:tcPr>
          <w:p w14:paraId="025A9B20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简单快速校验，用于非关键数据</w:t>
            </w:r>
          </w:p>
        </w:tc>
      </w:tr>
      <w:tr w14:paraId="5EBD8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FFFFFF"/>
          </w:tcPr>
          <w:p w14:paraId="1E8F549F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CheckSum_8</w:t>
            </w:r>
          </w:p>
        </w:tc>
        <w:tc>
          <w:tcPr>
            <w:tcW w:w="1728" w:type="dxa"/>
            <w:shd w:val="clear" w:color="auto" w:fill="FFFFFF"/>
          </w:tcPr>
          <w:p w14:paraId="179CA76D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8位无进位加法</w:t>
            </w:r>
          </w:p>
        </w:tc>
        <w:tc>
          <w:tcPr>
            <w:tcW w:w="1584" w:type="dxa"/>
            <w:shd w:val="clear" w:color="auto" w:fill="FFFFFF"/>
          </w:tcPr>
          <w:p w14:paraId="7B2131BD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数据指针+长度</w:t>
            </w:r>
          </w:p>
        </w:tc>
        <w:tc>
          <w:tcPr>
            <w:tcW w:w="1440" w:type="dxa"/>
            <w:shd w:val="clear" w:color="auto" w:fill="FFFFFF"/>
          </w:tcPr>
          <w:p w14:paraId="62E92659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uint8_t 校验和</w:t>
            </w:r>
          </w:p>
        </w:tc>
        <w:tc>
          <w:tcPr>
            <w:tcW w:w="1800" w:type="dxa"/>
            <w:shd w:val="clear" w:color="auto" w:fill="FFFFFF"/>
          </w:tcPr>
          <w:p w14:paraId="69F636AE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轻量级校验</w:t>
            </w:r>
          </w:p>
        </w:tc>
      </w:tr>
      <w:tr w14:paraId="3D345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F2F2F2"/>
          </w:tcPr>
          <w:p w14:paraId="7CDB9097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CheckXOR_8</w:t>
            </w:r>
          </w:p>
        </w:tc>
        <w:tc>
          <w:tcPr>
            <w:tcW w:w="1728" w:type="dxa"/>
            <w:shd w:val="clear" w:color="auto" w:fill="F2F2F2"/>
          </w:tcPr>
          <w:p w14:paraId="0F2B233D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8位异或</w:t>
            </w:r>
          </w:p>
        </w:tc>
        <w:tc>
          <w:tcPr>
            <w:tcW w:w="1584" w:type="dxa"/>
            <w:shd w:val="clear" w:color="auto" w:fill="F2F2F2"/>
          </w:tcPr>
          <w:p w14:paraId="40FAA4A0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数据指针+长度</w:t>
            </w:r>
          </w:p>
        </w:tc>
        <w:tc>
          <w:tcPr>
            <w:tcW w:w="1440" w:type="dxa"/>
            <w:shd w:val="clear" w:color="auto" w:fill="F2F2F2"/>
          </w:tcPr>
          <w:p w14:paraId="5D587C08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uint8_t 异或结果</w:t>
            </w:r>
          </w:p>
        </w:tc>
        <w:tc>
          <w:tcPr>
            <w:tcW w:w="1800" w:type="dxa"/>
            <w:shd w:val="clear" w:color="auto" w:fill="F2F2F2"/>
          </w:tcPr>
          <w:p w14:paraId="5B41C9DF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快速完整性检查</w:t>
            </w:r>
          </w:p>
        </w:tc>
      </w:tr>
      <w:tr w14:paraId="39038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FFFFFF"/>
          </w:tcPr>
          <w:p w14:paraId="67F184EA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CRC8</w:t>
            </w:r>
          </w:p>
        </w:tc>
        <w:tc>
          <w:tcPr>
            <w:tcW w:w="1728" w:type="dxa"/>
            <w:shd w:val="clear" w:color="auto" w:fill="FFFFFF"/>
          </w:tcPr>
          <w:p w14:paraId="40D07CAA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CRC-8 (多项式0x07)</w:t>
            </w:r>
          </w:p>
        </w:tc>
        <w:tc>
          <w:tcPr>
            <w:tcW w:w="1584" w:type="dxa"/>
            <w:shd w:val="clear" w:color="auto" w:fill="FFFFFF"/>
          </w:tcPr>
          <w:p w14:paraId="3583005B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数据指针+长度</w:t>
            </w:r>
          </w:p>
        </w:tc>
        <w:tc>
          <w:tcPr>
            <w:tcW w:w="1440" w:type="dxa"/>
            <w:shd w:val="clear" w:color="auto" w:fill="FFFFFF"/>
          </w:tcPr>
          <w:p w14:paraId="0AF88B83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uint8_t CRC值</w:t>
            </w:r>
          </w:p>
        </w:tc>
        <w:tc>
          <w:tcPr>
            <w:tcW w:w="1800" w:type="dxa"/>
            <w:shd w:val="clear" w:color="auto" w:fill="FFFFFF"/>
          </w:tcPr>
          <w:p w14:paraId="100F39A8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短数据包校验</w:t>
            </w:r>
          </w:p>
        </w:tc>
      </w:tr>
    </w:tbl>
    <w:p w14:paraId="01FC9B7C">
      <w:pPr>
        <w:pStyle w:val="5"/>
      </w:pPr>
      <w:r>
        <w:t>2.2.3  算法描述</w:t>
      </w:r>
    </w:p>
    <w:p w14:paraId="04587B91">
      <w:r>
        <w:rPr>
          <w:rFonts w:ascii="Arial" w:hAnsi="Arial" w:eastAsia="微软雅黑"/>
          <w:b/>
        </w:rPr>
        <w:t>CRC-16-CCITT算法（check.c:102-113，多项式 x^16+x^12+x^5+1）：</w:t>
      </w:r>
    </w:p>
    <w:p w14:paraId="13037B7E">
      <w:pPr>
        <w:pStyle w:val="16"/>
        <w:ind w:left="360"/>
      </w:pPr>
      <w:r>
        <w:rPr>
          <w:rFonts w:ascii="Arial" w:hAnsi="Arial" w:eastAsia="微软雅黑"/>
          <w:sz w:val="21"/>
        </w:rPr>
        <w:t>初始化CRC寄存器 = 0xFFFF</w:t>
      </w:r>
    </w:p>
    <w:p w14:paraId="3C3C7010">
      <w:pPr>
        <w:pStyle w:val="16"/>
        <w:ind w:left="360"/>
      </w:pPr>
      <w:r>
        <w:rPr>
          <w:rFonts w:ascii="Arial" w:hAnsi="Arial" w:eastAsia="微软雅黑"/>
          <w:sz w:val="21"/>
        </w:rPr>
        <w:t>对输入数据的每个字节: CRC = (CRC&lt;&lt;8) XOR crc16_table[(CRC&gt;&gt;8) XOR data_byte]</w:t>
      </w:r>
    </w:p>
    <w:p w14:paraId="24C4E512">
      <w:pPr>
        <w:pStyle w:val="16"/>
        <w:ind w:left="360"/>
      </w:pPr>
      <w:r>
        <w:rPr>
          <w:rFonts w:ascii="Arial" w:hAnsi="Arial" w:eastAsia="微软雅黑"/>
          <w:sz w:val="21"/>
        </w:rPr>
        <w:t>输出最终CRC值</w:t>
      </w:r>
    </w:p>
    <w:p w14:paraId="5E4DA9F9">
      <w:pPr>
        <w:pStyle w:val="16"/>
        <w:ind w:left="360"/>
      </w:pPr>
      <w:r>
        <w:rPr>
          <w:rFonts w:ascii="Arial" w:hAnsi="Arial" w:eastAsia="微软雅黑"/>
          <w:sz w:val="21"/>
        </w:rPr>
        <w:t>使用预计算256项查找表(crc16_tab[256])提高计算速度</w:t>
      </w:r>
    </w:p>
    <w:p w14:paraId="5B49C194"/>
    <w:p w14:paraId="02F88A50">
      <w:r>
        <w:rPr>
          <w:rFonts w:ascii="Arial" w:hAnsi="Arial" w:eastAsia="微软雅黑"/>
          <w:b/>
        </w:rPr>
        <w:t>CRC-8算法（crc8.c:14-36，多项式 0x07）：</w:t>
      </w:r>
    </w:p>
    <w:p w14:paraId="41DED1EC">
      <w:pPr>
        <w:pStyle w:val="16"/>
        <w:ind w:left="360"/>
      </w:pPr>
      <w:r>
        <w:rPr>
          <w:rFonts w:ascii="Arial" w:hAnsi="Arial" w:eastAsia="微软雅黑"/>
          <w:sz w:val="21"/>
        </w:rPr>
        <w:t>初始化CRC寄存器 = 0x00</w:t>
      </w:r>
    </w:p>
    <w:p w14:paraId="295273CA">
      <w:pPr>
        <w:pStyle w:val="16"/>
        <w:ind w:left="360"/>
      </w:pPr>
      <w:r>
        <w:rPr>
          <w:rFonts w:ascii="Arial" w:hAnsi="Arial" w:eastAsia="微软雅黑"/>
          <w:sz w:val="21"/>
        </w:rPr>
        <w:t>对每个字节: CRC ^= data_byte; 对8位逐位处理: if(CRC &amp; 0x80) CRC = (CRC&lt;&lt;1)^0x07 else CRC &lt;&lt;= 1</w:t>
      </w:r>
    </w:p>
    <w:p w14:paraId="31230C99">
      <w:pPr>
        <w:pStyle w:val="16"/>
        <w:ind w:left="360"/>
      </w:pPr>
      <w:r>
        <w:rPr>
          <w:rFonts w:ascii="Arial" w:hAnsi="Arial" w:eastAsia="微软雅黑"/>
          <w:sz w:val="21"/>
        </w:rPr>
        <w:t>采用逐位计算法（非查表），节省ROM空间</w:t>
      </w:r>
    </w:p>
    <w:p w14:paraId="31BA1178">
      <w:pPr>
        <w:ind w:left="432"/>
      </w:pPr>
      <w:r>
        <w:rPr>
          <w:rFonts w:ascii="Arial" w:hAnsi="Arial" w:eastAsia="微软雅黑"/>
          <w:color w:val="666666"/>
          <w:sz w:val="18"/>
        </w:rPr>
        <w:t>【提示】: 说明使用的CRC多项式（如CRC-16-CCITT多项式0x1021），并提供查找表或计算逻辑。审核员会关注CRC检测位翻转(Multiple Bit Upset)的能力——CRC-16可检测任意2位错误和所有奇数位错误。</w:t>
      </w:r>
    </w:p>
    <w:p w14:paraId="4DAADD69"/>
    <w:p w14:paraId="09F22CEA">
      <w:pPr>
        <w:pStyle w:val="4"/>
      </w:pPr>
      <w:r>
        <w:t>2.3  MOD-12：环形缓冲区 (ringBuffer)</w:t>
      </w:r>
    </w:p>
    <w:p w14:paraId="1E70490D">
      <w:pPr>
        <w:pStyle w:val="5"/>
      </w:pPr>
      <w:r>
        <w:t>2.3.1  模块职责</w:t>
      </w:r>
    </w:p>
    <w:p w14:paraId="052A10B6">
      <w:r>
        <w:rPr>
          <w:rFonts w:ascii="Arial" w:hAnsi="Arial" w:eastAsia="微软雅黑"/>
        </w:rPr>
        <w:t>FIFO环形缓冲区，用于高速数据流（GTX/LVDS接收数据）在写入者和读取者之间的暂存。实现单生产者-单消费者模式，无需锁。</w:t>
      </w:r>
    </w:p>
    <w:p w14:paraId="4AB1C5C1">
      <w:pPr>
        <w:pStyle w:val="5"/>
      </w:pPr>
      <w:r>
        <w:t>2.3.2  接口API</w:t>
      </w:r>
    </w:p>
    <w:p w14:paraId="4F3367CA">
      <w:r>
        <w:rPr>
          <w:rFonts w:ascii="Arial" w:hAnsi="Arial" w:eastAsia="微软雅黑"/>
          <w:b/>
          <w:sz w:val="19"/>
        </w:rPr>
        <w:t>表2-3：RingBuffer接口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8"/>
        <w:gridCol w:w="3456"/>
        <w:gridCol w:w="2413"/>
      </w:tblGrid>
      <w:tr w14:paraId="31C55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1F4E79"/>
          </w:tcPr>
          <w:p w14:paraId="512EA387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函数</w:t>
            </w:r>
          </w:p>
        </w:tc>
        <w:tc>
          <w:tcPr>
            <w:tcW w:w="3456" w:type="dxa"/>
            <w:shd w:val="clear" w:color="auto" w:fill="1F4E79"/>
          </w:tcPr>
          <w:p w14:paraId="485C82EA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w="2304" w:type="dxa"/>
            <w:shd w:val="clear" w:color="auto" w:fill="1F4E79"/>
          </w:tcPr>
          <w:p w14:paraId="63D45879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安全约束</w:t>
            </w:r>
          </w:p>
        </w:tc>
      </w:tr>
      <w:tr w14:paraId="6AD65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64F3A53B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ringbuffer_u8_init</w:t>
            </w:r>
          </w:p>
        </w:tc>
        <w:tc>
          <w:tcPr>
            <w:tcW w:w="3456" w:type="dxa"/>
            <w:shd w:val="clear" w:color="auto" w:fill="FFFFFF"/>
          </w:tcPr>
          <w:p w14:paraId="3E715AE9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初始化缓冲区指针和读写索引为0</w:t>
            </w:r>
          </w:p>
        </w:tc>
        <w:tc>
          <w:tcPr>
            <w:tcW w:w="2304" w:type="dxa"/>
            <w:shd w:val="clear" w:color="auto" w:fill="FFFFFF"/>
          </w:tcPr>
          <w:p w14:paraId="31E9D5D4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使用前必须调用</w:t>
            </w:r>
          </w:p>
        </w:tc>
      </w:tr>
      <w:tr w14:paraId="21AF2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2F2F2"/>
          </w:tcPr>
          <w:p w14:paraId="7C5D02C1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ringbuffer_u8_push_back_byte</w:t>
            </w:r>
          </w:p>
        </w:tc>
        <w:tc>
          <w:tcPr>
            <w:tcW w:w="3456" w:type="dxa"/>
            <w:shd w:val="clear" w:color="auto" w:fill="F2F2F2"/>
          </w:tcPr>
          <w:p w14:paraId="50034C0D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写入1字节到write_index位置，然后write_index++</w:t>
            </w:r>
          </w:p>
        </w:tc>
        <w:tc>
          <w:tcPr>
            <w:tcW w:w="2304" w:type="dxa"/>
            <w:shd w:val="clear" w:color="auto" w:fill="F2F2F2"/>
          </w:tcPr>
          <w:p w14:paraId="0F6B8825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写前应检查!is_full</w:t>
            </w:r>
          </w:p>
        </w:tc>
      </w:tr>
      <w:tr w14:paraId="0EC05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547F48D4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ringbuffer_u8_pop_front_byte</w:t>
            </w:r>
          </w:p>
        </w:tc>
        <w:tc>
          <w:tcPr>
            <w:tcW w:w="3456" w:type="dxa"/>
            <w:shd w:val="clear" w:color="auto" w:fill="FFFFFF"/>
          </w:tcPr>
          <w:p w14:paraId="3A664DCC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从read_index读取1字节，然后read_index++</w:t>
            </w:r>
          </w:p>
        </w:tc>
        <w:tc>
          <w:tcPr>
            <w:tcW w:w="2304" w:type="dxa"/>
            <w:shd w:val="clear" w:color="auto" w:fill="FFFFFF"/>
          </w:tcPr>
          <w:p w14:paraId="51DB3F62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读前应检查!is_empty</w:t>
            </w:r>
          </w:p>
        </w:tc>
      </w:tr>
      <w:tr w14:paraId="0AFCF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2F2F2"/>
          </w:tcPr>
          <w:p w14:paraId="74BFCD2C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ringbuffer_u8_is_full</w:t>
            </w:r>
          </w:p>
        </w:tc>
        <w:tc>
          <w:tcPr>
            <w:tcW w:w="3456" w:type="dxa"/>
            <w:shd w:val="clear" w:color="auto" w:fill="F2F2F2"/>
          </w:tcPr>
          <w:p w14:paraId="62C87B50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判断是否满</w:t>
            </w:r>
          </w:p>
        </w:tc>
        <w:tc>
          <w:tcPr>
            <w:tcW w:w="2304" w:type="dxa"/>
            <w:shd w:val="clear" w:color="auto" w:fill="F2F2F2"/>
          </w:tcPr>
          <w:p w14:paraId="202942C0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条件: (write_index-read_index+length)%length == length-1</w:t>
            </w:r>
          </w:p>
        </w:tc>
      </w:tr>
      <w:tr w14:paraId="7C62D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3B3F9F0D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ringbuffer_u8_is_empty</w:t>
            </w:r>
          </w:p>
        </w:tc>
        <w:tc>
          <w:tcPr>
            <w:tcW w:w="3456" w:type="dxa"/>
            <w:shd w:val="clear" w:color="auto" w:fill="FFFFFF"/>
          </w:tcPr>
          <w:p w14:paraId="137C2FAA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判断是否空</w:t>
            </w:r>
          </w:p>
        </w:tc>
        <w:tc>
          <w:tcPr>
            <w:tcW w:w="2304" w:type="dxa"/>
            <w:shd w:val="clear" w:color="auto" w:fill="FFFFFF"/>
          </w:tcPr>
          <w:p w14:paraId="495795EA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条件: write_index == read_index</w:t>
            </w:r>
          </w:p>
        </w:tc>
      </w:tr>
      <w:tr w14:paraId="67247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2F2F2"/>
          </w:tcPr>
          <w:p w14:paraId="7C4CBD1D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ringbuffer_length</w:t>
            </w:r>
          </w:p>
        </w:tc>
        <w:tc>
          <w:tcPr>
            <w:tcW w:w="3456" w:type="dxa"/>
            <w:shd w:val="clear" w:color="auto" w:fill="F2F2F2"/>
          </w:tcPr>
          <w:p w14:paraId="774427D7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返回当前有效数据量</w:t>
            </w:r>
          </w:p>
        </w:tc>
        <w:tc>
          <w:tcPr>
            <w:tcW w:w="2304" w:type="dxa"/>
            <w:shd w:val="clear" w:color="auto" w:fill="F2F2F2"/>
          </w:tcPr>
          <w:p w14:paraId="61E3BFD2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—</w:t>
            </w:r>
          </w:p>
        </w:tc>
      </w:tr>
      <w:tr w14:paraId="68578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FFFFF"/>
          </w:tcPr>
          <w:p w14:paraId="4B33FB71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ringbuffer_u8_read_front_byte</w:t>
            </w:r>
          </w:p>
        </w:tc>
        <w:tc>
          <w:tcPr>
            <w:tcW w:w="3456" w:type="dxa"/>
            <w:shd w:val="clear" w:color="auto" w:fill="FFFFFF"/>
          </w:tcPr>
          <w:p w14:paraId="39B0E510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预读取指定偏移字节（不移动读指针）</w:t>
            </w:r>
          </w:p>
        </w:tc>
        <w:tc>
          <w:tcPr>
            <w:tcW w:w="2304" w:type="dxa"/>
            <w:shd w:val="clear" w:color="auto" w:fill="FFFFFF"/>
          </w:tcPr>
          <w:p w14:paraId="372C5D6C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counter参数指定偏移量</w:t>
            </w:r>
          </w:p>
        </w:tc>
      </w:tr>
      <w:tr w14:paraId="2CD18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F2F2F2"/>
          </w:tcPr>
          <w:p w14:paraId="1F46F9A7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ringbuffer_u8_clear_byte</w:t>
            </w:r>
          </w:p>
        </w:tc>
        <w:tc>
          <w:tcPr>
            <w:tcW w:w="3456" w:type="dxa"/>
            <w:shd w:val="clear" w:color="auto" w:fill="F2F2F2"/>
          </w:tcPr>
          <w:p w14:paraId="07B7DE81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将写指针重置到指定位置</w:t>
            </w:r>
          </w:p>
        </w:tc>
        <w:tc>
          <w:tcPr>
            <w:tcW w:w="2304" w:type="dxa"/>
            <w:shd w:val="clear" w:color="auto" w:fill="F2F2F2"/>
          </w:tcPr>
          <w:p w14:paraId="3C08B472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用于缓冲区快速清空/回退</w:t>
            </w:r>
          </w:p>
        </w:tc>
      </w:tr>
    </w:tbl>
    <w:p w14:paraId="4DAF9D64">
      <w:pPr>
        <w:pStyle w:val="5"/>
      </w:pPr>
      <w:r>
        <w:t>2.3.3  内部数据结构</w:t>
      </w:r>
    </w:p>
    <w:p w14:paraId="0E200921">
      <w:r>
        <w:rPr>
          <w:rFonts w:ascii="Arial" w:hAnsi="Arial" w:eastAsia="微软雅黑"/>
          <w:b/>
        </w:rPr>
        <w:t>数据结构定义（ringbuffer_u8.h:16-23）：</w:t>
      </w:r>
    </w:p>
    <w:p w14:paraId="17B7C2A9">
      <w:r>
        <w:rPr>
          <w:rFonts w:ascii="Arial" w:hAnsi="Arial" w:eastAsia="微软雅黑"/>
          <w:sz w:val="18"/>
        </w:rPr>
        <w:t>typedef struct {</w:t>
      </w:r>
      <w:r>
        <w:rPr>
          <w:rFonts w:ascii="Arial" w:hAnsi="Arial" w:eastAsia="微软雅黑"/>
          <w:sz w:val="18"/>
        </w:rPr>
        <w:br w:type="textWrapping"/>
      </w:r>
      <w:r>
        <w:rPr>
          <w:rFonts w:ascii="Arial" w:hAnsi="Arial" w:eastAsia="微软雅黑"/>
          <w:sz w:val="18"/>
        </w:rPr>
        <w:t xml:space="preserve">    uint8_t *buffer;              // 数据缓冲区指针（外部分配内存）</w:t>
      </w:r>
      <w:r>
        <w:rPr>
          <w:rFonts w:ascii="Arial" w:hAnsi="Arial" w:eastAsia="微软雅黑"/>
          <w:sz w:val="18"/>
        </w:rPr>
        <w:br w:type="textWrapping"/>
      </w:r>
      <w:r>
        <w:rPr>
          <w:rFonts w:ascii="Arial" w:hAnsi="Arial" w:eastAsia="微软雅黑"/>
          <w:sz w:val="18"/>
        </w:rPr>
        <w:t xml:space="preserve">    uint32_t ringbuffer_u8_length; // 缓冲区总长度（字节）</w:t>
      </w:r>
      <w:r>
        <w:rPr>
          <w:rFonts w:ascii="Arial" w:hAnsi="Arial" w:eastAsia="微软雅黑"/>
          <w:sz w:val="18"/>
        </w:rPr>
        <w:br w:type="textWrapping"/>
      </w:r>
      <w:r>
        <w:rPr>
          <w:rFonts w:ascii="Arial" w:hAnsi="Arial" w:eastAsia="微软雅黑"/>
          <w:sz w:val="18"/>
        </w:rPr>
        <w:t xml:space="preserve">    uint32_t write_index;          // 写指针（仅生产者修改）</w:t>
      </w:r>
      <w:r>
        <w:rPr>
          <w:rFonts w:ascii="Arial" w:hAnsi="Arial" w:eastAsia="微软雅黑"/>
          <w:sz w:val="18"/>
        </w:rPr>
        <w:br w:type="textWrapping"/>
      </w:r>
      <w:r>
        <w:rPr>
          <w:rFonts w:ascii="Arial" w:hAnsi="Arial" w:eastAsia="微软雅黑"/>
          <w:sz w:val="18"/>
        </w:rPr>
        <w:t xml:space="preserve">    uint32_t read_index;           // 读指针（仅消费者修改）</w:t>
      </w:r>
      <w:r>
        <w:rPr>
          <w:rFonts w:ascii="Arial" w:hAnsi="Arial" w:eastAsia="微软雅黑"/>
          <w:sz w:val="18"/>
        </w:rPr>
        <w:br w:type="textWrapping"/>
      </w:r>
      <w:r>
        <w:rPr>
          <w:rFonts w:ascii="Arial" w:hAnsi="Arial" w:eastAsia="微软雅黑"/>
          <w:sz w:val="18"/>
        </w:rPr>
        <w:t>} ringbuffer_u8_type;</w:t>
      </w:r>
    </w:p>
    <w:p w14:paraId="42B22889"/>
    <w:p w14:paraId="2D24FD15">
      <w:r>
        <w:rPr>
          <w:rFonts w:ascii="Arial" w:hAnsi="Arial" w:eastAsia="微软雅黑"/>
          <w:b/>
        </w:rPr>
        <w:t>设计要点：</w:t>
      </w:r>
    </w:p>
    <w:p w14:paraId="093DB552">
      <w:pPr>
        <w:pStyle w:val="16"/>
        <w:ind w:left="360"/>
      </w:pPr>
      <w:r>
        <w:rPr>
          <w:rFonts w:ascii="Arial" w:hAnsi="Arial" w:eastAsia="微软雅黑"/>
          <w:sz w:val="21"/>
        </w:rPr>
        <w:t>满条件使用模运算: (write_index - read_index + length) % length == length - 1，即实际可用空间 = length - 1，避免满/空状态混淆</w:t>
      </w:r>
    </w:p>
    <w:p w14:paraId="5DED630A">
      <w:pPr>
        <w:pStyle w:val="16"/>
        <w:ind w:left="360"/>
      </w:pPr>
      <w:r>
        <w:rPr>
          <w:rFonts w:ascii="Arial" w:hAnsi="Arial" w:eastAsia="微软雅黑"/>
          <w:sz w:val="21"/>
        </w:rPr>
        <w:t>push操作在满时自动覆盖旧数据（read_index自增），防止数据丢失导致死锁</w:t>
      </w:r>
    </w:p>
    <w:p w14:paraId="129F07FE">
      <w:pPr>
        <w:pStyle w:val="16"/>
        <w:ind w:left="360"/>
      </w:pPr>
      <w:r>
        <w:rPr>
          <w:rFonts w:ascii="Arial" w:hAnsi="Arial" w:eastAsia="微软雅黑"/>
          <w:sz w:val="21"/>
        </w:rPr>
        <w:t>write_index和read_index分别仅由生产者和消费者修改，无需互斥锁</w:t>
      </w:r>
    </w:p>
    <w:p w14:paraId="3A4F38D1"/>
    <w:p w14:paraId="17B0E027">
      <w:pPr>
        <w:pStyle w:val="4"/>
      </w:pPr>
      <w:r>
        <w:t>2.4  MOD-14：FRAM铁电存储器 (fm25v20)</w:t>
      </w:r>
    </w:p>
    <w:p w14:paraId="3AC75CA1">
      <w:pPr>
        <w:pStyle w:val="5"/>
      </w:pPr>
      <w:r>
        <w:t>2.4.1  模块职责</w:t>
      </w:r>
    </w:p>
    <w:p w14:paraId="71009931">
      <w:r>
        <w:rPr>
          <w:rFonts w:ascii="Arial" w:hAnsi="Arial" w:eastAsia="微软雅黑"/>
        </w:rPr>
        <w:t>通过SPI总线操作FM25V20铁电存储器(FRAM)，实现非易失配置参数的读写。相比Flash，FRAM无擦除周期、写入无延迟、耐久性极高(10^14次)，非常适合频繁更新的配置数据（如EMMC读写地址）。满足了SWSR-061（安全参数非易失存储）的要求。</w:t>
      </w:r>
    </w:p>
    <w:p w14:paraId="7E38EF7A">
      <w:pPr>
        <w:pStyle w:val="5"/>
      </w:pPr>
      <w:r>
        <w:t>2.4.2  接口API</w:t>
      </w:r>
    </w:p>
    <w:p w14:paraId="51DCCAA8">
      <w:r>
        <w:rPr>
          <w:rFonts w:ascii="Arial" w:hAnsi="Arial" w:eastAsia="微软雅黑"/>
          <w:b/>
          <w:sz w:val="19"/>
        </w:rPr>
        <w:t>表2-4：FRAM模块接口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584"/>
        <w:gridCol w:w="3024"/>
        <w:gridCol w:w="1728"/>
      </w:tblGrid>
      <w:tr w14:paraId="75A4E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1F4E79"/>
          </w:tcPr>
          <w:p w14:paraId="77F206CA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函数</w:t>
            </w:r>
          </w:p>
        </w:tc>
        <w:tc>
          <w:tcPr>
            <w:tcW w:w="1584" w:type="dxa"/>
            <w:shd w:val="clear" w:color="auto" w:fill="1F4E79"/>
          </w:tcPr>
          <w:p w14:paraId="3AC9E3E5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w="3024" w:type="dxa"/>
            <w:shd w:val="clear" w:color="auto" w:fill="1F4E79"/>
          </w:tcPr>
          <w:p w14:paraId="11D1E626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参数</w:t>
            </w:r>
          </w:p>
        </w:tc>
        <w:tc>
          <w:tcPr>
            <w:tcW w:w="1728" w:type="dxa"/>
            <w:shd w:val="clear" w:color="auto" w:fill="1F4E79"/>
          </w:tcPr>
          <w:p w14:paraId="70E35282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安全约束</w:t>
            </w:r>
          </w:p>
        </w:tc>
      </w:tr>
      <w:tr w14:paraId="23677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FFFFFF"/>
          </w:tcPr>
          <w:p w14:paraId="25BBCCC0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fm25v20_init</w:t>
            </w:r>
          </w:p>
        </w:tc>
        <w:tc>
          <w:tcPr>
            <w:tcW w:w="1584" w:type="dxa"/>
            <w:shd w:val="clear" w:color="auto" w:fill="FFFFFF"/>
          </w:tcPr>
          <w:p w14:paraId="3B4041B3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SPI接口初始化</w:t>
            </w:r>
          </w:p>
        </w:tc>
        <w:tc>
          <w:tcPr>
            <w:tcW w:w="3024" w:type="dxa"/>
            <w:shd w:val="clear" w:color="auto" w:fill="FFFFFF"/>
          </w:tcPr>
          <w:p w14:paraId="2E704AB5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无</w:t>
            </w:r>
          </w:p>
        </w:tc>
        <w:tc>
          <w:tcPr>
            <w:tcW w:w="1728" w:type="dxa"/>
            <w:shd w:val="clear" w:color="auto" w:fill="FFFFFF"/>
          </w:tcPr>
          <w:p w14:paraId="6BF44CBB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上电后、SPI初始化完成后调用</w:t>
            </w:r>
          </w:p>
        </w:tc>
      </w:tr>
      <w:tr w14:paraId="184F8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F2F2F2"/>
          </w:tcPr>
          <w:p w14:paraId="337AB712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fm25v20_write_byte</w:t>
            </w:r>
          </w:p>
        </w:tc>
        <w:tc>
          <w:tcPr>
            <w:tcW w:w="1584" w:type="dxa"/>
            <w:shd w:val="clear" w:color="auto" w:fill="F2F2F2"/>
          </w:tcPr>
          <w:p w14:paraId="2EC7D222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写入1字节</w:t>
            </w:r>
          </w:p>
        </w:tc>
        <w:tc>
          <w:tcPr>
            <w:tcW w:w="3024" w:type="dxa"/>
            <w:shd w:val="clear" w:color="auto" w:fill="F2F2F2"/>
          </w:tcPr>
          <w:p w14:paraId="195FD268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fm25v20结构体(含SPI回调+基地址), 目标地址, 数据</w:t>
            </w:r>
          </w:p>
        </w:tc>
        <w:tc>
          <w:tcPr>
            <w:tcW w:w="1728" w:type="dxa"/>
            <w:shd w:val="clear" w:color="auto" w:fill="F2F2F2"/>
          </w:tcPr>
          <w:p w14:paraId="48C74FE1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写入后可通过回读验证</w:t>
            </w:r>
          </w:p>
        </w:tc>
      </w:tr>
      <w:tr w14:paraId="1C278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FFFFFF"/>
          </w:tcPr>
          <w:p w14:paraId="402C1DB6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fm25v20_read</w:t>
            </w:r>
          </w:p>
        </w:tc>
        <w:tc>
          <w:tcPr>
            <w:tcW w:w="1584" w:type="dxa"/>
            <w:shd w:val="clear" w:color="auto" w:fill="FFFFFF"/>
          </w:tcPr>
          <w:p w14:paraId="74F0420E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读取1字节</w:t>
            </w:r>
          </w:p>
        </w:tc>
        <w:tc>
          <w:tcPr>
            <w:tcW w:w="3024" w:type="dxa"/>
            <w:shd w:val="clear" w:color="auto" w:fill="FFFFFF"/>
          </w:tcPr>
          <w:p w14:paraId="19EFBB74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fm25v20结构体, 源地址</w:t>
            </w:r>
          </w:p>
        </w:tc>
        <w:tc>
          <w:tcPr>
            <w:tcW w:w="1728" w:type="dxa"/>
            <w:shd w:val="clear" w:color="auto" w:fill="FFFFFF"/>
          </w:tcPr>
          <w:p w14:paraId="3040D6BB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返回uint8_t</w:t>
            </w:r>
          </w:p>
        </w:tc>
      </w:tr>
      <w:tr w14:paraId="1CD7E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F2F2F2"/>
          </w:tcPr>
          <w:p w14:paraId="54D5D676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fm25v20_write_bytes</w:t>
            </w:r>
          </w:p>
        </w:tc>
        <w:tc>
          <w:tcPr>
            <w:tcW w:w="1584" w:type="dxa"/>
            <w:shd w:val="clear" w:color="auto" w:fill="F2F2F2"/>
          </w:tcPr>
          <w:p w14:paraId="30C71889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批量写入</w:t>
            </w:r>
          </w:p>
        </w:tc>
        <w:tc>
          <w:tcPr>
            <w:tcW w:w="3024" w:type="dxa"/>
            <w:shd w:val="clear" w:color="auto" w:fill="F2F2F2"/>
          </w:tcPr>
          <w:p w14:paraId="4A9AEFAB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fm25v20结构体, 目标地址, 数据指针, 长度</w:t>
            </w:r>
          </w:p>
        </w:tc>
        <w:tc>
          <w:tcPr>
            <w:tcW w:w="1728" w:type="dxa"/>
            <w:shd w:val="clear" w:color="auto" w:fill="F2F2F2"/>
          </w:tcPr>
          <w:p w14:paraId="6C06ED20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最大写入长度受SPI缓冲区限制</w:t>
            </w:r>
          </w:p>
        </w:tc>
      </w:tr>
      <w:tr w14:paraId="361EA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FFFFFF"/>
          </w:tcPr>
          <w:p w14:paraId="3763223B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fm25v20_fast_read</w:t>
            </w:r>
          </w:p>
        </w:tc>
        <w:tc>
          <w:tcPr>
            <w:tcW w:w="1584" w:type="dxa"/>
            <w:shd w:val="clear" w:color="auto" w:fill="FFFFFF"/>
          </w:tcPr>
          <w:p w14:paraId="67FEA857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批量读取</w:t>
            </w:r>
          </w:p>
        </w:tc>
        <w:tc>
          <w:tcPr>
            <w:tcW w:w="3024" w:type="dxa"/>
            <w:shd w:val="clear" w:color="auto" w:fill="FFFFFF"/>
          </w:tcPr>
          <w:p w14:paraId="2976E0A9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fm25v20结构体, 源地址, 缓冲区指针, 长度</w:t>
            </w:r>
          </w:p>
        </w:tc>
        <w:tc>
          <w:tcPr>
            <w:tcW w:w="1728" w:type="dxa"/>
            <w:shd w:val="clear" w:color="auto" w:fill="FFFFFF"/>
          </w:tcPr>
          <w:p w14:paraId="3B9A69D9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—</w:t>
            </w:r>
          </w:p>
        </w:tc>
      </w:tr>
    </w:tbl>
    <w:p w14:paraId="37CF497D">
      <w:pPr>
        <w:pStyle w:val="5"/>
      </w:pPr>
      <w:r>
        <w:t>2.4.3  设计特点</w:t>
      </w:r>
    </w:p>
    <w:p w14:paraId="49959320">
      <w:pPr>
        <w:pStyle w:val="16"/>
        <w:ind w:left="360"/>
      </w:pPr>
      <w:r>
        <w:rPr>
          <w:rFonts w:ascii="Arial" w:hAnsi="Arial" w:eastAsia="微软雅黑"/>
          <w:sz w:val="21"/>
        </w:rPr>
        <w:t>依赖注入：Fm25v20_Struct包含spi_transmit函数指针(Spi_Transmit类型)，实现SPI接口的解耦</w:t>
      </w:r>
    </w:p>
    <w:p w14:paraId="32C43145">
      <w:pPr>
        <w:pStyle w:val="16"/>
        <w:ind w:left="360"/>
      </w:pPr>
      <w:r>
        <w:rPr>
          <w:rFonts w:ascii="Arial" w:hAnsi="Arial" w:eastAsia="微软雅黑"/>
          <w:sz w:val="21"/>
        </w:rPr>
        <w:t>SPI命令集：支持WREN(0x06)/WRDI(0x04)/RDSR(0x05)/WRSR(0x01)/READ(0x03)/FSTRD(0x0B)/WRITE(0x02)/SLEEP(0xB9)/RDID(0x9F)</w:t>
      </w:r>
    </w:p>
    <w:p w14:paraId="53E56D73">
      <w:pPr>
        <w:pStyle w:val="16"/>
        <w:ind w:left="360"/>
      </w:pPr>
      <w:r>
        <w:rPr>
          <w:rFonts w:ascii="Arial" w:hAnsi="Arial" w:eastAsia="微软雅黑"/>
          <w:sz w:val="21"/>
        </w:rPr>
        <w:t>应用场景：上电时从FRAM读取断电前保存的EMMC读写地址（见app.c:63-70行），实现断电到上电的数据连续性</w:t>
      </w:r>
    </w:p>
    <w:p w14:paraId="3D3EAEA6">
      <w:pPr>
        <w:pStyle w:val="16"/>
        <w:ind w:left="360"/>
      </w:pPr>
      <w:r>
        <w:rPr>
          <w:rFonts w:ascii="Arial" w:hAnsi="Arial" w:eastAsia="微软雅黑"/>
          <w:sz w:val="21"/>
        </w:rPr>
        <w:t>地址映射：通过start_addr偏移量支持多片FRAM或多分区管理</w:t>
      </w:r>
    </w:p>
    <w:p w14:paraId="149D5B7C">
      <w:r>
        <w:br w:type="page"/>
      </w:r>
    </w:p>
    <w:p w14:paraId="0037C05E">
      <w:pPr>
        <w:pStyle w:val="3"/>
      </w:pPr>
      <w:r>
        <w:t>3  MOD-01：CAN遥测应用 (app_can)</w:t>
      </w:r>
    </w:p>
    <w:p w14:paraId="39C2BE2C">
      <w:pPr>
        <w:pStyle w:val="4"/>
      </w:pPr>
      <w:r>
        <w:t>3.1  模块职责</w:t>
      </w:r>
    </w:p>
    <w:p w14:paraId="07664223">
      <w:r>
        <w:rPr>
          <w:rFonts w:ascii="Arial" w:hAnsi="Arial" w:eastAsia="微软雅黑"/>
        </w:rPr>
        <w:t>管理CAN总线通信——包括周期性遥测数据发送、地面指令接收解析、指令执行反馈。</w:t>
      </w:r>
    </w:p>
    <w:p w14:paraId="48CEB9D7">
      <w:r>
        <w:rPr>
          <w:rFonts w:ascii="Arial" w:hAnsi="Arial" w:eastAsia="微软雅黑"/>
        </w:rPr>
        <w:t>支持双CAN通道（CAN_A/CAN_B），通过编译开关IdExtension支持标准帧(11位ID)和扩展帧(29位ID)。</w:t>
      </w:r>
    </w:p>
    <w:p w14:paraId="617EB4F6">
      <w:pPr>
        <w:pStyle w:val="4"/>
      </w:pPr>
      <w:r>
        <w:t>3.2  核心数据结构：Can_Rapid_Telemetry_Struct</w:t>
      </w:r>
    </w:p>
    <w:p w14:paraId="45A31371">
      <w:r>
        <w:rPr>
          <w:rFonts w:ascii="Arial" w:hAnsi="Arial" w:eastAsia="微软雅黑"/>
        </w:rPr>
        <w:t>这是一个大型结构体（共62字 / 约124字节），封装了通过CAN总线周期性发送的遥测数据包，包含系统健康参数、数据计数器和状态标志。主要字段包括：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3456"/>
        <w:gridCol w:w="3744"/>
      </w:tblGrid>
      <w:tr w14:paraId="274DF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shd w:val="clear" w:color="auto" w:fill="1F4E79"/>
          </w:tcPr>
          <w:p w14:paraId="06991D29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w="3456" w:type="dxa"/>
            <w:shd w:val="clear" w:color="auto" w:fill="1F4E79"/>
          </w:tcPr>
          <w:p w14:paraId="25DEECFB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w="3744" w:type="dxa"/>
            <w:shd w:val="clear" w:color="auto" w:fill="1F4E79"/>
          </w:tcPr>
          <w:p w14:paraId="5DBB461B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说明</w:t>
            </w:r>
          </w:p>
        </w:tc>
      </w:tr>
      <w:tr w14:paraId="641BF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shd w:val="clear" w:color="auto" w:fill="FFFFFF"/>
          </w:tcPr>
          <w:p w14:paraId="6228C532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W1</w:t>
            </w:r>
          </w:p>
        </w:tc>
        <w:tc>
          <w:tcPr>
            <w:tcW w:w="3456" w:type="dxa"/>
            <w:shd w:val="clear" w:color="auto" w:fill="FFFFFF"/>
          </w:tcPr>
          <w:p w14:paraId="2AE1B97E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卫星编号</w:t>
            </w:r>
          </w:p>
        </w:tc>
        <w:tc>
          <w:tcPr>
            <w:tcW w:w="3744" w:type="dxa"/>
            <w:shd w:val="clear" w:color="auto" w:fill="FFFFFF"/>
          </w:tcPr>
          <w:p w14:paraId="2F83AA27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设备标识</w:t>
            </w:r>
          </w:p>
        </w:tc>
      </w:tr>
      <w:tr w14:paraId="2231B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shd w:val="clear" w:color="auto" w:fill="F2F2F2"/>
          </w:tcPr>
          <w:p w14:paraId="08D6C0D6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W2</w:t>
            </w:r>
          </w:p>
        </w:tc>
        <w:tc>
          <w:tcPr>
            <w:tcW w:w="3456" w:type="dxa"/>
            <w:shd w:val="clear" w:color="auto" w:fill="F2F2F2"/>
          </w:tcPr>
          <w:p w14:paraId="36F71829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主备机标识/CAN状态/PS版本号</w:t>
            </w:r>
          </w:p>
        </w:tc>
        <w:tc>
          <w:tcPr>
            <w:tcW w:w="3744" w:type="dxa"/>
            <w:shd w:val="clear" w:color="auto" w:fill="F2F2F2"/>
          </w:tcPr>
          <w:p w14:paraId="59074023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位域：1位+1位+6位</w:t>
            </w:r>
          </w:p>
        </w:tc>
      </w:tr>
      <w:tr w14:paraId="07FF8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shd w:val="clear" w:color="auto" w:fill="FFFFFF"/>
          </w:tcPr>
          <w:p w14:paraId="27B66994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W3-W13</w:t>
            </w:r>
          </w:p>
        </w:tc>
        <w:tc>
          <w:tcPr>
            <w:tcW w:w="3456" w:type="dxa"/>
            <w:shd w:val="clear" w:color="auto" w:fill="FFFFFF"/>
          </w:tcPr>
          <w:p w14:paraId="231D7A22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电流/温度/电压遥测</w:t>
            </w:r>
          </w:p>
        </w:tc>
        <w:tc>
          <w:tcPr>
            <w:tcW w:w="3744" w:type="dxa"/>
            <w:shd w:val="clear" w:color="auto" w:fill="FFFFFF"/>
          </w:tcPr>
          <w:p w14:paraId="5C328AE2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射频温度、发射功率、FPGA温度/电压等模拟量</w:t>
            </w:r>
          </w:p>
        </w:tc>
      </w:tr>
      <w:tr w14:paraId="240E3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shd w:val="clear" w:color="auto" w:fill="F2F2F2"/>
          </w:tcPr>
          <w:p w14:paraId="5CBAC0D0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W14</w:t>
            </w:r>
          </w:p>
        </w:tc>
        <w:tc>
          <w:tcPr>
            <w:tcW w:w="3456" w:type="dxa"/>
            <w:shd w:val="clear" w:color="auto" w:fill="F2F2F2"/>
          </w:tcPr>
          <w:p w14:paraId="3CC820EF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射频+FPGA状态</w:t>
            </w:r>
          </w:p>
        </w:tc>
        <w:tc>
          <w:tcPr>
            <w:tcW w:w="3744" w:type="dxa"/>
            <w:shd w:val="clear" w:color="auto" w:fill="F2F2F2"/>
          </w:tcPr>
          <w:p w14:paraId="6DB98770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位域：2+1+1+4位</w:t>
            </w:r>
          </w:p>
        </w:tc>
      </w:tr>
      <w:tr w14:paraId="33BA0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shd w:val="clear" w:color="auto" w:fill="FFFFFF"/>
          </w:tcPr>
          <w:p w14:paraId="17C8FD76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W15-W20</w:t>
            </w:r>
          </w:p>
        </w:tc>
        <w:tc>
          <w:tcPr>
            <w:tcW w:w="3456" w:type="dxa"/>
            <w:shd w:val="clear" w:color="auto" w:fill="FFFFFF"/>
          </w:tcPr>
          <w:p w14:paraId="216ED28B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计数器</w:t>
            </w:r>
          </w:p>
        </w:tc>
        <w:tc>
          <w:tcPr>
            <w:tcW w:w="3744" w:type="dxa"/>
            <w:shd w:val="clear" w:color="auto" w:fill="FFFFFF"/>
          </w:tcPr>
          <w:p w14:paraId="54FE6C78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喂狗计数、狗咬计数、重加载计数、单粒子翻转(SEU)计数</w:t>
            </w:r>
          </w:p>
        </w:tc>
      </w:tr>
      <w:tr w14:paraId="70D07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shd w:val="clear" w:color="auto" w:fill="F2F2F2"/>
          </w:tcPr>
          <w:p w14:paraId="0E31425F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W22</w:t>
            </w:r>
          </w:p>
        </w:tc>
        <w:tc>
          <w:tcPr>
            <w:tcW w:w="3456" w:type="dxa"/>
            <w:shd w:val="clear" w:color="auto" w:fill="F2F2F2"/>
          </w:tcPr>
          <w:p w14:paraId="2A94EBD9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下行速率选择</w:t>
            </w:r>
          </w:p>
        </w:tc>
        <w:tc>
          <w:tcPr>
            <w:tcW w:w="3744" w:type="dxa"/>
            <w:shd w:val="clear" w:color="auto" w:fill="F2F2F2"/>
          </w:tcPr>
          <w:p w14:paraId="0DA4D327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2位速率配置</w:t>
            </w:r>
          </w:p>
        </w:tc>
      </w:tr>
      <w:tr w14:paraId="0E89A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shd w:val="clear" w:color="auto" w:fill="FFFFFF"/>
          </w:tcPr>
          <w:p w14:paraId="6E1542EF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W23-W25</w:t>
            </w:r>
          </w:p>
        </w:tc>
        <w:tc>
          <w:tcPr>
            <w:tcW w:w="3456" w:type="dxa"/>
            <w:shd w:val="clear" w:color="auto" w:fill="FFFFFF"/>
          </w:tcPr>
          <w:p w14:paraId="7BAB93BA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CAN通信计数器</w:t>
            </w:r>
          </w:p>
        </w:tc>
        <w:tc>
          <w:tcPr>
            <w:tcW w:w="3744" w:type="dxa"/>
            <w:shd w:val="clear" w:color="auto" w:fill="FFFFFF"/>
          </w:tcPr>
          <w:p w14:paraId="56FE8A76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遥测请求计数、指令接收计数、指令执行计数</w:t>
            </w:r>
          </w:p>
        </w:tc>
      </w:tr>
      <w:tr w14:paraId="00F77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shd w:val="clear" w:color="auto" w:fill="F2F2F2"/>
          </w:tcPr>
          <w:p w14:paraId="6E28E793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W26-W28</w:t>
            </w:r>
          </w:p>
        </w:tc>
        <w:tc>
          <w:tcPr>
            <w:tcW w:w="3456" w:type="dxa"/>
            <w:shd w:val="clear" w:color="auto" w:fill="F2F2F2"/>
          </w:tcPr>
          <w:p w14:paraId="686AC4C3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最近执行指令码</w:t>
            </w:r>
          </w:p>
        </w:tc>
        <w:tc>
          <w:tcPr>
            <w:tcW w:w="3744" w:type="dxa"/>
            <w:shd w:val="clear" w:color="auto" w:fill="F2F2F2"/>
          </w:tcPr>
          <w:p w14:paraId="2E0FEA76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3字节指令记录</w:t>
            </w:r>
          </w:p>
        </w:tc>
      </w:tr>
      <w:tr w14:paraId="028E3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shd w:val="clear" w:color="auto" w:fill="FFFFFF"/>
          </w:tcPr>
          <w:p w14:paraId="166F9302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W29-W36</w:t>
            </w:r>
          </w:p>
        </w:tc>
        <w:tc>
          <w:tcPr>
            <w:tcW w:w="3456" w:type="dxa"/>
            <w:shd w:val="clear" w:color="auto" w:fill="FFFFFF"/>
          </w:tcPr>
          <w:p w14:paraId="577EC4EB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LVDS/GTX接收帧计数</w:t>
            </w:r>
          </w:p>
        </w:tc>
        <w:tc>
          <w:tcPr>
            <w:tcW w:w="3744" w:type="dxa"/>
            <w:shd w:val="clear" w:color="auto" w:fill="FFFFFF"/>
          </w:tcPr>
          <w:p w14:paraId="67ED6023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LVDS1/LVDS2各16位, GTX 32位</w:t>
            </w:r>
          </w:p>
        </w:tc>
      </w:tr>
      <w:tr w14:paraId="54348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shd w:val="clear" w:color="auto" w:fill="F2F2F2"/>
          </w:tcPr>
          <w:p w14:paraId="7516AB1D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W38</w:t>
            </w:r>
          </w:p>
        </w:tc>
        <w:tc>
          <w:tcPr>
            <w:tcW w:w="3456" w:type="dxa"/>
            <w:shd w:val="clear" w:color="auto" w:fill="F2F2F2"/>
          </w:tcPr>
          <w:p w14:paraId="67895F98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EMMC存储区状态</w:t>
            </w:r>
          </w:p>
        </w:tc>
        <w:tc>
          <w:tcPr>
            <w:tcW w:w="3744" w:type="dxa"/>
            <w:shd w:val="clear" w:color="auto" w:fill="F2F2F2"/>
          </w:tcPr>
          <w:p w14:paraId="5D4D3802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LVDS1/LVDS2/GTX各2位状态</w:t>
            </w:r>
          </w:p>
        </w:tc>
      </w:tr>
      <w:tr w14:paraId="54184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shd w:val="clear" w:color="auto" w:fill="FFFFFF"/>
          </w:tcPr>
          <w:p w14:paraId="199642AC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W39-W62</w:t>
            </w:r>
          </w:p>
        </w:tc>
        <w:tc>
          <w:tcPr>
            <w:tcW w:w="3456" w:type="dxa"/>
            <w:shd w:val="clear" w:color="auto" w:fill="FFFFFF"/>
          </w:tcPr>
          <w:p w14:paraId="4BC5C7A2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EMMC读写地址</w:t>
            </w:r>
          </w:p>
        </w:tc>
        <w:tc>
          <w:tcPr>
            <w:tcW w:w="3744" w:type="dxa"/>
            <w:shd w:val="clear" w:color="auto" w:fill="FFFFFF"/>
          </w:tcPr>
          <w:p w14:paraId="5B1BC9CA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LVDS1/LVDS2/GTX各8字节(读+写)</w:t>
            </w:r>
          </w:p>
        </w:tc>
      </w:tr>
    </w:tbl>
    <w:p w14:paraId="53F956EE">
      <w:pPr>
        <w:pStyle w:val="4"/>
      </w:pPr>
      <w:r>
        <w:t>3.3  指令处理</w:t>
      </w:r>
    </w:p>
    <w:p w14:paraId="4D2F7FAB">
      <w:r>
        <w:rPr>
          <w:rFonts w:ascii="Arial" w:hAnsi="Arial" w:eastAsia="微软雅黑"/>
        </w:rPr>
        <w:t>CAN接收 -&gt; Can_Command_Struct解析 -&gt; 根据指令码执行：</w:t>
      </w:r>
    </w:p>
    <w:p w14:paraId="6C97C1FB">
      <w:pPr>
        <w:pStyle w:val="16"/>
        <w:ind w:left="360"/>
      </w:pPr>
      <w:r>
        <w:rPr>
          <w:rFonts w:ascii="Arial" w:hAnsi="Arial" w:eastAsia="微软雅黑"/>
          <w:sz w:val="21"/>
        </w:rPr>
        <w:t>EMMC回放（Replay_Emmc_flag）：设置回放标志、起始地址(Replay_Emmc_Start_Addr)和结束地址(Replay_Emmc_End_Addr)</w:t>
      </w:r>
    </w:p>
    <w:p w14:paraId="4D389757">
      <w:pPr>
        <w:pStyle w:val="16"/>
        <w:ind w:left="360"/>
      </w:pPr>
      <w:r>
        <w:rPr>
          <w:rFonts w:ascii="Arial" w:hAnsi="Arial" w:eastAsia="微软雅黑"/>
          <w:sz w:val="21"/>
        </w:rPr>
        <w:t>EMMC重置（resetEmmc）：清空EMMC存储区</w:t>
      </w:r>
    </w:p>
    <w:p w14:paraId="62B845BE">
      <w:pPr>
        <w:pStyle w:val="16"/>
        <w:ind w:left="360"/>
      </w:pPr>
      <w:r>
        <w:rPr>
          <w:rFonts w:ascii="Arial" w:hAnsi="Arial" w:eastAsia="微软雅黑"/>
          <w:sz w:val="21"/>
        </w:rPr>
        <w:t>回放地址设置：指定数据回放区间</w:t>
      </w:r>
    </w:p>
    <w:p w14:paraId="6C9CA1A1">
      <w:pPr>
        <w:pStyle w:val="16"/>
        <w:ind w:left="360"/>
      </w:pPr>
      <w:r>
        <w:rPr>
          <w:rFonts w:ascii="Arial" w:hAnsi="Arial" w:eastAsia="微软雅黑"/>
          <w:sz w:val="21"/>
        </w:rPr>
        <w:t>指令执行计数(Command_Run_Cnt)用于验证指令是否正确执行</w:t>
      </w:r>
    </w:p>
    <w:p w14:paraId="19C5EA0B">
      <w:pPr>
        <w:pStyle w:val="4"/>
      </w:pPr>
      <w:r>
        <w:t>3.4  故障处理</w:t>
      </w:r>
    </w:p>
    <w:p w14:paraId="7171D90E">
      <w:pPr>
        <w:pStyle w:val="16"/>
        <w:ind w:left="360"/>
      </w:pPr>
      <w:r>
        <w:rPr>
          <w:rFonts w:ascii="Arial" w:hAnsi="Arial" w:eastAsia="微软雅黑"/>
          <w:sz w:val="21"/>
        </w:rPr>
        <w:t>CAN总线中断：记录接收计数——Xunjian_cnt（巡检帧）、Rapid_cnt（快速遥测帧）、Slow_cnt（慢速帧）</w:t>
      </w:r>
    </w:p>
    <w:p w14:paraId="341A4B17">
      <w:pPr>
        <w:pStyle w:val="16"/>
        <w:ind w:left="360"/>
      </w:pPr>
      <w:r>
        <w:rPr>
          <w:rFonts w:ascii="Arial" w:hAnsi="Arial" w:eastAsia="微软雅黑"/>
          <w:sz w:val="21"/>
        </w:rPr>
        <w:t>通信计数器(W23-W25)提供端到端通信完整性验证</w:t>
      </w:r>
    </w:p>
    <w:p w14:paraId="06ED6BAB">
      <w:pPr>
        <w:pStyle w:val="16"/>
        <w:ind w:left="360"/>
      </w:pPr>
      <w:r>
        <w:rPr>
          <w:rFonts w:ascii="Arial" w:hAnsi="Arial" w:eastAsia="微软雅黑"/>
          <w:sz w:val="21"/>
        </w:rPr>
        <w:t>MyCan结构体(app_can.h:27-39)封装CAN控制器实例、ID配置、中断ID和收发函数指针，支持多实例</w:t>
      </w:r>
    </w:p>
    <w:p w14:paraId="628BE128">
      <w:r>
        <w:br w:type="page"/>
      </w:r>
    </w:p>
    <w:p w14:paraId="1EF5024A">
      <w:pPr>
        <w:pStyle w:val="3"/>
      </w:pPr>
      <w:r>
        <w:t>4  非安全模块简化设计</w:t>
      </w:r>
    </w:p>
    <w:p w14:paraId="7B21ED77">
      <w:r>
        <w:rPr>
          <w:rFonts w:ascii="Arial" w:hAnsi="Arial" w:eastAsia="微软雅黑"/>
          <w:color w:val="666666"/>
          <w:sz w:val="18"/>
        </w:rPr>
        <w:t>以下模块为非安全关键功能模块，仅简述功能，不需要详细算法描述。</w:t>
      </w:r>
    </w:p>
    <w:p w14:paraId="4A1AABA2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1708"/>
        <w:gridCol w:w="1584"/>
        <w:gridCol w:w="4320"/>
      </w:tblGrid>
      <w:tr w14:paraId="4C403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shd w:val="clear" w:color="auto" w:fill="1F4E79"/>
          </w:tcPr>
          <w:p w14:paraId="5C6C14E2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模块ID</w:t>
            </w:r>
          </w:p>
        </w:tc>
        <w:tc>
          <w:tcPr>
            <w:tcW w:w="1440" w:type="dxa"/>
            <w:shd w:val="clear" w:color="auto" w:fill="1F4E79"/>
          </w:tcPr>
          <w:p w14:paraId="6B9EBC9F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模块名</w:t>
            </w:r>
          </w:p>
        </w:tc>
        <w:tc>
          <w:tcPr>
            <w:tcW w:w="1584" w:type="dxa"/>
            <w:shd w:val="clear" w:color="auto" w:fill="1F4E79"/>
          </w:tcPr>
          <w:p w14:paraId="0111CDC8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w="4320" w:type="dxa"/>
            <w:shd w:val="clear" w:color="auto" w:fill="1F4E79"/>
          </w:tcPr>
          <w:p w14:paraId="495E12AC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简述</w:t>
            </w:r>
          </w:p>
        </w:tc>
      </w:tr>
      <w:tr w14:paraId="52E45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shd w:val="clear" w:color="auto" w:fill="FFFFFF"/>
          </w:tcPr>
          <w:p w14:paraId="638E3F64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MOD-02</w:t>
            </w:r>
          </w:p>
        </w:tc>
        <w:tc>
          <w:tcPr>
            <w:tcW w:w="1440" w:type="dxa"/>
            <w:shd w:val="clear" w:color="auto" w:fill="FFFFFF"/>
          </w:tcPr>
          <w:p w14:paraId="41C826A3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app_adc</w:t>
            </w:r>
          </w:p>
        </w:tc>
        <w:tc>
          <w:tcPr>
            <w:tcW w:w="1584" w:type="dxa"/>
            <w:shd w:val="clear" w:color="auto" w:fill="FFFFFF"/>
          </w:tcPr>
          <w:p w14:paraId="6DFC2A2B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XADC监控</w:t>
            </w:r>
          </w:p>
        </w:tc>
        <w:tc>
          <w:tcPr>
            <w:tcW w:w="4320" w:type="dxa"/>
            <w:shd w:val="clear" w:color="auto" w:fill="FFFFFF"/>
          </w:tcPr>
          <w:p w14:paraId="0EFB648D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通过Xilinx XADC采集FPGA内部温度和电压（VCCINT/VCCAUX），周期性更新到CAN遥测结构体</w:t>
            </w:r>
          </w:p>
        </w:tc>
      </w:tr>
      <w:tr w14:paraId="06330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shd w:val="clear" w:color="auto" w:fill="F2F2F2"/>
          </w:tcPr>
          <w:p w14:paraId="26EE0962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MOD-03</w:t>
            </w:r>
          </w:p>
        </w:tc>
        <w:tc>
          <w:tcPr>
            <w:tcW w:w="1440" w:type="dxa"/>
            <w:shd w:val="clear" w:color="auto" w:fill="F2F2F2"/>
          </w:tcPr>
          <w:p w14:paraId="219A1791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app_emmc</w:t>
            </w:r>
          </w:p>
        </w:tc>
        <w:tc>
          <w:tcPr>
            <w:tcW w:w="1584" w:type="dxa"/>
            <w:shd w:val="clear" w:color="auto" w:fill="F2F2F2"/>
          </w:tcPr>
          <w:p w14:paraId="4089D505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EMMC存储管理</w:t>
            </w:r>
          </w:p>
        </w:tc>
        <w:tc>
          <w:tcPr>
            <w:tcW w:w="4320" w:type="dxa"/>
            <w:shd w:val="clear" w:color="auto" w:fill="F2F2F2"/>
          </w:tcPr>
          <w:p w14:paraId="4136D31A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管理8路EMMC通道（CC_EMMC_1~CC_EMMC_8），负责GTX/LVDS数据的文件系统存储和回放</w:t>
            </w:r>
          </w:p>
        </w:tc>
      </w:tr>
      <w:tr w14:paraId="41097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shd w:val="clear" w:color="auto" w:fill="FFFFFF"/>
          </w:tcPr>
          <w:p w14:paraId="3D3419AE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MOD-04</w:t>
            </w:r>
          </w:p>
        </w:tc>
        <w:tc>
          <w:tcPr>
            <w:tcW w:w="1440" w:type="dxa"/>
            <w:shd w:val="clear" w:color="auto" w:fill="FFFFFF"/>
          </w:tcPr>
          <w:p w14:paraId="49DD18F9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app_spi</w:t>
            </w:r>
          </w:p>
        </w:tc>
        <w:tc>
          <w:tcPr>
            <w:tcW w:w="1584" w:type="dxa"/>
            <w:shd w:val="clear" w:color="auto" w:fill="FFFFFF"/>
          </w:tcPr>
          <w:p w14:paraId="112EEE8C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SPI应用层</w:t>
            </w:r>
          </w:p>
        </w:tc>
        <w:tc>
          <w:tcPr>
            <w:tcW w:w="4320" w:type="dxa"/>
            <w:shd w:val="clear" w:color="auto" w:fill="FFFFFF"/>
          </w:tcPr>
          <w:p w14:paraId="04169800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通过SPI总线操作外部设备，提供FRAM访问的SPI传输回调函数</w:t>
            </w:r>
          </w:p>
        </w:tc>
      </w:tr>
      <w:tr w14:paraId="5345C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shd w:val="clear" w:color="auto" w:fill="F2F2F2"/>
          </w:tcPr>
          <w:p w14:paraId="1C61D8F4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MOD-05</w:t>
            </w:r>
          </w:p>
        </w:tc>
        <w:tc>
          <w:tcPr>
            <w:tcW w:w="1440" w:type="dxa"/>
            <w:shd w:val="clear" w:color="auto" w:fill="F2F2F2"/>
          </w:tcPr>
          <w:p w14:paraId="36FEDF23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app_gpio</w:t>
            </w:r>
          </w:p>
        </w:tc>
        <w:tc>
          <w:tcPr>
            <w:tcW w:w="1584" w:type="dxa"/>
            <w:shd w:val="clear" w:color="auto" w:fill="F2F2F2"/>
          </w:tcPr>
          <w:p w14:paraId="4BA2E57A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GPIO控制</w:t>
            </w:r>
          </w:p>
        </w:tc>
        <w:tc>
          <w:tcPr>
            <w:tcW w:w="4320" w:type="dxa"/>
            <w:shd w:val="clear" w:color="auto" w:fill="F2F2F2"/>
          </w:tcPr>
          <w:p w14:paraId="08DC948D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通用IO控制，包括输出寄存器(GPO)和输入寄存器(GPI)的读写</w:t>
            </w:r>
          </w:p>
        </w:tc>
      </w:tr>
      <w:tr w14:paraId="5D602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shd w:val="clear" w:color="auto" w:fill="FFFFFF"/>
          </w:tcPr>
          <w:p w14:paraId="67084B3F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MOD-06</w:t>
            </w:r>
          </w:p>
        </w:tc>
        <w:tc>
          <w:tcPr>
            <w:tcW w:w="1440" w:type="dxa"/>
            <w:shd w:val="clear" w:color="auto" w:fill="FFFFFF"/>
          </w:tcPr>
          <w:p w14:paraId="4EB464DE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app_timer</w:t>
            </w:r>
          </w:p>
        </w:tc>
        <w:tc>
          <w:tcPr>
            <w:tcW w:w="1584" w:type="dxa"/>
            <w:shd w:val="clear" w:color="auto" w:fill="FFFFFF"/>
          </w:tcPr>
          <w:p w14:paraId="36C97861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定时器管理</w:t>
            </w:r>
          </w:p>
        </w:tc>
        <w:tc>
          <w:tcPr>
            <w:tcW w:w="4320" w:type="dxa"/>
            <w:shd w:val="clear" w:color="auto" w:fill="FFFFFF"/>
          </w:tcPr>
          <w:p w14:paraId="55131A9B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Xilinx AXI Timer驱动，提供周期中断源供Time_Tick()调用</w:t>
            </w:r>
          </w:p>
        </w:tc>
      </w:tr>
      <w:tr w14:paraId="7F915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shd w:val="clear" w:color="auto" w:fill="F2F2F2"/>
          </w:tcPr>
          <w:p w14:paraId="10BDA36C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MOD-07</w:t>
            </w:r>
          </w:p>
        </w:tc>
        <w:tc>
          <w:tcPr>
            <w:tcW w:w="1440" w:type="dxa"/>
            <w:shd w:val="clear" w:color="auto" w:fill="F2F2F2"/>
          </w:tcPr>
          <w:p w14:paraId="1FFAF3B8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app_uart</w:t>
            </w:r>
          </w:p>
        </w:tc>
        <w:tc>
          <w:tcPr>
            <w:tcW w:w="1584" w:type="dxa"/>
            <w:shd w:val="clear" w:color="auto" w:fill="F2F2F2"/>
          </w:tcPr>
          <w:p w14:paraId="52BECB99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串口通信</w:t>
            </w:r>
          </w:p>
        </w:tc>
        <w:tc>
          <w:tcPr>
            <w:tcW w:w="4320" w:type="dxa"/>
            <w:shd w:val="clear" w:color="auto" w:fill="F2F2F2"/>
          </w:tcPr>
          <w:p w14:paraId="2B6B7BAB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支持标准UART和16550兼容UART，用于调试输出(xil_printf)</w:t>
            </w:r>
          </w:p>
        </w:tc>
      </w:tr>
      <w:tr w14:paraId="44820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shd w:val="clear" w:color="auto" w:fill="FFFFFF"/>
          </w:tcPr>
          <w:p w14:paraId="349CC47B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MOD-08</w:t>
            </w:r>
          </w:p>
        </w:tc>
        <w:tc>
          <w:tcPr>
            <w:tcW w:w="1440" w:type="dxa"/>
            <w:shd w:val="clear" w:color="auto" w:fill="FFFFFF"/>
          </w:tcPr>
          <w:p w14:paraId="6B79A7CA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app_gtx_to_ddr</w:t>
            </w:r>
          </w:p>
        </w:tc>
        <w:tc>
          <w:tcPr>
            <w:tcW w:w="1584" w:type="dxa"/>
            <w:shd w:val="clear" w:color="auto" w:fill="FFFFFF"/>
          </w:tcPr>
          <w:p w14:paraId="65106776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GTX到DDR数据路径</w:t>
            </w:r>
          </w:p>
        </w:tc>
        <w:tc>
          <w:tcPr>
            <w:tcW w:w="4320" w:type="dxa"/>
            <w:shd w:val="clear" w:color="auto" w:fill="FFFFFF"/>
          </w:tcPr>
          <w:p w14:paraId="5FB8346B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管理GTX高速收发器接收数据到DDR存储的传输路径</w:t>
            </w:r>
          </w:p>
        </w:tc>
      </w:tr>
      <w:tr w14:paraId="7CAA7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shd w:val="clear" w:color="auto" w:fill="F2F2F2"/>
          </w:tcPr>
          <w:p w14:paraId="6A3ABE86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MOD-09</w:t>
            </w:r>
          </w:p>
        </w:tc>
        <w:tc>
          <w:tcPr>
            <w:tcW w:w="1440" w:type="dxa"/>
            <w:shd w:val="clear" w:color="auto" w:fill="F2F2F2"/>
          </w:tcPr>
          <w:p w14:paraId="26B78583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app_export_model</w:t>
            </w:r>
          </w:p>
        </w:tc>
        <w:tc>
          <w:tcPr>
            <w:tcW w:w="1584" w:type="dxa"/>
            <w:shd w:val="clear" w:color="auto" w:fill="F2F2F2"/>
          </w:tcPr>
          <w:p w14:paraId="2D1935E7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导出模块接口</w:t>
            </w:r>
          </w:p>
        </w:tc>
        <w:tc>
          <w:tcPr>
            <w:tcW w:w="4320" w:type="dxa"/>
            <w:shd w:val="clear" w:color="auto" w:fill="F2F2F2"/>
          </w:tcPr>
          <w:p w14:paraId="0BC4742A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控制射频前端参数（下行频率NCO、速率选择等）</w:t>
            </w:r>
          </w:p>
        </w:tc>
      </w:tr>
    </w:tbl>
    <w:p w14:paraId="46365B35">
      <w:r>
        <w:br w:type="page"/>
      </w:r>
    </w:p>
    <w:p w14:paraId="4A31A22F">
      <w:pPr>
        <w:pStyle w:val="3"/>
      </w:pPr>
      <w:r>
        <w:t>5  代码实现规范</w:t>
      </w:r>
    </w:p>
    <w:p w14:paraId="7AD5A27D">
      <w:pPr>
        <w:pStyle w:val="4"/>
      </w:pPr>
      <w:r>
        <w:t>5.1  编程语言与标准</w:t>
      </w:r>
    </w:p>
    <w:p w14:paraId="4B813F52">
      <w:pPr>
        <w:pStyle w:val="16"/>
        <w:ind w:left="360"/>
      </w:pPr>
      <w:r>
        <w:rPr>
          <w:rFonts w:ascii="Arial" w:hAnsi="Arial" w:eastAsia="微软雅黑"/>
          <w:sz w:val="21"/>
        </w:rPr>
        <w:t>语言：C（C99标准）</w:t>
      </w:r>
    </w:p>
    <w:p w14:paraId="6D0D6800">
      <w:pPr>
        <w:pStyle w:val="16"/>
        <w:ind w:left="360"/>
      </w:pPr>
      <w:r>
        <w:rPr>
          <w:rFonts w:ascii="Arial" w:hAnsi="Arial" w:eastAsia="微软雅黑"/>
          <w:sz w:val="21"/>
        </w:rPr>
        <w:t>编码规范：MISRA C:2012（安全关键模块强制，非安全模块推荐）</w:t>
      </w:r>
    </w:p>
    <w:p w14:paraId="0C813BC7">
      <w:pPr>
        <w:pStyle w:val="16"/>
        <w:ind w:left="360"/>
      </w:pPr>
      <w:r>
        <w:rPr>
          <w:rFonts w:ascii="Arial" w:hAnsi="Arial" w:eastAsia="微软雅黑"/>
          <w:sz w:val="21"/>
        </w:rPr>
        <w:t>编译器：Xilinx SDK GCC（ARM Cortex-A9 / MicroBlaze）</w:t>
      </w:r>
    </w:p>
    <w:p w14:paraId="0BA90EC8">
      <w:pPr>
        <w:pStyle w:val="16"/>
        <w:ind w:left="360"/>
      </w:pPr>
      <w:r>
        <w:rPr>
          <w:rFonts w:ascii="Arial" w:hAnsi="Arial" w:eastAsia="微软雅黑"/>
          <w:sz w:val="21"/>
        </w:rPr>
        <w:t>硬件平台：Xilinx FPGA（Kintex-7 325T + Artix-7 A35）</w:t>
      </w:r>
    </w:p>
    <w:p w14:paraId="707EB105">
      <w:pPr>
        <w:pStyle w:val="4"/>
      </w:pPr>
      <w:r>
        <w:t>5.2  命名约定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6624"/>
      </w:tblGrid>
      <w:tr w14:paraId="49B3F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1F4E79"/>
          </w:tcPr>
          <w:p w14:paraId="22107123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命名规则</w:t>
            </w:r>
          </w:p>
        </w:tc>
        <w:tc>
          <w:tcPr>
            <w:tcW w:w="6624" w:type="dxa"/>
            <w:shd w:val="clear" w:color="auto" w:fill="1F4E79"/>
          </w:tcPr>
          <w:p w14:paraId="69767164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示例</w:t>
            </w:r>
          </w:p>
        </w:tc>
      </w:tr>
      <w:tr w14:paraId="2CDC3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FFFFFF"/>
          </w:tcPr>
          <w:p w14:paraId="1F2873FB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模块前缀</w:t>
            </w:r>
          </w:p>
        </w:tc>
        <w:tc>
          <w:tcPr>
            <w:tcW w:w="6624" w:type="dxa"/>
            <w:shd w:val="clear" w:color="auto" w:fill="FFFFFF"/>
          </w:tcPr>
          <w:p w14:paraId="0D3FA49D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app_can_xxx 表示app_can模块函数；peripheral层使用首字母大写（如Can_Init）</w:t>
            </w:r>
          </w:p>
        </w:tc>
      </w:tr>
      <w:tr w14:paraId="306CA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F2F2F2"/>
          </w:tcPr>
          <w:p w14:paraId="234D1562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类型定义</w:t>
            </w:r>
          </w:p>
        </w:tc>
        <w:tc>
          <w:tcPr>
            <w:tcW w:w="6624" w:type="dxa"/>
            <w:shd w:val="clear" w:color="auto" w:fill="F2F2F2"/>
          </w:tcPr>
          <w:p w14:paraId="6CAED92B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使用 _t 后缀或 _Struct 后缀（如 ringbuffer_u8_type, Task_Struct）</w:t>
            </w:r>
          </w:p>
        </w:tc>
      </w:tr>
      <w:tr w14:paraId="7375F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FFFFFF"/>
          </w:tcPr>
          <w:p w14:paraId="194D367D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枚举</w:t>
            </w:r>
          </w:p>
        </w:tc>
        <w:tc>
          <w:tcPr>
            <w:tcW w:w="6624" w:type="dxa"/>
            <w:shd w:val="clear" w:color="auto" w:fill="FFFFFF"/>
          </w:tcPr>
          <w:p w14:paraId="7BBA2D48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使用 Enum_ 前缀或 _Enum 后缀（如 Enum_Run_Once, Can_Count_Enum）</w:t>
            </w:r>
          </w:p>
        </w:tc>
      </w:tr>
      <w:tr w14:paraId="4D518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F2F2F2"/>
          </w:tcPr>
          <w:p w14:paraId="5148698C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宏定义</w:t>
            </w:r>
          </w:p>
        </w:tc>
        <w:tc>
          <w:tcPr>
            <w:tcW w:w="6624" w:type="dxa"/>
            <w:shd w:val="clear" w:color="auto" w:fill="F2F2F2"/>
          </w:tcPr>
          <w:p w14:paraId="60CCE5B1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全大写+下划线（如 ALWAYS_TASKS_MAX, CAN_OPEN, FRAM_WREN）</w:t>
            </w:r>
          </w:p>
        </w:tc>
      </w:tr>
      <w:tr w14:paraId="7E30D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FFFFFF"/>
          </w:tcPr>
          <w:p w14:paraId="0C5B207B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文件命名</w:t>
            </w:r>
          </w:p>
        </w:tc>
        <w:tc>
          <w:tcPr>
            <w:tcW w:w="6624" w:type="dxa"/>
            <w:shd w:val="clear" w:color="auto" w:fill="FFFFFF"/>
          </w:tcPr>
          <w:p w14:paraId="60557386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模块名.c/h（如 Task.c/Task.h, fm25v20.c/fm25v20.h）</w:t>
            </w:r>
          </w:p>
        </w:tc>
      </w:tr>
      <w:tr w14:paraId="53C39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F2F2F2"/>
          </w:tcPr>
          <w:p w14:paraId="02A0775A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变量命名</w:t>
            </w:r>
          </w:p>
        </w:tc>
        <w:tc>
          <w:tcPr>
            <w:tcW w:w="6624" w:type="dxa"/>
            <w:shd w:val="clear" w:color="auto" w:fill="F2F2F2"/>
          </w:tcPr>
          <w:p w14:paraId="5D30BAF1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驼峰式（如 Always_Task_Count, Can_Rapid_Telemetry）</w:t>
            </w:r>
          </w:p>
        </w:tc>
      </w:tr>
    </w:tbl>
    <w:p w14:paraId="6A0920A1">
      <w:pPr>
        <w:pStyle w:val="4"/>
      </w:pPr>
      <w:r>
        <w:t>5.3  禁止的语言特性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3168"/>
        <w:gridCol w:w="2880"/>
      </w:tblGrid>
      <w:tr w14:paraId="0D19D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shd w:val="clear" w:color="auto" w:fill="1F4E79"/>
          </w:tcPr>
          <w:p w14:paraId="38680562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禁止项</w:t>
            </w:r>
          </w:p>
        </w:tc>
        <w:tc>
          <w:tcPr>
            <w:tcW w:w="3168" w:type="dxa"/>
            <w:shd w:val="clear" w:color="auto" w:fill="1F4E79"/>
          </w:tcPr>
          <w:p w14:paraId="37FD4BFE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原因</w:t>
            </w:r>
          </w:p>
        </w:tc>
        <w:tc>
          <w:tcPr>
            <w:tcW w:w="2880" w:type="dxa"/>
            <w:shd w:val="clear" w:color="auto" w:fill="1F4E79"/>
          </w:tcPr>
          <w:p w14:paraId="7EC27958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MISRA规则</w:t>
            </w:r>
          </w:p>
        </w:tc>
      </w:tr>
      <w:tr w14:paraId="48FAB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shd w:val="clear" w:color="auto" w:fill="FFFFFF"/>
          </w:tcPr>
          <w:p w14:paraId="1E3F2AA0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动态内存分配(malloc/free)</w:t>
            </w:r>
          </w:p>
        </w:tc>
        <w:tc>
          <w:tcPr>
            <w:tcW w:w="3168" w:type="dxa"/>
            <w:shd w:val="clear" w:color="auto" w:fill="FFFFFF"/>
          </w:tcPr>
          <w:p w14:paraId="5F7408DD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引入不确定性和内存泄漏风险</w:t>
            </w:r>
          </w:p>
        </w:tc>
        <w:tc>
          <w:tcPr>
            <w:tcW w:w="2880" w:type="dxa"/>
            <w:shd w:val="clear" w:color="auto" w:fill="FFFFFF"/>
          </w:tcPr>
          <w:p w14:paraId="7FC06CC3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Dir 4.12, Rule 21.3</w:t>
            </w:r>
          </w:p>
        </w:tc>
      </w:tr>
      <w:tr w14:paraId="46358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shd w:val="clear" w:color="auto" w:fill="F2F2F2"/>
          </w:tcPr>
          <w:p w14:paraId="209CFAD1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递归调用</w:t>
            </w:r>
          </w:p>
        </w:tc>
        <w:tc>
          <w:tcPr>
            <w:tcW w:w="3168" w:type="dxa"/>
            <w:shd w:val="clear" w:color="auto" w:fill="F2F2F2"/>
          </w:tcPr>
          <w:p w14:paraId="2E49080C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栈深度不可预测</w:t>
            </w:r>
          </w:p>
        </w:tc>
        <w:tc>
          <w:tcPr>
            <w:tcW w:w="2880" w:type="dxa"/>
            <w:shd w:val="clear" w:color="auto" w:fill="F2F2F2"/>
          </w:tcPr>
          <w:p w14:paraId="23FDDCF9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Rule 17.2</w:t>
            </w:r>
          </w:p>
        </w:tc>
      </w:tr>
      <w:tr w14:paraId="10ED7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shd w:val="clear" w:color="auto" w:fill="FFFFFF"/>
          </w:tcPr>
          <w:p w14:paraId="720ACB8B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函数指针的非常量使用</w:t>
            </w:r>
          </w:p>
        </w:tc>
        <w:tc>
          <w:tcPr>
            <w:tcW w:w="3168" w:type="dxa"/>
            <w:shd w:val="clear" w:color="auto" w:fill="FFFFFF"/>
          </w:tcPr>
          <w:p w14:paraId="28E04920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降低静态分析能力</w:t>
            </w:r>
          </w:p>
        </w:tc>
        <w:tc>
          <w:tcPr>
            <w:tcW w:w="2880" w:type="dxa"/>
            <w:shd w:val="clear" w:color="auto" w:fill="FFFFFF"/>
          </w:tcPr>
          <w:p w14:paraId="732CCE27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（有限使用——Task模块的函数指针为白名单）</w:t>
            </w:r>
          </w:p>
        </w:tc>
      </w:tr>
      <w:tr w14:paraId="58F3C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shd w:val="clear" w:color="auto" w:fill="F2F2F2"/>
          </w:tcPr>
          <w:p w14:paraId="2A51425A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goto语句</w:t>
            </w:r>
          </w:p>
        </w:tc>
        <w:tc>
          <w:tcPr>
            <w:tcW w:w="3168" w:type="dxa"/>
            <w:shd w:val="clear" w:color="auto" w:fill="F2F2F2"/>
          </w:tcPr>
          <w:p w14:paraId="4B833BFF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降低代码可读性和可分析性</w:t>
            </w:r>
          </w:p>
        </w:tc>
        <w:tc>
          <w:tcPr>
            <w:tcW w:w="2880" w:type="dxa"/>
            <w:shd w:val="clear" w:color="auto" w:fill="F2F2F2"/>
          </w:tcPr>
          <w:p w14:paraId="33EA4DE3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Rule 15.1（有限例外）</w:t>
            </w:r>
          </w:p>
        </w:tc>
      </w:tr>
      <w:tr w14:paraId="1449D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shd w:val="clear" w:color="auto" w:fill="FFFFFF"/>
          </w:tcPr>
          <w:p w14:paraId="1C3EB71B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可变参数函数(va_arg)</w:t>
            </w:r>
          </w:p>
        </w:tc>
        <w:tc>
          <w:tcPr>
            <w:tcW w:w="3168" w:type="dxa"/>
            <w:shd w:val="clear" w:color="auto" w:fill="FFFFFF"/>
          </w:tcPr>
          <w:p w14:paraId="073077FA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类型安全性无法静态检查</w:t>
            </w:r>
          </w:p>
        </w:tc>
        <w:tc>
          <w:tcPr>
            <w:tcW w:w="2880" w:type="dxa"/>
            <w:shd w:val="clear" w:color="auto" w:fill="FFFFFF"/>
          </w:tcPr>
          <w:p w14:paraId="0698AB30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Rule 17.1</w:t>
            </w:r>
          </w:p>
        </w:tc>
      </w:tr>
      <w:tr w14:paraId="3292B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shd w:val="clear" w:color="auto" w:fill="F2F2F2"/>
          </w:tcPr>
          <w:p w14:paraId="4C15248F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动态数据结构（链表、树）</w:t>
            </w:r>
          </w:p>
        </w:tc>
        <w:tc>
          <w:tcPr>
            <w:tcW w:w="3168" w:type="dxa"/>
            <w:shd w:val="clear" w:color="auto" w:fill="F2F2F2"/>
          </w:tcPr>
          <w:p w14:paraId="6D44A1BB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运行时不确定性</w:t>
            </w:r>
          </w:p>
        </w:tc>
        <w:tc>
          <w:tcPr>
            <w:tcW w:w="2880" w:type="dxa"/>
            <w:shd w:val="clear" w:color="auto" w:fill="F2F2F2"/>
          </w:tcPr>
          <w:p w14:paraId="74016277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Dir 4.12</w:t>
            </w:r>
          </w:p>
        </w:tc>
      </w:tr>
    </w:tbl>
    <w:p w14:paraId="1FA0CFA6">
      <w:r>
        <w:br w:type="page"/>
      </w:r>
    </w:p>
    <w:p w14:paraId="5ADB3EAC">
      <w:pPr>
        <w:pStyle w:val="3"/>
      </w:pPr>
      <w:r>
        <w:t>6  需求追溯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84"/>
        <w:gridCol w:w="3168"/>
        <w:gridCol w:w="2016"/>
      </w:tblGrid>
      <w:tr w14:paraId="6CF91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shd w:val="clear" w:color="auto" w:fill="1F4E79"/>
          </w:tcPr>
          <w:p w14:paraId="099323D7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模块ID</w:t>
            </w:r>
          </w:p>
        </w:tc>
        <w:tc>
          <w:tcPr>
            <w:tcW w:w="1584" w:type="dxa"/>
            <w:shd w:val="clear" w:color="auto" w:fill="1F4E79"/>
          </w:tcPr>
          <w:p w14:paraId="421141A8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模块名称</w:t>
            </w:r>
          </w:p>
        </w:tc>
        <w:tc>
          <w:tcPr>
            <w:tcW w:w="3168" w:type="dxa"/>
            <w:shd w:val="clear" w:color="auto" w:fill="1F4E79"/>
          </w:tcPr>
          <w:p w14:paraId="0C80A497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实现的关键SWSR需求</w:t>
            </w:r>
          </w:p>
        </w:tc>
        <w:tc>
          <w:tcPr>
            <w:tcW w:w="2016" w:type="dxa"/>
            <w:shd w:val="clear" w:color="auto" w:fill="1F4E79"/>
          </w:tcPr>
          <w:p w14:paraId="7BC00ABB">
            <w:pPr>
              <w:spacing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验证方式</w:t>
            </w:r>
          </w:p>
        </w:tc>
      </w:tr>
      <w:tr w14:paraId="7D012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shd w:val="clear" w:color="auto" w:fill="FFFFFF"/>
          </w:tcPr>
          <w:p w14:paraId="2825516A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MOD-10 Task</w:t>
            </w:r>
          </w:p>
        </w:tc>
        <w:tc>
          <w:tcPr>
            <w:tcW w:w="1584" w:type="dxa"/>
            <w:shd w:val="clear" w:color="auto" w:fill="FFFFFF"/>
          </w:tcPr>
          <w:p w14:paraId="7A86588B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协同调度器</w:t>
            </w:r>
          </w:p>
        </w:tc>
        <w:tc>
          <w:tcPr>
            <w:tcW w:w="3168" w:type="dxa"/>
            <w:shd w:val="clear" w:color="auto" w:fill="FFFFFF"/>
          </w:tcPr>
          <w:p w14:paraId="2BD93F98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SWSR-046(WDT喂狗), SWSR-047(诊断调度)</w:t>
            </w:r>
          </w:p>
        </w:tc>
        <w:tc>
          <w:tcPr>
            <w:tcW w:w="2016" w:type="dxa"/>
            <w:shd w:val="clear" w:color="auto" w:fill="FFFFFF"/>
          </w:tcPr>
          <w:p w14:paraId="07764A60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时序分析、WDT超时测试</w:t>
            </w:r>
          </w:p>
        </w:tc>
      </w:tr>
      <w:tr w14:paraId="37339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shd w:val="clear" w:color="auto" w:fill="F2F2F2"/>
          </w:tcPr>
          <w:p w14:paraId="49C8D9FF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MOD-11 check</w:t>
            </w:r>
          </w:p>
        </w:tc>
        <w:tc>
          <w:tcPr>
            <w:tcW w:w="1584" w:type="dxa"/>
            <w:shd w:val="clear" w:color="auto" w:fill="F2F2F2"/>
          </w:tcPr>
          <w:p w14:paraId="3E26CD59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数据校验</w:t>
            </w:r>
          </w:p>
        </w:tc>
        <w:tc>
          <w:tcPr>
            <w:tcW w:w="3168" w:type="dxa"/>
            <w:shd w:val="clear" w:color="auto" w:fill="F2F2F2"/>
          </w:tcPr>
          <w:p w14:paraId="05EA9687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SWSR-040(RAM测试), SWSR-041(CRC校验)</w:t>
            </w:r>
          </w:p>
        </w:tc>
        <w:tc>
          <w:tcPr>
            <w:tcW w:w="2016" w:type="dxa"/>
            <w:shd w:val="clear" w:color="auto" w:fill="F2F2F2"/>
          </w:tcPr>
          <w:p w14:paraId="5F3251E7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故障注入测试</w:t>
            </w:r>
          </w:p>
        </w:tc>
      </w:tr>
      <w:tr w14:paraId="30059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shd w:val="clear" w:color="auto" w:fill="FFFFFF"/>
          </w:tcPr>
          <w:p w14:paraId="7F61B82B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MOD-12 ringBuffer</w:t>
            </w:r>
          </w:p>
        </w:tc>
        <w:tc>
          <w:tcPr>
            <w:tcW w:w="1584" w:type="dxa"/>
            <w:shd w:val="clear" w:color="auto" w:fill="FFFFFF"/>
          </w:tcPr>
          <w:p w14:paraId="6BC49D36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环形缓冲</w:t>
            </w:r>
          </w:p>
        </w:tc>
        <w:tc>
          <w:tcPr>
            <w:tcW w:w="3168" w:type="dxa"/>
            <w:shd w:val="clear" w:color="auto" w:fill="FFFFFF"/>
          </w:tcPr>
          <w:p w14:paraId="39449E4B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SWSR-034(数据缓冲)</w:t>
            </w:r>
          </w:p>
        </w:tc>
        <w:tc>
          <w:tcPr>
            <w:tcW w:w="2016" w:type="dxa"/>
            <w:shd w:val="clear" w:color="auto" w:fill="FFFFFF"/>
          </w:tcPr>
          <w:p w14:paraId="10D9B699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边界条件测试、满/空测试</w:t>
            </w:r>
          </w:p>
        </w:tc>
      </w:tr>
      <w:tr w14:paraId="6CE8E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shd w:val="clear" w:color="auto" w:fill="F2F2F2"/>
          </w:tcPr>
          <w:p w14:paraId="5669B732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MOD-14 fram</w:t>
            </w:r>
          </w:p>
        </w:tc>
        <w:tc>
          <w:tcPr>
            <w:tcW w:w="1584" w:type="dxa"/>
            <w:shd w:val="clear" w:color="auto" w:fill="F2F2F2"/>
          </w:tcPr>
          <w:p w14:paraId="0283C7E4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FRAM存储</w:t>
            </w:r>
          </w:p>
        </w:tc>
        <w:tc>
          <w:tcPr>
            <w:tcW w:w="3168" w:type="dxa"/>
            <w:shd w:val="clear" w:color="auto" w:fill="F2F2F2"/>
          </w:tcPr>
          <w:p w14:paraId="2223D055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SWSR-061(安全参数保存)</w:t>
            </w:r>
          </w:p>
        </w:tc>
        <w:tc>
          <w:tcPr>
            <w:tcW w:w="2016" w:type="dxa"/>
            <w:shd w:val="clear" w:color="auto" w:fill="F2F2F2"/>
          </w:tcPr>
          <w:p w14:paraId="250EBD89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读写一致性测试、断电恢复测试</w:t>
            </w:r>
          </w:p>
        </w:tc>
      </w:tr>
      <w:tr w14:paraId="262FC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shd w:val="clear" w:color="auto" w:fill="FFFFFF"/>
          </w:tcPr>
          <w:p w14:paraId="04E690C5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MOD-02 app_adc</w:t>
            </w:r>
          </w:p>
        </w:tc>
        <w:tc>
          <w:tcPr>
            <w:tcW w:w="1584" w:type="dxa"/>
            <w:shd w:val="clear" w:color="auto" w:fill="FFFFFF"/>
          </w:tcPr>
          <w:p w14:paraId="2F619AE4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ADC监控</w:t>
            </w:r>
          </w:p>
        </w:tc>
        <w:tc>
          <w:tcPr>
            <w:tcW w:w="3168" w:type="dxa"/>
            <w:shd w:val="clear" w:color="auto" w:fill="FFFFFF"/>
          </w:tcPr>
          <w:p w14:paraId="774F63E1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SWSR-043(ADC诊断), SWSR-045(电压监测)</w:t>
            </w:r>
          </w:p>
        </w:tc>
        <w:tc>
          <w:tcPr>
            <w:tcW w:w="2016" w:type="dxa"/>
            <w:shd w:val="clear" w:color="auto" w:fill="FFFFFF"/>
          </w:tcPr>
          <w:p w14:paraId="77113792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ADC故障注入测试</w:t>
            </w:r>
          </w:p>
        </w:tc>
      </w:tr>
      <w:tr w14:paraId="33AFC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shd w:val="clear" w:color="auto" w:fill="F2F2F2"/>
          </w:tcPr>
          <w:p w14:paraId="17F0EE8E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MOD-01 app_can</w:t>
            </w:r>
          </w:p>
        </w:tc>
        <w:tc>
          <w:tcPr>
            <w:tcW w:w="1584" w:type="dxa"/>
            <w:shd w:val="clear" w:color="auto" w:fill="F2F2F2"/>
          </w:tcPr>
          <w:p w14:paraId="6B36B394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CAN通信</w:t>
            </w:r>
          </w:p>
        </w:tc>
        <w:tc>
          <w:tcPr>
            <w:tcW w:w="3168" w:type="dxa"/>
            <w:shd w:val="clear" w:color="auto" w:fill="F2F2F2"/>
          </w:tcPr>
          <w:p w14:paraId="17C72B11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SWSR-030(遥测发送)</w:t>
            </w:r>
          </w:p>
        </w:tc>
        <w:tc>
          <w:tcPr>
            <w:tcW w:w="2016" w:type="dxa"/>
            <w:shd w:val="clear" w:color="auto" w:fill="F2F2F2"/>
          </w:tcPr>
          <w:p w14:paraId="342CFEA6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CAN通信测试、错误帧注入</w:t>
            </w:r>
          </w:p>
        </w:tc>
      </w:tr>
      <w:tr w14:paraId="3BC6A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shd w:val="clear" w:color="auto" w:fill="FFFFFF"/>
          </w:tcPr>
          <w:p w14:paraId="0178B09F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MOD-03 app_emmc</w:t>
            </w:r>
          </w:p>
        </w:tc>
        <w:tc>
          <w:tcPr>
            <w:tcW w:w="1584" w:type="dxa"/>
            <w:shd w:val="clear" w:color="auto" w:fill="FFFFFF"/>
          </w:tcPr>
          <w:p w14:paraId="057BA9D8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EMMC存储</w:t>
            </w:r>
          </w:p>
        </w:tc>
        <w:tc>
          <w:tcPr>
            <w:tcW w:w="3168" w:type="dxa"/>
            <w:shd w:val="clear" w:color="auto" w:fill="FFFFFF"/>
          </w:tcPr>
          <w:p w14:paraId="2FCA87A5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SWSR-035(数据存储与回放)</w:t>
            </w:r>
          </w:p>
        </w:tc>
        <w:tc>
          <w:tcPr>
            <w:tcW w:w="2016" w:type="dxa"/>
            <w:shd w:val="clear" w:color="auto" w:fill="FFFFFF"/>
          </w:tcPr>
          <w:p w14:paraId="38C16338">
            <w:pPr>
              <w:spacing w:before="20" w:after="20"/>
            </w:pPr>
            <w:r>
              <w:rPr>
                <w:rFonts w:ascii="Arial" w:hAnsi="Arial" w:eastAsia="微软雅黑"/>
                <w:sz w:val="18"/>
              </w:rPr>
              <w:t>存储完整性测试、回放验证</w:t>
            </w:r>
          </w:p>
        </w:tc>
      </w:tr>
    </w:tbl>
    <w:p w14:paraId="699848F9">
      <w:r>
        <w:br w:type="page"/>
      </w:r>
    </w:p>
    <w:p w14:paraId="5BC891F6">
      <w:pPr>
        <w:pStyle w:val="3"/>
      </w:pPr>
      <w:r>
        <w:t>7  参考标准</w:t>
      </w:r>
    </w:p>
    <w:p w14:paraId="2F3925E4">
      <w:pPr>
        <w:pStyle w:val="16"/>
        <w:ind w:left="360"/>
      </w:pPr>
      <w:r>
        <w:rPr>
          <w:rFonts w:ascii="Arial" w:hAnsi="Arial" w:eastAsia="微软雅黑"/>
          <w:sz w:val="21"/>
        </w:rPr>
        <w:t>IEC 61508-3:2010 §7.4.5 —— 详细设计和开发：软件系统设计</w:t>
      </w:r>
    </w:p>
    <w:p w14:paraId="2379E3AA">
      <w:pPr>
        <w:pStyle w:val="16"/>
        <w:ind w:left="360"/>
      </w:pPr>
      <w:r>
        <w:rPr>
          <w:rFonts w:ascii="Arial" w:hAnsi="Arial" w:eastAsia="微软雅黑"/>
          <w:sz w:val="21"/>
        </w:rPr>
        <w:t>IEC 61508-3:2010 §7.4.6 —— 代码实现</w:t>
      </w:r>
    </w:p>
    <w:p w14:paraId="4FBA29C7">
      <w:pPr>
        <w:pStyle w:val="16"/>
        <w:ind w:left="360"/>
      </w:pPr>
      <w:r>
        <w:rPr>
          <w:rFonts w:ascii="Arial" w:hAnsi="Arial" w:eastAsia="微软雅黑"/>
          <w:sz w:val="21"/>
        </w:rPr>
        <w:t>IEC 61508-3:2010 Annex A Table A.4 —— 详细设计技术与措施（推荐SIL 2）</w:t>
      </w:r>
    </w:p>
    <w:p w14:paraId="39567415">
      <w:pPr>
        <w:pStyle w:val="16"/>
        <w:ind w:left="360"/>
      </w:pPr>
      <w:r>
        <w:rPr>
          <w:rFonts w:ascii="Arial" w:hAnsi="Arial" w:eastAsia="微软雅黑"/>
          <w:sz w:val="21"/>
        </w:rPr>
        <w:t>IEC 61508-3:2010 §7.2.2.8 —— 软件自监控与诊断</w:t>
      </w:r>
    </w:p>
    <w:p w14:paraId="4FBE824F">
      <w:pPr>
        <w:pStyle w:val="16"/>
        <w:ind w:left="360"/>
      </w:pPr>
      <w:r>
        <w:rPr>
          <w:rFonts w:ascii="Arial" w:hAnsi="Arial" w:eastAsia="微软雅黑"/>
          <w:sz w:val="21"/>
        </w:rPr>
        <w:t>MISRA C:2012 —— Guidelines for the use of the C language in critical systems</w:t>
      </w:r>
    </w:p>
    <w:p w14:paraId="74088AA0">
      <w:pPr>
        <w:pStyle w:val="16"/>
        <w:ind w:left="360"/>
      </w:pPr>
      <w:r>
        <w:rPr>
          <w:rFonts w:ascii="Arial" w:hAnsi="Arial" w:eastAsia="微软雅黑"/>
          <w:sz w:val="21"/>
        </w:rPr>
        <w:t>IEC 61508-7:2010 Annex C —— 软件设计技术概述</w:t>
      </w:r>
    </w:p>
    <w:sectPr>
      <w:footerReference r:id="rId5" w:type="default"/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DCF627">
    <w:pPr>
      <w:pStyle w:val="24"/>
      <w:jc w:val="center"/>
    </w:pPr>
    <w:r>
      <w:rPr>
        <w:rFonts w:ascii="Arial" w:hAnsi="Arial" w:eastAsia="微软雅黑"/>
        <w:color w:val="999999"/>
        <w:sz w:val="16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Arial" w:hAnsi="Arial" w:eastAsia="微软雅黑"/>
        <w:color w:val="999999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3148D6"/>
    <w:rsid w:val="62273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60"/>
      <w:outlineLvl w:val="1"/>
    </w:pPr>
    <w:rPr>
      <w:rFonts w:asciiTheme="majorHAnsi" w:hAnsiTheme="majorHAnsi" w:eastAsiaTheme="majorEastAsia" w:cstheme="majorBidi"/>
      <w:b/>
      <w:bCs/>
      <w:color w:val="2B6CB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1F4E79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688</Words>
  <Characters>1002</Characters>
  <Lines>0</Lines>
  <Paragraphs>0</Paragraphs>
  <TotalTime>6</TotalTime>
  <ScaleCrop>false</ScaleCrop>
  <LinksUpToDate>false</LinksUpToDate>
  <CharactersWithSpaces>1039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王金星</cp:lastModifiedBy>
  <dcterms:modified xsi:type="dcterms:W3CDTF">2026-07-14T08:24:40Z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eyJoZGlkIjoiZTE0YWVhNzkyNjIwZTg3NzMyNjM1ZTJmM2UyZWVhYzAiLCJ1c2VySWQiOiIxNzgyMjAzNDAyIn0=</vt:lpwstr>
  </property>
  <property fmtid="{D5CDD505-2E9C-101B-9397-08002B2CF9AE}" pid="3" name="KSOProductBuildVer">
    <vt:lpwstr>2052-12.1.0.26375</vt:lpwstr>
  </property>
  <property fmtid="{D5CDD505-2E9C-101B-9397-08002B2CF9AE}" pid="4" name="ICV">
    <vt:lpwstr>4ACC160DD9544296A7E818E7D79BA2AA_12</vt:lpwstr>
  </property>
</Properties>
</file>