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 w:eastAsia="Microsoft YaHei"/>
          <w:b/>
          <w:color w:val="1F4E79"/>
          <w:sz w:val="34"/>
        </w:rPr>
        <w:t>LNG 计量仪屏幕菜单 - 现场速查与代码核对版</w:t>
      </w:r>
    </w:p>
    <w:p>
      <w:pPr>
        <w:spacing w:before="0" w:after="100" w:line="259" w:lineRule="auto"/>
        <w:jc w:val="center"/>
      </w:pPr>
      <w:r>
        <w:rPr>
          <w:rFonts w:ascii="Calibri" w:hAnsi="Calibri" w:eastAsia="Microsoft YaHei"/>
          <w:b/>
          <w:color w:val="525C69"/>
          <w:sz w:val="17"/>
        </w:rPr>
        <w:t>CPU2 V1.20.2.0 / CPU3 V1.18.2.0 / 共享协议版本 13 | 2026-06-30</w:t>
      </w:r>
    </w:p>
    <w:tbl>
      <w:tblPr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904"/>
      </w:tblGrid>
      <w:tr>
        <w:tc>
          <w:tcPr>
            <w:tcW w:type="dxa" w:w="14904"/>
            <w:shd w:fill="F4F6F9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定位</w:t>
            </w:r>
          </w:p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sz w:val="16"/>
              </w:rPr>
              <w:t>这是一份短版维护入口：回答“屏幕上去哪找、对应代码在哪里、哪些地方容易误判”。</w:t>
            </w:r>
          </w:p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sz w:val="16"/>
              </w:rPr>
              <w:t>不替代原《LNG计量仪屏幕菜单》的参数明细表；默认值、完整范围和单位仍回到原文档与参数表核对。</w:t>
            </w:r>
          </w:p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sz w:val="16"/>
              </w:rPr>
              <w:t>参考液位计文档只借鉴结构，不采用其参数事实。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一、主入口速查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296"/>
        <w:gridCol w:w="5832"/>
        <w:gridCol w:w="6336"/>
      </w:tblGrid>
      <w:tr>
        <w:trPr>
          <w:tblHeader w:val="true"/>
        </w:trPr>
        <w:tc>
          <w:tcPr>
            <w:tcW w:type="dxa" w:w="1440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入口</w:t>
            </w:r>
          </w:p>
        </w:tc>
        <w:tc>
          <w:tcPr>
            <w:tcW w:type="dxa" w:w="1296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权限</w:t>
            </w:r>
          </w:p>
        </w:tc>
        <w:tc>
          <w:tcPr>
            <w:tcW w:type="dxa" w:w="5832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用途</w:t>
            </w:r>
          </w:p>
        </w:tc>
        <w:tc>
          <w:tcPr>
            <w:tcW w:type="dxa" w:w="6336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代码锚点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测量命令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无需密码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一次性测量、密度测量、浮子运行到高度等命令。</w:t>
            </w:r>
          </w:p>
        </w:tc>
        <w:tc>
          <w:tcPr>
            <w:tcW w:type="dxa" w:w="63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mainmenu -&gt; measuremenu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参数配置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参数密码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查看/修改测量、输出、通信、显示、维护参数。</w:t>
            </w:r>
          </w:p>
        </w:tc>
        <w:tc>
          <w:tcPr>
            <w:tcW w:type="dxa" w:w="63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mainmenu -&gt; password_enter_para -&gt; menu_paracfg_main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调试指令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调试密码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浮子运动、标定修正、扭力获取、无线/系统维护。</w:t>
            </w:r>
          </w:p>
        </w:tc>
        <w:tc>
          <w:tcPr>
            <w:tcW w:type="dxa" w:w="63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mainmenu -&gt; password_enter_cmd -&gt; menu_cmdconfig_main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语言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无需参数菜单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直接切换语言；显示设置中也有语言参数入口。</w:t>
            </w:r>
          </w:p>
        </w:tc>
        <w:tc>
          <w:tcPr>
            <w:tcW w:type="dxa" w:w="63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mainmenu / COM_NUM_PARA_LANG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退出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无需密码</w:t>
            </w:r>
          </w:p>
        </w:tc>
        <w:tc>
          <w:tcPr>
            <w:tcW w:type="dxa" w:w="583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退出罐区操作菜单。</w:t>
            </w:r>
          </w:p>
        </w:tc>
        <w:tc>
          <w:tcPr>
            <w:tcW w:type="dxa" w:w="63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ifexittankopera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二、测量命令路径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176"/>
        <w:gridCol w:w="1152"/>
        <w:gridCol w:w="2951"/>
        <w:gridCol w:w="1655"/>
        <w:gridCol w:w="4968"/>
      </w:tblGrid>
      <w:tr>
        <w:trPr>
          <w:tblHeader w:val="true"/>
        </w:trPr>
        <w:tc>
          <w:tcPr>
            <w:tcW w:type="dxa" w:w="4176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屏幕路径</w:t>
            </w:r>
          </w:p>
        </w:tc>
        <w:tc>
          <w:tcPr>
            <w:tcW w:type="dxa" w:w="1152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交互</w:t>
            </w:r>
          </w:p>
        </w:tc>
        <w:tc>
          <w:tcPr>
            <w:tcW w:type="dxa" w:w="2951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命令号</w:t>
            </w:r>
          </w:p>
        </w:tc>
        <w:tc>
          <w:tcPr>
            <w:tcW w:type="dxa" w:w="1655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流程</w:t>
            </w:r>
          </w:p>
        </w:tc>
        <w:tc>
          <w:tcPr>
            <w:tcW w:type="dxa" w:w="4968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现场含义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提零点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直接下发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COM_NUM_BACK_ZERO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测量前或维护时执行零点提升。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液位测量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直接下发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COM_NUM_FIND_OIL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启动液位单次测量。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水位测量 -&gt; 水位单次测量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二级菜单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COM_NUM_FIND_WATER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水位单次测量。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水位测量 -&gt; 水位跟随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二级菜单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COM_NUM_FOLLOW_WATER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水位跟随流程。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罐高测量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直接下发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COM_NUM_FIND_BOTTOM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罐底/罐高相关测量。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综合测量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直接下发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COM_NUM_SYNTHETIC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综合执行液位/水位/密度策略。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读取部件参数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直接下发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COM_NUM_READ_PART_PARAMS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读取部件参数并显示调试数据。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密度单点测量 -&gt; 密度单点测量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输入参数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COM_NUM_SINGLE_POINT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inputcmdpara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输入单点位置后测量。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密度单点测量 -&gt; 密度单点监测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输入参数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COM_NUM_SP_TEST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inputcmdpara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输入监测位置后监测。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密度分布测量 -&gt; 分布/国标/每米/区间/瓦锡兰区间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二级菜单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COM_NUM_SPREADPOINTS 等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分布类密度测量入口。</w:t>
            </w:r>
          </w:p>
        </w:tc>
      </w:tr>
      <w:tr>
        <w:tc>
          <w:tcPr>
            <w:tcW w:type="dxa" w:w="417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浮子运行到高度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输入参数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COM_NUM_RUN_TO_POSITION</w:t>
            </w:r>
          </w:p>
        </w:tc>
        <w:tc>
          <w:tcPr>
            <w:tcW w:type="dxa" w:w="1655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inputcmdpara</w:t>
            </w:r>
          </w:p>
        </w:tc>
        <w:tc>
          <w:tcPr>
            <w:tcW w:type="dxa" w:w="496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维护时直接运行到指定高度。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三、调试指令路径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328"/>
        <w:gridCol w:w="2880"/>
        <w:gridCol w:w="4752"/>
      </w:tblGrid>
      <w:tr>
        <w:trPr>
          <w:tblHeader w:val="true"/>
        </w:trPr>
        <w:tc>
          <w:tcPr>
            <w:tcW w:type="dxa" w:w="194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一级入口</w:t>
            </w:r>
          </w:p>
        </w:tc>
        <w:tc>
          <w:tcPr>
            <w:tcW w:type="dxa" w:w="5328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包含动作</w:t>
            </w:r>
          </w:p>
        </w:tc>
        <w:tc>
          <w:tcPr>
            <w:tcW w:type="dxa" w:w="2880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代码锚点</w:t>
            </w:r>
          </w:p>
        </w:tc>
        <w:tc>
          <w:tcPr>
            <w:tcW w:type="dxa" w:w="4752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现场注意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浮子运动控制</w:t>
            </w:r>
          </w:p>
        </w:tc>
        <w:tc>
          <w:tcPr>
            <w:tcW w:type="dxa" w:w="532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上行、下行、强制上行、强制下行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inputcmdpara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会进入电机运行监控页，调试时确认停止路径。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标定修正</w:t>
            </w:r>
          </w:p>
        </w:tc>
        <w:tc>
          <w:tcPr>
            <w:tcW w:type="dxa" w:w="532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标定零点、标定液位、修正液位、标定水位、标定罐高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 / inputcmdpara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会改写标定相关值，操作前记录原值。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扭力标定</w:t>
            </w:r>
          </w:p>
        </w:tc>
        <w:tc>
          <w:tcPr>
            <w:tcW w:type="dxa" w:w="532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获取空载扭力、获取满载扭力等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ifsendcmd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部分命令有等待页，完成后返回扭力标定菜单。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无线维护</w:t>
            </w:r>
          </w:p>
        </w:tc>
        <w:tc>
          <w:tcPr>
            <w:tcW w:type="dxa" w:w="532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配对、扫描、RSSI/MAC 等维护动作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menu_debug_wireless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用于现场排查无线滑环/主从机状态。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系统维护</w:t>
            </w:r>
          </w:p>
        </w:tc>
        <w:tc>
          <w:tcPr>
            <w:tcW w:type="dxa" w:w="532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恢复/保护类维护动作</w:t>
            </w:r>
          </w:p>
        </w:tc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menu_debug_system</w:t>
            </w:r>
          </w:p>
        </w:tc>
        <w:tc>
          <w:tcPr>
            <w:tcW w:type="dxa" w:w="475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高风险入口，涉及保护确认。</w:t>
            </w:r>
          </w:p>
        </w:tc>
      </w:tr>
    </w:tbl>
    <w:tbl>
      <w:tblPr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904"/>
      </w:tblGrid>
      <w:tr>
        <w:tc>
          <w:tcPr>
            <w:tcW w:type="dxa" w:w="14904"/>
            <w:shd w:fill="F4F6F9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F4E79"/>
                <w:sz w:val="17"/>
              </w:rPr>
              <w:t>调试入口风险</w:t>
            </w:r>
          </w:p>
          <w:p>
            <w:pPr>
              <w:spacing w:after="20" w:line="252" w:lineRule="auto"/>
            </w:pPr>
            <w:r>
              <w:rPr>
                <w:rFonts w:ascii="Calibri" w:hAnsi="Calibri" w:eastAsia="Microsoft YaHei"/>
                <w:sz w:val="16"/>
              </w:rPr>
              <w:t>调试指令不是只读菜单。运动、标定、恢复类动作应先记录状态和原参数；浮子运动类命令确认后可能进入电机运行监控页。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四、参数配置主路径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9936"/>
        <w:gridCol w:w="3384"/>
      </w:tblGrid>
      <w:tr>
        <w:trPr>
          <w:tblHeader w:val="true"/>
        </w:trPr>
        <w:tc>
          <w:tcPr>
            <w:tcW w:type="dxa" w:w="158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一级入口</w:t>
            </w:r>
          </w:p>
        </w:tc>
        <w:tc>
          <w:tcPr>
            <w:tcW w:type="dxa" w:w="9936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二级入口</w:t>
            </w:r>
          </w:p>
        </w:tc>
        <w:tc>
          <w:tcPr>
            <w:tcW w:type="dxa" w:w="338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代码锚点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测量参数</w:t>
            </w:r>
          </w:p>
        </w:tc>
        <w:tc>
          <w:tcPr>
            <w:tcW w:type="dxa" w:w="99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运行设置、电机与编码参数、扭力参数、零点参数、液位参数、水位参数、罐底与罐高、密度测量参数、Wartsila 参数、修正参数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menu_measure_config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输出配置</w:t>
            </w:r>
          </w:p>
        </w:tc>
        <w:tc>
          <w:tcPr>
            <w:tcW w:type="dxa" w:w="99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继电器报警输出、AO 输出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menu_output_config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通信设置</w:t>
            </w:r>
          </w:p>
        </w:tc>
        <w:tc>
          <w:tcPr>
            <w:tcW w:type="dxa" w:w="99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COM1 配置、COM2 配置、COM3 配置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menu_comm_config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显示设置</w:t>
            </w:r>
          </w:p>
        </w:tc>
        <w:tc>
          <w:tcPr>
            <w:tcW w:type="dxa" w:w="99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显示基础、语言、屏幕密码、数据源与手输值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menu_display_config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维护设置</w:t>
            </w:r>
          </w:p>
        </w:tc>
        <w:tc>
          <w:tcPr>
            <w:tcW w:type="dxa" w:w="993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设备信息、参数校验、RTC 设置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menu_maint_config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五、测量参数分组：按代码枚举找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992"/>
        <w:gridCol w:w="2951"/>
        <w:gridCol w:w="21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屏幕分组</w:t>
            </w:r>
          </w:p>
        </w:tc>
        <w:tc>
          <w:tcPr>
            <w:tcW w:type="dxa" w:w="7992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包含内容</w:t>
            </w:r>
          </w:p>
        </w:tc>
        <w:tc>
          <w:tcPr>
            <w:tcW w:type="dxa" w:w="2951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分组枚举</w:t>
            </w:r>
          </w:p>
        </w:tc>
        <w:tc>
          <w:tcPr>
            <w:tcW w:type="dxa" w:w="2160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函数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运行设置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上电默认、故障回零、故障停止、自动恢复重跑次数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MENU_GRP_RUN_POLICY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menu_run_policy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电机与编码参数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电机电流、编码轮周长、电机限速、首圈周长、尺带厚度、位置源、记步模式、电机局部周长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MENU_GRP_MECH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menu_mech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扭力参数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空载/满载扭力、上下限、碰撞上下限比率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MENU_GRP_WEIGHT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menu_weight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零点参数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零点阈值比例、扭力忽略区、零点最大偏差、找零下行距离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MENU_GRP_ZERO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menu_zero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液位参数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液位罐高、探头距差、盲区、找液阈值、滞后、测量方式、跟随频率/密度/时间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MENU_GRP_LIQUID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menu_liquid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水位参数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水罐高、水位模式、盲区、电容阈值、找水阈值、最大下行距离、零点电容、稳定/滞回/修正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MENU_GRP_WATER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menu_water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罐底与罐高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罐底检测模式、角度/扭力阈值、更新罐高、偏差、初始/当前罐高、编码修正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MENU_GRP_BOTTOM_TANKH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menu_bottom_tankh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密度测量参数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是否测罐底/水/单点、分布顺序/模式/点数/间距、上下限、悬停、区间上下限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MENU_GRP_POLICY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menu_policy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Wartsila 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上下密度限制、密度间隔、最高点液面距、罐底检测间隔、编码修正罐高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MENU_GRP_WARTSILA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menu_wartsila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修正参数</w:t>
            </w:r>
          </w:p>
        </w:tc>
        <w:tc>
          <w:tcPr>
            <w:tcW w:type="dxa" w:w="79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密度修正、温度修正、上次油位修正液位、气相温度、尺带膨胀系数、校准温度</w:t>
            </w:r>
          </w:p>
        </w:tc>
        <w:tc>
          <w:tcPr>
            <w:tcW w:type="dxa" w:w="2951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MENU_GRP_CORR</w:t>
            </w:r>
          </w:p>
        </w:tc>
        <w:tc>
          <w:tcPr>
            <w:tcW w:type="dxa" w:w="216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menu_correct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六、输出、通信、显示、维护分组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5184"/>
        <w:gridCol w:w="3384"/>
        <w:gridCol w:w="3096"/>
      </w:tblGrid>
      <w:tr>
        <w:trPr>
          <w:tblHeader w:val="true"/>
        </w:trPr>
        <w:tc>
          <w:tcPr>
            <w:tcW w:type="dxa" w:w="3240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路径</w:t>
            </w:r>
          </w:p>
        </w:tc>
        <w:tc>
          <w:tcPr>
            <w:tcW w:type="dxa" w:w="518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包含内容</w:t>
            </w:r>
          </w:p>
        </w:tc>
        <w:tc>
          <w:tcPr>
            <w:tcW w:type="dxa" w:w="338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代码锚点</w:t>
            </w:r>
          </w:p>
        </w:tc>
        <w:tc>
          <w:tcPr>
            <w:tcW w:type="dxa" w:w="3096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核对重点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输出配置 -&gt; 继电器报警输出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K1~K4 各有通道设置、报警配置、报警状态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menu_do_alarm / menu_relayN_*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K1~K4 结构相同，参数通过过滤函数分到各子页。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输出配置 -&gt; AO 输出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AO 起点/终点、正常电流、报警电平、故障电流、调试电流、输出使能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MENU_GRP_AO / menu_ao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AO 参数影响外部模拟量输出。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通信设置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COM1/COM2/COM3 各含波特率、数据位、校验、停止位、协议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MENU_GRP_CPU3_COM1/2/3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协议切换与串口默认值要同步核对。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显示设置 -&gt; 显示基础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小数位、息屏、亮度等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menu_display_base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显示参数写入后要关注运行态是否立即应用。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显示设置 -&gt; 语言/屏幕密码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语言、屏幕密码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COM_NUM_PARA_LANG / COM_NUM_SCREEN_PASSWARD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语言在主菜单和显示设置中都有入口。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显示设置 -&gt; 数据源与手输值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液位、水位、密度、温度的数据源和手输值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menu_display_data_*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手输值按原始倍率保存，不能按 uint8_t 截断。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维护设置 -&gt; 设备信息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传感器、CPU2/CPU3 版本、协议版本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MENU_GRP_DEV_INFO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现场先核对版本，再判断菜单差异。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维护设置 -&gt; 参数校验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ParamVer、StructSize、Magic、CRC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MENU_GRP_PARAM_CHECK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用于判断参数存储结构是否匹配。</w:t>
            </w:r>
          </w:p>
        </w:tc>
      </w:tr>
      <w:tr>
        <w:tc>
          <w:tcPr>
            <w:tcW w:type="dxa" w:w="324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维护设置 -&gt; RTC 设置</w:t>
            </w:r>
          </w:p>
        </w:tc>
        <w:tc>
          <w:tcPr>
            <w:tcW w:type="dxa" w:w="51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日期、时间、RTC 状态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menu_rtc_datetime</w:t>
            </w:r>
          </w:p>
        </w:tc>
        <w:tc>
          <w:tcPr>
            <w:tcW w:type="dxa" w:w="309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RTC 状态异常时先确认晶振/初始化状态。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七、容易误判的点</w:t>
      </w:r>
    </w:p>
    <w:p>
      <w:pPr>
        <w:pStyle w:val="ListBullet"/>
        <w:spacing w:before="0" w:after="30" w:line="252" w:lineRule="auto"/>
      </w:pPr>
      <w:r>
        <w:rPr>
          <w:rFonts w:ascii="Calibri" w:hAnsi="Calibri" w:eastAsia="Microsoft YaHei"/>
          <w:sz w:val="17"/>
        </w:rPr>
        <w:t>“语言”有两个入口：主菜单直接入口和参数配置 -&gt; 显示设置 -&gt; 语言；不要误以为一个入口失效就是语言功能缺失。</w:t>
      </w:r>
    </w:p>
    <w:p>
      <w:pPr>
        <w:pStyle w:val="ListBullet"/>
        <w:spacing w:before="0" w:after="30" w:line="252" w:lineRule="auto"/>
      </w:pPr>
      <w:r>
        <w:rPr>
          <w:rFonts w:ascii="Calibri" w:hAnsi="Calibri" w:eastAsia="Microsoft YaHei"/>
          <w:sz w:val="17"/>
        </w:rPr>
        <w:t>“显示基础”和“数据源与手输值”不是老的 CPU3 基础/来源/输入分组直接暴露；代码里旧分组页只作为兼容兜底。</w:t>
      </w:r>
    </w:p>
    <w:p>
      <w:pPr>
        <w:pStyle w:val="ListBullet"/>
        <w:spacing w:before="0" w:after="30" w:line="252" w:lineRule="auto"/>
      </w:pPr>
      <w:r>
        <w:rPr>
          <w:rFonts w:ascii="Calibri" w:hAnsi="Calibri" w:eastAsia="Microsoft YaHei"/>
          <w:sz w:val="17"/>
        </w:rPr>
        <w:t>“标定、单点和运动距离参数”随测量/调试命令输入，不挂在参数配置主菜单；menu_cal_sp 主要是旧返回映射兜底。</w:t>
      </w:r>
    </w:p>
    <w:p>
      <w:pPr>
        <w:pStyle w:val="ListBullet"/>
        <w:spacing w:before="0" w:after="30" w:line="252" w:lineRule="auto"/>
      </w:pPr>
      <w:r>
        <w:rPr>
          <w:rFonts w:ascii="Calibri" w:hAnsi="Calibri" w:eastAsia="Microsoft YaHei"/>
          <w:sz w:val="17"/>
        </w:rPr>
        <w:t>判断参数是否生效不能只看菜单能读回；要同时看写入口、运行态变量、消费点、上电加载路径。</w:t>
      </w:r>
    </w:p>
    <w:p>
      <w:pPr>
        <w:pStyle w:val="ListBullet"/>
        <w:spacing w:before="0" w:after="30" w:line="252" w:lineRule="auto"/>
      </w:pPr>
      <w:r>
        <w:rPr>
          <w:rFonts w:ascii="Calibri" w:hAnsi="Calibri" w:eastAsia="Microsoft YaHei"/>
          <w:sz w:val="17"/>
        </w:rPr>
        <w:t>继电器 K1~K4 菜单外观相同，但参数通过 RelayParam_* 和过滤函数按通道区分。</w:t>
      </w:r>
    </w:p>
    <w:p>
      <w:pPr>
        <w:pStyle w:val="ListBullet"/>
        <w:spacing w:before="0" w:after="30" w:line="252" w:lineRule="auto"/>
      </w:pPr>
      <w:r>
        <w:rPr>
          <w:rFonts w:ascii="Calibri" w:hAnsi="Calibri" w:eastAsia="Microsoft YaHei"/>
          <w:sz w:val="17"/>
        </w:rPr>
        <w:t>通信菜单的 COM1/COM2/COM3 是 CPU3 本机串口配置；协议版本 13 是 CPU2/CPU3 共享协议版本，不等于某个串口协议枚举。</w:t>
      </w:r>
    </w:p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八、维护时按这个顺序核对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944"/>
        <w:gridCol w:w="3384"/>
        <w:gridCol w:w="8784"/>
      </w:tblGrid>
      <w:tr>
        <w:trPr>
          <w:tblHeader w:val="true"/>
        </w:trPr>
        <w:tc>
          <w:tcPr>
            <w:tcW w:type="dxa" w:w="792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顺序</w:t>
            </w:r>
          </w:p>
        </w:tc>
        <w:tc>
          <w:tcPr>
            <w:tcW w:type="dxa" w:w="194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核对对象</w:t>
            </w:r>
          </w:p>
        </w:tc>
        <w:tc>
          <w:tcPr>
            <w:tcW w:type="dxa" w:w="338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屏幕路径</w:t>
            </w:r>
          </w:p>
        </w:tc>
        <w:tc>
          <w:tcPr>
            <w:tcW w:type="dxa" w:w="8784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判据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版本与协议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维护设置 -&gt; 设备信息</w:t>
            </w:r>
          </w:p>
        </w:tc>
        <w:tc>
          <w:tcPr>
            <w:tcW w:type="dxa" w:w="87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CPU2 V1.20.2.0、CPU3 V1.18.2.0、共享协议 13 是否符合现场版本。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菜单入口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主菜单、参数配置主菜单</w:t>
            </w:r>
          </w:p>
        </w:tc>
        <w:tc>
          <w:tcPr>
            <w:tcW w:type="dxa" w:w="87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五个主入口和五类参数配置入口是否可达。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测量链路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测量命令</w:t>
            </w:r>
          </w:p>
        </w:tc>
        <w:tc>
          <w:tcPr>
            <w:tcW w:type="dxa" w:w="87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确认命令是直接下发、输入参数，还是进入二级菜单。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参数分组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参数配置 -&gt; 测量参数</w:t>
            </w:r>
          </w:p>
        </w:tc>
        <w:tc>
          <w:tcPr>
            <w:tcW w:type="dxa" w:w="87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按分组枚举核对，不要只按历史参数名查找。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显示运行态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显示设置</w:t>
            </w:r>
          </w:p>
        </w:tc>
        <w:tc>
          <w:tcPr>
            <w:tcW w:type="dxa" w:w="87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语言、小数位、息屏、亮度和数据源修改后是否立即体现在运行态。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6</w:t>
            </w:r>
          </w:p>
        </w:tc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输出与通信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输出配置、通信设置</w:t>
            </w:r>
          </w:p>
        </w:tc>
        <w:tc>
          <w:tcPr>
            <w:tcW w:type="dxa" w:w="87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继电器/AO/COM 配置是否与外设接线和上位机一致。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7</w:t>
            </w:r>
          </w:p>
        </w:tc>
        <w:tc>
          <w:tcPr>
            <w:tcW w:type="dxa" w:w="194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存储校验</w:t>
            </w:r>
          </w:p>
        </w:tc>
        <w:tc>
          <w:tcPr>
            <w:tcW w:type="dxa" w:w="33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维护设置 -&gt; 参数校验</w:t>
            </w:r>
          </w:p>
        </w:tc>
        <w:tc>
          <w:tcPr>
            <w:tcW w:type="dxa" w:w="8784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ParamVer、StructSize、Magic、CRC 是否合理。</w:t>
            </w:r>
          </w:p>
        </w:tc>
      </w:tr>
    </w:tbl>
    <w:p>
      <w:pPr>
        <w:spacing w:before="40" w:after="60" w:line="252" w:lineRule="auto"/>
      </w:pPr>
      <w:r>
        <w:rPr>
          <w:rFonts w:ascii="Calibri" w:hAnsi="Calibri" w:eastAsia="Microsoft YaHei"/>
          <w:b w:val="0"/>
          <w:color w:val="1F4E79"/>
          <w:sz w:val="16"/>
        </w:rPr>
        <w:t>维护口径：菜单代码变更时更新入口速查、参数分组和代码证据；参数范围/默认值/单位变更时仍更新原明细表。</w:t>
      </w:r>
    </w:p>
    <w:p>
      <w:pPr>
        <w:pStyle w:val="Heading1"/>
        <w:spacing w:before="160" w:after="60"/>
      </w:pPr>
      <w:r>
        <w:rPr>
          <w:rFonts w:ascii="Calibri" w:hAnsi="Calibri" w:eastAsia="Microsoft YaHei"/>
          <w:b/>
          <w:color w:val="1F4E79"/>
          <w:sz w:val="27"/>
        </w:rPr>
        <w:t>九、代码证据索引</w:t>
      </w:r>
    </w:p>
    <w:tbl>
      <w:tblPr>
        <w:tblStyle w:val="TableGrid"/>
        <w:tblW w:type="dxa" w:w="1490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4608"/>
        <w:gridCol w:w="7416"/>
      </w:tblGrid>
      <w:tr>
        <w:trPr>
          <w:tblHeader w:val="true"/>
        </w:trPr>
        <w:tc>
          <w:tcPr>
            <w:tcW w:type="dxa" w:w="2880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内容</w:t>
            </w:r>
          </w:p>
        </w:tc>
        <w:tc>
          <w:tcPr>
            <w:tcW w:type="dxa" w:w="4608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位置</w:t>
            </w:r>
          </w:p>
        </w:tc>
        <w:tc>
          <w:tcPr>
            <w:tcW w:type="dxa" w:w="7416"/>
            <w:vAlign w:val="center"/>
            <w:shd w:fill="E8EEF5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6"/>
              </w:rPr>
              <w:t>关键符号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主菜单和测量/调试命令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display_tankopera.c:4157-4295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mainmenu, measuremenu, menu_cmdconfig_main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参数配置主菜单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display_tankopera.c:5207-5303, 5549-5838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menu_measure_config, menu_output_config, menu_comm_config, menu_display_config, menu_maint_config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参数分组枚举说明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display_tankopera.h:136-159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MenuGroup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参数到分组映射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display_tankopera.c:4746-4958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ParamGroupOf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自动生成参数菜单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display_tankopera.c:4969 起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menu_build_by_group / menu_build_by_filter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协议版本</w:t>
            </w:r>
          </w:p>
        </w:tc>
        <w:tc>
          <w:tcPr>
            <w:tcW w:type="dxa" w:w="4608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system_parameter.h:29</w:t>
            </w:r>
          </w:p>
        </w:tc>
        <w:tc>
          <w:tcPr>
            <w:tcW w:type="dxa" w:w="7416"/>
            <w:vAlign w:val="center"/>
            <w:tcMar>
              <w:top w:w="65" w:type="dxa"/>
              <w:bottom w:w="65" w:type="dxa"/>
              <w:start w:w="95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DEVICE_PROTOCOL_VERSION 13u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792" w:bottom="605" w:left="792" w:header="360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25C69"/>
        <w:sz w:val="16"/>
      </w:rPr>
      <w:t xml:space="preserve">第 </w:t>
    </w:r>
    <w:fldSimple w:instr="PAGE">
      <w:r/>
    </w:fldSimple>
    <w:r>
      <w:rPr>
        <w:rFonts w:ascii="Calibri" w:hAnsi="Calibri" w:eastAsia="Microsoft YaHei"/>
        <w:color w:val="525C6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b/>
        <w:color w:val="525C69"/>
        <w:sz w:val="16"/>
      </w:rPr>
      <w:t>LNG 计量仪屏幕菜单 | 现场速查与代码核对版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