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F6B0D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9" w:name="_Toc23368"/>
      <w:bookmarkStart w:id="50" w:name="_Toc15005"/>
      <w:r>
        <w:rPr>
          <w:rFonts w:hint="eastAsia" w:ascii="宋体" w:hAnsi="宋体" w:eastAsia="宋体" w:cs="宋体"/>
          <w:b/>
          <w:color w:val="auto"/>
          <w:sz w:val="22"/>
        </w:rPr>
        <w:t>6.13 输出配置 / AO输出</w:t>
      </w:r>
      <w:bookmarkEnd w:id="49"/>
      <w:bookmarkEnd w:id="50"/>
    </w:p>
    <w:p w14:paraId="5E51B37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/>
          <w:b w:val="0"/>
          <w:color w:val="000000"/>
          <w:sz w:val="17"/>
        </w:rPr>
        <w:t>AO 输出按“基本设置、量程设置、故障设置、运行状态、模拟设置”五组分别成表，共17项：12项持久参数、1项非持久运行态开关和4项只读运行状态。原AO错误等级槽和DAC回读继续作为内部隐藏/预留，不进入当前菜单。</w:t>
      </w:r>
    </w:p>
    <w:p w14:paraId="3A20F75E">
      <w:pPr>
        <w:pStyle w:val="15"/>
        <w:keepNext w:val="1"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/>
          <w:b/>
          <w:color w:val="000000"/>
          <w:sz w:val="17"/>
        </w:rPr>
        <w:t>表 6-13-1 输出配置 / AO 输出 / 基本设置</w:t>
      </w:r>
    </w:p>
    <w:tbl>
      <w:tblPr>
        <w:tblStyle w:val="37"/>
        <w:tblW w:w="9638" w:type="dxa"/>
        <w:jc w:val="center"/>
        <w:tblLayout w:type="fixed"/>
        <w:tblCellMar>
          <w:top w:w="74" w:type="dxa"/>
          <w:left w:w="110" w:type="dxa"/>
          <w:bottom w:w="74" w:type="dxa"/>
          <w:right w:w="110" w:type="dxa"/>
        </w:tblCellMar>
      </w:tblPr>
      <w:tblGrid>
        <w:gridCol w:w="1361"/>
        <w:gridCol w:w="4638"/>
        <w:gridCol w:w="2550"/>
        <w:gridCol w:w="1089"/>
      </w:tblGrid>
      <w:tr w14:paraId="4F846E61">
        <w:trPr>
          <w:cantSplit/>
          <w:tblHeader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5E8D5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参数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4E3DF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说明与配置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5B5722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范围与小数位数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E81BA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记录</w:t>
            </w: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工作模式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启用或禁用AO功能，并选择普通4-20mA输出或HART从站加输出。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接线、回路和上位系统尚未确认时保持禁用；启用后先用模拟电流做低风险核验。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备注：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禁用时输出保持3.40mA，电流修正不参与。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可写；0=禁用；1=4-20mA输出；2=HART从站+输出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 / 整数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0（禁用）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电流模式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选择AO过程电流和故障电流采用的边界规则，或切换为固定电流输出。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按项目规范和接收端要求选择NE、US或普通模式；选择固定电流时同步确认“固定电流”。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可写；0=NE 4-20mA；1=US 4-20mA；2=普通4-20mA；3=固定电流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 / 整数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0（NE 4-20mA）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输出源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选择参与AO量程换算的过程值来源。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切换输出源后立即复核0%和100%对应值，避免沿用不匹配的罐高或量程。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备注：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水位量程上限优先采用水位罐高，未配置时回退液位罐高。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可写；0=储罐液位；1=传感器位置；2=水位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 / 整数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0（储罐液位）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0"/>
            </w:pPr>
          </w:p>
        </w:tc>
      </w:tr>
    </w:tbl>
    <w:p w14:paraId="424EF2E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A20F75E">
      <w:pPr>
        <w:pStyle w:val="15"/>
        <w:keepNext w:val="1"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/>
          <w:b/>
          <w:color w:val="000000"/>
          <w:sz w:val="17"/>
        </w:rPr>
        <w:t>表 6-13-2 输出配置 / AO 输出 / 量程设置</w:t>
      </w:r>
    </w:p>
    <w:tbl>
      <w:tblPr>
        <w:tblStyle w:val="37"/>
        <w:tblW w:w="9638" w:type="dxa"/>
        <w:jc w:val="center"/>
        <w:tblLayout w:type="fixed"/>
        <w:tblCellMar>
          <w:top w:w="74" w:type="dxa"/>
          <w:left w:w="110" w:type="dxa"/>
          <w:bottom w:w="74" w:type="dxa"/>
          <w:right w:w="110" w:type="dxa"/>
        </w:tblCellMar>
      </w:tblPr>
      <w:tblGrid>
        <w:gridCol w:w="1361"/>
        <w:gridCol w:w="4638"/>
        <w:gridCol w:w="2550"/>
        <w:gridCol w:w="1089"/>
      </w:tblGrid>
      <w:tr w14:paraId="4F846E61">
        <w:trPr>
          <w:cantSplit/>
          <w:tblHeader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5E8D5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参数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4E3DF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说明与配置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5B5722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范围与小数位数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E81BA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记录</w:t>
            </w: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电流修正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在AO基础目标电流上统一叠加一次校准修正；覆盖初始、过程、固定、模拟、故障和保持路径。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先确认量程、接线和基础目标正确，再依据回路表实测偏差小步修正，避免用修正值掩盖配置错误。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备注：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禁用态不叠加；修正后的目标按3.20-24.00mA硬件边界限制。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可写；-1.00～+1.00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mA / 小数2位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0.00mA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固定电流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电流模式选择“固定电流”时，作为AO基础目标电流。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可用于恒流联调；退出固定模式后，应重新验证过程量输出。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可写；4.00～22.50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mA / 小数2位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4.00mA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0%对应值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定义4.00mA对应的过程值，与100%对应值共同构成AO量程。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必须与100%对应值不同；两值反向设置时形成反向输出。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可写；0～当前输出源量程上限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mm / 小数1位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0.0mm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100%对应值（100%值）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定义20.00mA对应的过程值，允许与0%对应值形成正向或反向量程。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确认单位和输出源一致；切换输出源后必须复核。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可写；0～当前输出源量程上限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mm / 小数1位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当前输出源罐高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阻尼系数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对AO过程输入应用一阶平滑；设置为0时不阻尼。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仅在过程值波动时逐步增加；数值过大会明显增加AO响应延迟。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可写；0.0～999.9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 / 小数1位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0.0s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0"/>
            </w:pPr>
          </w:p>
        </w:tc>
      </w:tr>
    </w:tbl>
    <w:p w14:paraId="424EF2E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A20F75E">
      <w:pPr>
        <w:pStyle w:val="15"/>
        <w:keepNext w:val="1"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/>
          <w:b/>
          <w:color w:val="000000"/>
          <w:sz w:val="17"/>
        </w:rPr>
        <w:t>表 6-13-3 输出配置 / AO 输出 / 故障设置</w:t>
      </w:r>
    </w:p>
    <w:tbl>
      <w:tblPr>
        <w:tblStyle w:val="37"/>
        <w:tblW w:w="9638" w:type="dxa"/>
        <w:jc w:val="center"/>
        <w:tblLayout w:type="fixed"/>
        <w:tblCellMar>
          <w:top w:w="74" w:type="dxa"/>
          <w:left w:w="110" w:type="dxa"/>
          <w:bottom w:w="74" w:type="dxa"/>
          <w:right w:w="110" w:type="dxa"/>
        </w:tblCellMar>
      </w:tblPr>
      <w:tblGrid>
        <w:gridCol w:w="1361"/>
        <w:gridCol w:w="4638"/>
        <w:gridCol w:w="2550"/>
        <w:gridCol w:w="1089"/>
      </w:tblGrid>
      <w:tr w14:paraId="4F846E61">
        <w:trPr>
          <w:cantSplit/>
          <w:tblHeader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5E8D5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参数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4E3DF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说明与配置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5B5722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范围与小数位数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E81BA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记录</w:t>
            </w: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故障动作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选择故障时输出预设故障电流，或保持最近一次成功的过程输出。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选择“保持上次”前确认工艺允许；若尚无可保持的成功过程值，则回退初始电流。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可写；0=故障电流；1=保持上次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 / 整数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0（故障电流）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故障电流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故障动作选择“故障电流”时使用的目标电流。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应与上位系统的低/高故障识别策略一致，并通过故障注入核验。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可写；3.40～22.60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mA / 小数2位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22.00mA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初始电流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启动后尚无有效过程值时使用；保持上次但尚无成功过程值时也作为回退。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结合启动时序核验，避免被上位系统误判为正常过程电流。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可写；3.40～22.60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mA / 小数2位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4.00mA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0"/>
            </w:pPr>
          </w:p>
        </w:tc>
      </w:tr>
    </w:tbl>
    <w:p w14:paraId="424EF2E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A20F75E">
      <w:pPr>
        <w:pStyle w:val="15"/>
        <w:keepNext w:val="1"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/>
          <w:b/>
          <w:color w:val="000000"/>
          <w:sz w:val="17"/>
        </w:rPr>
        <w:t>表 6-13-4 输出配置 / AO 输出 / 运行状态</w:t>
      </w:r>
    </w:p>
    <w:tbl>
      <w:tblPr>
        <w:tblStyle w:val="37"/>
        <w:tblW w:w="9638" w:type="dxa"/>
        <w:jc w:val="center"/>
        <w:tblLayout w:type="fixed"/>
        <w:tblCellMar>
          <w:top w:w="74" w:type="dxa"/>
          <w:left w:w="110" w:type="dxa"/>
          <w:bottom w:w="74" w:type="dxa"/>
          <w:right w:w="110" w:type="dxa"/>
        </w:tblCellMar>
      </w:tblPr>
      <w:tblGrid>
        <w:gridCol w:w="1361"/>
        <w:gridCol w:w="4638"/>
        <w:gridCol w:w="2550"/>
        <w:gridCol w:w="1089"/>
      </w:tblGrid>
      <w:tr w14:paraId="4F846E61">
        <w:trPr>
          <w:cantSplit/>
          <w:tblHeader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5E8D5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参数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4E3DF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说明与配置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5B5722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范围与小数位数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E81BA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记录</w:t>
            </w: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输出状态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显示AO当前目标来源或状态。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仅用于运行诊断，不作为参数写入入口；CPU2通信不可用时显示N/A。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备注：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状态包括初始、过程、故障、模拟、固定、禁用、驱动故障、保持和N/A。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只读；状态文字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输入值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显示AO当前使用的过程输入值。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固定、模拟、禁用等状态下可能显示N/A；应结合输出状态判断。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只读；无有效过程值时显示N/A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mm / 小数1位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输入比例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显示输入值相对0%和100%量程的计算比例。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比例可能超出0%～100%，实际输出仍受所选电流模式边界限制。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只读；无有效过程值时显示N/A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% / 最多小数2位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输出电流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显示最近一次成功写入AD5421的AO电流命令值。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用于核对软件命令，不替代回路表实测。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备注：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该值不是DAC回读，也不是物理环路实测值。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只读；无有效命令时显示N/A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mA / 小数2位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0"/>
            </w:pPr>
          </w:p>
        </w:tc>
      </w:tr>
    </w:tbl>
    <w:p w14:paraId="424EF2E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A20F75E">
      <w:pPr>
        <w:pStyle w:val="15"/>
        <w:keepNext w:val="1"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/>
          <w:b/>
          <w:color w:val="000000"/>
          <w:sz w:val="17"/>
        </w:rPr>
        <w:t>表 6-13-5 输出配置 / AO 输出 / 模拟设置</w:t>
      </w:r>
    </w:p>
    <w:tbl>
      <w:tblPr>
        <w:tblStyle w:val="37"/>
        <w:tblW w:w="9638" w:type="dxa"/>
        <w:jc w:val="center"/>
        <w:tblLayout w:type="fixed"/>
        <w:tblCellMar>
          <w:top w:w="74" w:type="dxa"/>
          <w:left w:w="110" w:type="dxa"/>
          <w:bottom w:w="74" w:type="dxa"/>
          <w:right w:w="110" w:type="dxa"/>
        </w:tblCellMar>
      </w:tblPr>
      <w:tblGrid>
        <w:gridCol w:w="1361"/>
        <w:gridCol w:w="4638"/>
        <w:gridCol w:w="2550"/>
        <w:gridCol w:w="1089"/>
      </w:tblGrid>
      <w:tr w14:paraId="4F846E61">
        <w:trPr>
          <w:cantSplit/>
          <w:tblHeader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5E8D5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参数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4E3DF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说明与配置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5B5722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范围与小数位数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E81BA">
            <w:pPr>
              <w:widowControl/>
              <w:spacing w:before="0" w:after="0" w:line="240" w:lineRule="auto"/>
              <w:jc w:val="center"/>
              <w:rPr>
                <w:kern w:val="0"/>
              </w:rPr>
              <w:keepNext w:val="1"/>
            </w:pPr>
            <w:r>
              <w:rPr>
                <w:rFonts w:ascii="宋体" w:hAnsi="宋体" w:cs="宋体"/>
                <w:b/>
                <w:kern w:val="0"/>
                <w:sz w:val="17"/>
              </w:rPr>
              <w:t>记录</w:t>
            </w: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输出模拟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开启或关闭AO模拟输出；开启后使用“模拟电流”作为目标。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开启前通知控制系统；调试结束立即恢复为“关”，并重新进入页面复核。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备注：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仅AO处于4-20mA输出或HART从站加输出模式时可编辑；该开关不持久化。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运行态可操作；0=关；1=开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- / 整数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0（关，上电默认）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1"/>
            </w:pPr>
          </w:p>
        </w:tc>
      </w:tr>
      <w:tr w14:paraId="26722BEC">
        <w:tblPrEx>
          <w:tblCellMar>
            <w:top w:w="74" w:type="dxa"/>
            <w:left w:w="110" w:type="dxa"/>
            <w:bottom w:w="74" w:type="dxa"/>
            <w:right w:w="110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模拟电流</w:t>
            </w:r>
          </w:p>
        </w:tc>
        <w:tc>
          <w:tcPr>
            <w:tcW w:w="4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参数介绍：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输出模拟开启时使用的目标电流；该目标仍会叠加电流修正。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配置建议：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建议按4mA、12mA、20mA分点核验，并同时记录屏幕命令值和回路表实测值。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权限/范围：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可写；3.40～23.00</w:t>
            </w:r>
          </w:p>
          <w:p>
            <w:pPr>
              <w:spacing w:before="0" w:after="0" w:line="240" w:lineRule="auto"/>
              <w:jc w:val="left"/>
              <w:keepNext w:val="1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单位/小数：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mA / 小数2位</w:t>
            </w:r>
          </w:p>
          <w:p>
            <w:pPr>
              <w:spacing w:before="0" w:after="0" w:line="240" w:lineRule="auto"/>
              <w:jc w:val="left"/>
              <w:keepNext w:val="0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默认值：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12.00mA</w:t>
            </w:r>
          </w:p>
        </w:tc>
        <w:tc>
          <w:tcPr>
            <w:tcW w:w="1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0" w:after="0" w:line="240" w:lineRule="auto"/>
              <w:jc w:val="both"/>
              <w:keepNext w:val="0"/>
            </w:pPr>
          </w:p>
        </w:tc>
      </w:tr>
    </w:tbl>
    <w:p w14:paraId="424EF2E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9" w:right="1049" w:bottom="879" w:left="1049" w:header="283" w:footer="386" w:gutter="0"/>
      <w:pgNumType w:fmt="decimal"/>
      <w:cols w:space="720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74242">
    <w:pPr>
      <w:spacing w:before="0" w:after="80"/>
      <w:jc w:val="right"/>
    </w:pPr>
    <w:r>
      <w:rPr>
        <w:rFonts w:ascii="Calibri" w:hAnsi="Calibri" w:eastAsia="微软雅黑" w:cs="Calibri"/>
        <w:color w:val="000000"/>
        <w:sz w:val="16"/>
      </w:rPr>
      <w:t xml:space="preserve">第 </w:t>
    </w:r>
    <w:r>
      <w:rPr>
        <w:rFonts w:ascii="Calibri" w:hAnsi="Calibri" w:eastAsia="微软雅黑" w:cs="Calibri"/>
        <w:color w:val="000000"/>
        <w:sz w:val="16"/>
      </w:rPr>
      <w:fldChar w:fldCharType="begin"/>
    </w:r>
    <w:r>
      <w:rPr>
        <w:rFonts w:ascii="Calibri" w:hAnsi="Calibri" w:eastAsia="微软雅黑" w:cs="Calibri"/>
        <w:color w:val="000000"/>
        <w:sz w:val="16"/>
      </w:rPr>
      <w:instrText xml:space="preserve"> PAGE </w:instrText>
    </w:r>
    <w:r>
      <w:rPr>
        <w:rFonts w:ascii="Calibri" w:hAnsi="Calibri" w:eastAsia="微软雅黑" w:cs="Calibri"/>
        <w:color w:val="000000"/>
        <w:sz w:val="16"/>
      </w:rPr>
      <w:fldChar w:fldCharType="separate"/>
    </w:r>
    <w:r>
      <w:rPr>
        <w:rFonts w:ascii="Calibri" w:hAnsi="Calibri" w:eastAsia="微软雅黑" w:cs="Calibri"/>
        <w:color w:val="000000"/>
        <w:sz w:val="16"/>
      </w:rPr>
      <w:t>29</w:t>
    </w:r>
    <w:r>
      <w:rPr>
        <w:rFonts w:ascii="Calibri" w:hAnsi="Calibri" w:eastAsia="微软雅黑" w:cs="Calibri"/>
        <w:color w:val="000000"/>
        <w:sz w:val="16"/>
      </w:rPr>
      <w:fldChar w:fldCharType="end"/>
    </w:r>
    <w:r>
      <w:rPr>
        <w:rFonts w:ascii="Calibri" w:hAnsi="Calibri" w:eastAsia="微软雅黑" w:cs="Calibri"/>
        <w:color w:val="000000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28F87">
    <w:pPr>
      <w:widowControl/>
      <w:bidi w:val="0"/>
      <w:spacing w:before="0" w:after="80" w:line="276" w:lineRule="auto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FCC33">
    <w:pPr>
      <w:widowControl/>
      <w:bidi w:val="0"/>
      <w:spacing w:before="0" w:after="80" w:line="276" w:lineRule="auto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0E30">
    <w:pPr>
      <w:pStyle w:val="15"/>
      <w:pBdr>
        <w:bottom w:val="thinThickSmallGap" w:color="000000" w:sz="12" w:space="0"/>
      </w:pBdr>
      <w:spacing w:before="40" w:after="60"/>
      <w:jc w:val="both"/>
    </w:pPr>
    <w:r>
      <w:drawing>
        <wp:inline distT="0" distB="0" distL="0" distR="0">
          <wp:extent cx="1209675" cy="194310"/>
          <wp:effectExtent l="0" t="0" r="0" b="0"/>
          <wp:docPr id="1" name="图片 8" descr="QQ图片20191205145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QQ图片2019120514582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94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  <w:color w:val="000000"/>
      </w:rPr>
      <w:t xml:space="preserve">                                                                </w:t>
    </w:r>
    <w:r>
      <w:rPr>
        <w:rFonts w:hint="eastAsia" w:ascii="华文楷体" w:hAnsi="华文楷体" w:cs="华文楷体"/>
        <w:color w:val="000000"/>
      </w:rPr>
      <w:t>精工智造     完美服务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73D1C">
    <w:pPr>
      <w:pStyle w:val="15"/>
      <w:pBdr>
        <w:bottom w:val="single" w:color="000000" w:sz="4" w:space="1"/>
      </w:pBdr>
      <w:spacing w:before="40" w:after="60"/>
      <w:jc w:val="both"/>
    </w:pPr>
    <w:r>
      <w:fldChar w:fldCharType="begin"/>
    </w:r>
    <w:r>
      <w:instrText xml:space="preserve"> DOCPROPERTY "文件编号"</w:instrText>
    </w:r>
    <w:r>
      <w:fldChar w:fldCharType="separate"/>
    </w:r>
    <w:r>
      <w:t>KF-0611-3-105</w:t>
    </w:r>
    <w:r>
      <w:fldChar w:fldCharType="end"/>
    </w:r>
    <w:r>
      <w:rPr>
        <w:rFonts w:hint="eastAsia"/>
        <w:lang w:val="en-GB"/>
      </w:rPr>
      <w:t>（</w:t>
    </w:r>
    <w:r>
      <w:fldChar w:fldCharType="begin"/>
    </w:r>
    <w:r>
      <w:instrText xml:space="preserve"> DOCPROPERTY "版本"</w:instrText>
    </w:r>
    <w:r>
      <w:fldChar w:fldCharType="separate"/>
    </w:r>
    <w:r>
      <w:t>1.0</w:t>
    </w:r>
    <w:r>
      <w:fldChar w:fldCharType="end"/>
    </w:r>
    <w:r>
      <w:rPr>
        <w:rFonts w:hint="eastAsia"/>
        <w:lang w:val="en-GB"/>
      </w:rPr>
      <w:t>）</w:t>
    </w:r>
  </w:p>
  <w:p w14:paraId="6432B5FB"/>
  <w:p w14:paraId="759BE92F">
    <w:pPr>
      <w:widowControl/>
      <w:bidi w:val="0"/>
      <w:spacing w:before="0" w:after="80" w:line="276" w:lineRule="auto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4E21A">
    <w:pPr>
      <w:pStyle w:val="15"/>
      <w:pBdr>
        <w:bottom w:val="thinThickSmallGap" w:color="000000" w:sz="12" w:space="0"/>
      </w:pBdr>
      <w:spacing w:before="40" w:after="60"/>
      <w:jc w:val="both"/>
      <w:rPr>
        <w:rFonts w:hint="eastAsia" w:ascii="华文楷体" w:hAnsi="华文楷体" w:cs="华文楷体"/>
      </w:rPr>
    </w:pPr>
    <w:r>
      <w:drawing>
        <wp:inline distT="0" distB="0" distL="0" distR="0">
          <wp:extent cx="1209675" cy="194310"/>
          <wp:effectExtent l="0" t="0" r="0" b="0"/>
          <wp:docPr id="2" name="图片 1" descr="QQ图片20191205145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QQ图片2019120514582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94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  <w:color w:val="000000"/>
      </w:rPr>
      <w:t xml:space="preserve">                                                                </w:t>
    </w:r>
    <w:r>
      <w:rPr>
        <w:rFonts w:hint="eastAsia" w:ascii="华文楷体" w:hAnsi="华文楷体" w:cs="华文楷体"/>
        <w:color w:val="000000"/>
      </w:rPr>
      <w:t>精工智造     完美服务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71D1A"/>
    <w:multiLevelType w:val="singleLevel"/>
    <w:tmpl w:val="A0771D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CAA615D9"/>
    <w:multiLevelType w:val="singleLevel"/>
    <w:tmpl w:val="CAA615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66C50452"/>
    <w:multiLevelType w:val="singleLevel"/>
    <w:tmpl w:val="66C504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00295"/>
    <w:rsid w:val="038756C6"/>
    <w:rsid w:val="091546EA"/>
    <w:rsid w:val="1638727B"/>
    <w:rsid w:val="1CB83B05"/>
    <w:rsid w:val="216E6218"/>
    <w:rsid w:val="24704055"/>
    <w:rsid w:val="2CEC04AE"/>
    <w:rsid w:val="2D033BD8"/>
    <w:rsid w:val="2FCD7F4F"/>
    <w:rsid w:val="377E0E03"/>
    <w:rsid w:val="46E44703"/>
    <w:rsid w:val="5150297B"/>
    <w:rsid w:val="51BA678C"/>
    <w:rsid w:val="572D42D7"/>
    <w:rsid w:val="58D75E75"/>
    <w:rsid w:val="61C955FD"/>
    <w:rsid w:val="63293771"/>
    <w:rsid w:val="6BDF54BA"/>
    <w:rsid w:val="6E525BD7"/>
    <w:rsid w:val="6FCC42AC"/>
    <w:rsid w:val="71BB5E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80" w:line="276" w:lineRule="auto"/>
      <w:jc w:val="left"/>
    </w:pPr>
    <w:rPr>
      <w:rFonts w:ascii="宋体" w:hAnsi="宋体" w:eastAsia="宋体" w:cstheme="minorBidi"/>
      <w:color w:val="000000"/>
      <w:kern w:val="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160" w:after="80" w:line="245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9"/>
      <w:szCs w:val="28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spacing w:before="120" w:after="80" w:line="245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unhideWhenUsed/>
    <w:qFormat/>
    <w:uiPriority w:val="9"/>
    <w:pPr>
      <w:keepNext/>
      <w:keepLines/>
      <w:spacing w:before="120" w:after="80" w:line="245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dark1" w:themeTint="BF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pacing w:before="0" w:after="80"/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before="0" w:after="80"/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before="0" w:after="8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40" w:after="60" w:line="240" w:lineRule="auto"/>
    </w:pPr>
    <w:rPr>
      <w:rFonts w:ascii="宋体" w:hAnsi="宋体" w:eastAsia="宋体" w:cs="Calibri"/>
      <w:b/>
      <w:bCs/>
      <w:color w:val="4F81BD" w:themeColor="accent1"/>
      <w:sz w:val="17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80"/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before="0"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pacing w:before="0" w:after="80"/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before="0" w:after="80" w:line="276" w:lineRule="auto"/>
    </w:pPr>
    <w:rPr>
      <w:rFonts w:ascii="宋体" w:hAnsi="宋体" w:eastAsia="宋体"/>
      <w:color w:val="000000"/>
      <w:sz w:val="19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spacing w:before="0" w:after="80"/>
      <w:contextualSpacing/>
    </w:pPr>
  </w:style>
  <w:style w:type="paragraph" w:styleId="21">
    <w:name w:val="List 2"/>
    <w:basedOn w:val="1"/>
    <w:unhideWhenUsed/>
    <w:qFormat/>
    <w:uiPriority w:val="99"/>
    <w:pPr>
      <w:spacing w:before="0" w:after="80"/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before="0" w:after="80"/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index heading"/>
    <w:basedOn w:val="29"/>
    <w:uiPriority w:val="0"/>
  </w:style>
  <w:style w:type="paragraph" w:customStyle="1" w:styleId="29">
    <w:name w:val="标题样式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30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List"/>
    <w:basedOn w:val="1"/>
    <w:unhideWhenUsed/>
    <w:qFormat/>
    <w:uiPriority w:val="99"/>
    <w:pPr>
      <w:spacing w:before="0" w:after="80"/>
      <w:ind w:left="360" w:hanging="360"/>
      <w:contextualSpacing/>
    </w:pPr>
  </w:style>
  <w:style w:type="paragraph" w:styleId="32">
    <w:name w:val="toc 2"/>
    <w:basedOn w:val="1"/>
    <w:next w:val="1"/>
    <w:semiHidden/>
    <w:unhideWhenUsed/>
    <w:qFormat/>
    <w:uiPriority w:val="39"/>
    <w:pPr>
      <w:ind w:leftChars="200"/>
    </w:pPr>
  </w:style>
  <w:style w:type="paragraph" w:styleId="33">
    <w:name w:val="Body Text 2"/>
    <w:basedOn w:val="1"/>
    <w:link w:val="149"/>
    <w:unhideWhenUsed/>
    <w:qFormat/>
    <w:uiPriority w:val="99"/>
    <w:pPr>
      <w:spacing w:before="0" w:after="120" w:line="480" w:lineRule="auto"/>
    </w:pPr>
  </w:style>
  <w:style w:type="paragraph" w:styleId="34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6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"/>
      <w:sz w:val="56"/>
      <w:szCs w:val="52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  <w:tblStylePr w:type="band2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  <w:tblStylePr w:type="band2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  <w:tblStylePr w:type="band2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  <w:tblStylePr w:type="band2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  <w:tblStylePr w:type="band2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  <w:tblStylePr w:type="band2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  <w:tblStylePr w:type="band2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000000" w:themeColor="tex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F81BD" w:themeColor="accen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C0504D" w:themeColor="accent2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9BBB59" w:themeColor="accent3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8064A2" w:themeColor="accent4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BACC6" w:themeColor="accent5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F79646" w:themeColor="accent6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000000" w:themeColor="tex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F81BD" w:themeColor="accen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F81BD" w:themeColor="accen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C0504D" w:themeColor="accent2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C0504D" w:themeColor="accent2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9BBB59" w:themeColor="accent3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9BBB59" w:themeColor="accent3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8064A2" w:themeColor="accent4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8064A2" w:themeColor="accent4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BACC6" w:themeColor="accent5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BACC6" w:themeColor="accent5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79646" w:themeColor="accent6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79646" w:themeColor="accent6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  <w:insideV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  <w:insideV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  <w:insideV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  <w:insideV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  <w:insideV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  <w:insideV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  <w:insideV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8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7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2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4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yperlink"/>
    <w:uiPriority w:val="0"/>
    <w:rPr>
      <w:color w:val="000080"/>
      <w:u w:val="single"/>
    </w:rPr>
  </w:style>
  <w:style w:type="character" w:customStyle="1" w:styleId="141">
    <w:name w:val="Header Char"/>
    <w:basedOn w:val="137"/>
    <w:link w:val="26"/>
    <w:qFormat/>
    <w:uiPriority w:val="99"/>
  </w:style>
  <w:style w:type="character" w:customStyle="1" w:styleId="142">
    <w:name w:val="Footer Char"/>
    <w:basedOn w:val="137"/>
    <w:link w:val="25"/>
    <w:qFormat/>
    <w:uiPriority w:val="99"/>
  </w:style>
  <w:style w:type="character" w:customStyle="1" w:styleId="143">
    <w:name w:val="Heading 1 Char"/>
    <w:basedOn w:val="137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4">
    <w:name w:val="Heading 2 Char"/>
    <w:basedOn w:val="137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7"/>
    <w:link w:val="36"/>
    <w:qFormat/>
    <w:uiPriority w:val="10"/>
    <w:rPr>
      <w:rFonts w:asciiTheme="majorHAnsi" w:hAnsiTheme="majorHAnsi" w:eastAsiaTheme="majorEastAsia" w:cstheme="majorBidi"/>
      <w:color w:val="000000"/>
      <w:spacing w:val="5"/>
      <w:kern w:val="2"/>
      <w:sz w:val="52"/>
      <w:szCs w:val="52"/>
    </w:rPr>
  </w:style>
  <w:style w:type="character" w:customStyle="1" w:styleId="147">
    <w:name w:val="Subtitle Char"/>
    <w:basedOn w:val="137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8">
    <w:name w:val="Body Text Char"/>
    <w:basedOn w:val="137"/>
    <w:link w:val="19"/>
    <w:qFormat/>
    <w:uiPriority w:val="99"/>
  </w:style>
  <w:style w:type="character" w:customStyle="1" w:styleId="149">
    <w:name w:val="Body Text 2 Char"/>
    <w:basedOn w:val="137"/>
    <w:link w:val="33"/>
    <w:qFormat/>
    <w:uiPriority w:val="99"/>
  </w:style>
  <w:style w:type="character" w:customStyle="1" w:styleId="150">
    <w:name w:val="Body Text 3 Char"/>
    <w:basedOn w:val="137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2">
    <w:name w:val="Quote Char"/>
    <w:basedOn w:val="137"/>
    <w:link w:val="153"/>
    <w:qFormat/>
    <w:uiPriority w:val="29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153">
    <w:name w:val="Quote"/>
    <w:basedOn w:val="1"/>
    <w:next w:val="1"/>
    <w:link w:val="152"/>
    <w:qFormat/>
    <w:uiPriority w:val="29"/>
    <w:rPr>
      <w:i/>
      <w:iCs/>
      <w:color w:val="000000" w:themeColor="dark1"/>
      <w14:textFill>
        <w14:solidFill>
          <w14:schemeClr w14:val="dk1"/>
        </w14:solidFill>
      </w14:textFill>
    </w:rPr>
  </w:style>
  <w:style w:type="character" w:customStyle="1" w:styleId="154">
    <w:name w:val="Heading 4 Char"/>
    <w:basedOn w:val="13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6">
    <w:name w:val="Heading 6 Char"/>
    <w:basedOn w:val="137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7">
    <w:name w:val="Heading 7 Char"/>
    <w:basedOn w:val="137"/>
    <w:semiHidden/>
    <w:qFormat/>
    <w:uiPriority w:val="9"/>
    <w:rPr>
      <w:rFonts w:asciiTheme="majorHAnsi" w:hAnsiTheme="majorHAnsi" w:eastAsiaTheme="majorEastAsia" w:cstheme="majorBidi"/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7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7"/>
    <w:semiHidden/>
    <w:qFormat/>
    <w:uiPriority w:val="9"/>
    <w:rPr>
      <w:rFonts w:asciiTheme="majorHAnsi" w:hAnsiTheme="majorHAnsi" w:eastAsiaTheme="majorEastAsia" w:cstheme="majorBidi"/>
      <w:i/>
      <w:iCs/>
      <w:color w:val="404040" w:themeColor="dark1" w:themeTint="BF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160">
    <w:name w:val="Intense Quote Char"/>
    <w:basedOn w:val="137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1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7"/>
    <w:qFormat/>
    <w:uiPriority w:val="19"/>
    <w:rPr>
      <w:i/>
      <w:iCs/>
      <w:color w:val="808080" w:themeColor="dark1" w:themeTint="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7"/>
    <w:qFormat/>
    <w:uiPriority w:val="33"/>
    <w:rPr>
      <w:b/>
      <w:bCs/>
      <w:smallCaps/>
      <w:spacing w:val="5"/>
    </w:rPr>
  </w:style>
  <w:style w:type="character" w:customStyle="1" w:styleId="167">
    <w:name w:val="索引链接"/>
    <w:qFormat/>
    <w:uiPriority w:val="0"/>
  </w:style>
  <w:style w:type="paragraph" w:customStyle="1" w:styleId="168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69">
    <w:name w:val="页眉与页脚"/>
    <w:basedOn w:val="1"/>
    <w:qFormat/>
    <w:uiPriority w:val="0"/>
  </w:style>
  <w:style w:type="paragraph" w:styleId="170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71">
    <w:name w:val="List Paragraph"/>
    <w:basedOn w:val="1"/>
    <w:qFormat/>
    <w:uiPriority w:val="34"/>
    <w:pPr>
      <w:spacing w:before="0" w:after="80"/>
      <w:ind w:left="720"/>
      <w:contextualSpacing/>
    </w:pPr>
  </w:style>
  <w:style w:type="paragraph" w:customStyle="1" w:styleId="172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3">
    <w:name w:val="框架内容"/>
    <w:basedOn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5443</Words>
  <Characters>6245</Characters>
  <Paragraphs>1875</Paragraphs>
  <TotalTime>4</TotalTime>
  <ScaleCrop>false</ScaleCrop>
  <LinksUpToDate>false</LinksUpToDate>
  <CharactersWithSpaces>6653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格式继承自原文档；6.13按基本设置、量程设置、故障设置、运行状态、模拟设置分为五张表。</dc:description>
  <cp:lastModifiedBy>admin</cp:lastModifiedBy>
  <dcterms:modified xsi:type="dcterms:W3CDTF">2026-07-27T02:40:21Z</dcterms:modified>
  <dc:subject>用于复制替换LNG计量仪屏幕菜单原文档6.13小节</dc:subject>
  <dc:title>6.13 输出配置 / AO输出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8129ECBF267341D795AB5EFD4945F95A_12</vt:lpwstr>
  </property>
  <property fmtid="{D5CDD505-2E9C-101B-9397-08002B2CF9AE}" pid="3" name="KSOProductBuildVer">
    <vt:lpwstr>2052-12.1.0.26884</vt:lpwstr>
  </property>
  <property fmtid="{D5CDD505-2E9C-101B-9397-08002B2CF9AE}" pid="4" name="KSOTemplateDocerSaveRecord">
    <vt:lpwstr>eyJoZGlkIjoiYTVhODZkMjgyOWFhMjNkYjlmODJkZDU3MjJlYjI1NDkiLCJ1c2VySWQiOiIxMjA0MTQyODE0In0=</vt:lpwstr>
  </property>
</Properties>
</file>