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EF418">
      <w:pPr>
        <w:pStyle w:val="30"/>
        <w:spacing w:before="1600"/>
        <w:jc w:val="center"/>
      </w:pPr>
      <w:bookmarkStart w:id="15" w:name="_GoBack"/>
      <w:bookmarkEnd w:id="15"/>
      <w:r>
        <w:rPr>
          <w:rFonts w:ascii="Times New Roman" w:hAnsi="Times New Roman" w:eastAsia="华文楷体"/>
          <w:b/>
          <w:sz w:val="48"/>
        </w:rPr>
        <w:t>DSM系列储罐在线自动计量仪</w:t>
      </w:r>
    </w:p>
    <w:p w14:paraId="27428E1D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74BAC7C4">
      <w:pPr>
        <w:spacing w:before="520"/>
        <w:jc w:val="center"/>
      </w:pPr>
      <w:r>
        <w:rPr>
          <w:rFonts w:ascii="Times New Roman" w:hAnsi="Times New Roman" w:eastAsia="华文楷体"/>
          <w:b/>
          <w:sz w:val="36"/>
        </w:rPr>
        <w:t>总册 - 文档控制与总体说明</w:t>
      </w:r>
    </w:p>
    <w:p w14:paraId="26BA2832">
      <w:pPr>
        <w:spacing w:before="360"/>
        <w:jc w:val="center"/>
      </w:pPr>
      <w:r>
        <w:rPr>
          <w:rFonts w:ascii="Times New Roman" w:hAnsi="Times New Roman" w:eastAsia="华文楷体"/>
          <w:b w:val="0"/>
          <w:sz w:val="28"/>
        </w:rPr>
        <w:t>V0.1  编制稿</w:t>
      </w:r>
    </w:p>
    <w:p w14:paraId="2DF845D3">
      <w:pPr>
        <w:spacing w:before="2500"/>
        <w:jc w:val="center"/>
      </w:pPr>
      <w:r>
        <w:rPr>
          <w:rFonts w:ascii="Times New Roman" w:hAnsi="Times New Roman" w:eastAsia="华文楷体"/>
          <w:b/>
          <w:sz w:val="28"/>
        </w:rPr>
        <w:t>青岛澳邦量器有限责任公司</w:t>
      </w:r>
    </w:p>
    <w:p w14:paraId="7A51D56E">
      <w:pPr>
        <w:spacing w:before="200"/>
        <w:jc w:val="center"/>
      </w:pPr>
      <w:r>
        <w:rPr>
          <w:rFonts w:ascii="Times New Roman" w:hAnsi="Times New Roman" w:eastAsia="华文楷体"/>
          <w:b w:val="0"/>
          <w:sz w:val="22"/>
        </w:rPr>
        <w:t>2026-07-31</w:t>
      </w:r>
    </w:p>
    <w:p w14:paraId="28566D82">
      <w:pPr>
        <w:sectPr>
          <w:footerReference r:id="rId7" w:type="first"/>
          <w:headerReference r:id="rId5" w:type="default"/>
          <w:footerReference r:id="rId6" w:type="default"/>
          <w:pgSz w:w="11906" w:h="16838"/>
          <w:pgMar w:top="1440" w:right="1797" w:bottom="1440" w:left="1797" w:header="454" w:footer="454" w:gutter="0"/>
          <w:pgNumType w:fmt="decimal" w:start="1"/>
          <w:cols w:space="720" w:num="1"/>
          <w:docGrid w:type="linesAndChars" w:linePitch="312" w:charSpace="0"/>
        </w:sectPr>
      </w:pPr>
    </w:p>
    <w:p w14:paraId="3E82F675">
      <w:pPr>
        <w:pStyle w:val="2"/>
      </w:pPr>
      <w:bookmarkStart w:id="0" w:name="_Toc29223"/>
      <w:r>
        <w:t>文档信息</w:t>
      </w:r>
      <w:bookmarkEnd w:id="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458"/>
        <w:gridCol w:w="2223"/>
        <w:gridCol w:w="3775"/>
      </w:tblGrid>
      <w:tr w14:paraId="2AF1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684D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FEA9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F35E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59FC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</w:tr>
      <w:tr w14:paraId="29A73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E00C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文档编号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33C4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FX01-SDD-CPU2-00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0F78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2037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</w:tr>
      <w:tr w14:paraId="6055A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7962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文档名称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11D2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CPU2软件详细设计总册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0FEA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文件状态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28A1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编制稿</w:t>
            </w:r>
          </w:p>
        </w:tc>
      </w:tr>
      <w:tr w14:paraId="36796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E188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起始版本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350A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V1.36.1.0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D701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CPU3 配套版本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715B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V1.36.0.0</w:t>
            </w:r>
          </w:p>
        </w:tc>
      </w:tr>
      <w:tr w14:paraId="21703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EB04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共享协议版本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E124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DC1C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参数存储版本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C828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</w:t>
            </w:r>
          </w:p>
        </w:tc>
      </w:tr>
      <w:tr w14:paraId="4D2B8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094A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起始分支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F78E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MAIN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CFA3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 HEAD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425A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66d5c062bf672e1d2e49ff78f1c770c6e33f98dd</w:t>
            </w:r>
          </w:p>
        </w:tc>
      </w:tr>
      <w:tr w14:paraId="72960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BE22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编制日期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0683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A98B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编制单位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B94A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青岛澳邦量器有限责任公司</w:t>
            </w:r>
          </w:p>
        </w:tc>
      </w:tr>
    </w:tbl>
    <w:p w14:paraId="7C094C7A"/>
    <w:p w14:paraId="04BD53C1">
      <w:pPr>
        <w:pStyle w:val="2"/>
      </w:pPr>
      <w:bookmarkStart w:id="1" w:name="_Toc31179"/>
      <w:r>
        <w:t>版本记录</w:t>
      </w:r>
      <w:bookmarkEnd w:id="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07908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A431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版本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416F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日期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FB9A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修订内容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AFA2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C6B2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57B3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批准</w:t>
            </w:r>
          </w:p>
        </w:tc>
      </w:tr>
      <w:tr w14:paraId="5CF8E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0787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36F9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6CDD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建立分卷体系、起始基线、统一证据状态和总风险入口。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757D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Codex 协助编制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CE67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1628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待批准</w:t>
            </w:r>
          </w:p>
        </w:tc>
      </w:tr>
    </w:tbl>
    <w:p w14:paraId="435AAF97"/>
    <w:p w14:paraId="64CBC0A7">
      <w:pPr>
        <w:pStyle w:val="2"/>
      </w:pPr>
      <w:bookmarkStart w:id="2" w:name="_Toc3156"/>
      <w:r>
        <w:t>编制状态说明</w:t>
      </w:r>
      <w:bookmarkEnd w:id="2"/>
    </w:p>
    <w:p w14:paraId="265CBDB0">
      <w:pPr>
        <w:keepLines/>
      </w:pPr>
      <w:r>
        <w:rPr>
          <w:rFonts w:ascii="Times New Roman" w:hAnsi="Times New Roman" w:eastAsia="华文楷体"/>
          <w:sz w:val="21"/>
        </w:rPr>
        <w:t>本册为 V0.1 编制稿，内容按当前工作区源码进行首轮静态盘点。起始工作区存在尚未提交的 CPU2 源码修改，因此本册不能作为最终发布基线。“源码已核对”只说明已找到对应代码证据，不等于构建、台架、现场、故障注入或 SIL 认证验证已经完成。</w:t>
      </w:r>
    </w:p>
    <w:p w14:paraId="1715BE95">
      <w:pPr>
        <w:pStyle w:val="2"/>
      </w:pPr>
      <w:bookmarkStart w:id="3" w:name="_Toc21708"/>
      <w:r>
        <w:t>目录</w:t>
      </w:r>
      <w:bookmarkEnd w:id="3"/>
    </w:p>
    <w:p w14:paraId="22F400B9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_Toc29223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文档信息</w:t>
      </w:r>
      <w:r>
        <w:tab/>
      </w:r>
      <w:r>
        <w:fldChar w:fldCharType="begin"/>
      </w:r>
      <w:r>
        <w:instrText xml:space="preserve"> PAGEREF _Toc29223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D10094F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_Toc31179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版本记录</w:t>
      </w:r>
      <w:r>
        <w:tab/>
      </w:r>
      <w:r>
        <w:fldChar w:fldCharType="begin"/>
      </w:r>
      <w:r>
        <w:instrText xml:space="preserve"> PAGEREF _Toc31179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5902960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_Toc3156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编制状态说明</w:t>
      </w:r>
      <w:r>
        <w:tab/>
      </w:r>
      <w:r>
        <w:fldChar w:fldCharType="begin"/>
      </w:r>
      <w:r>
        <w:instrText xml:space="preserve"> PAGEREF _Toc3156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5B016A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_Toc21708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目录</w:t>
      </w:r>
      <w:r>
        <w:tab/>
      </w:r>
      <w:r>
        <w:fldChar w:fldCharType="begin"/>
      </w:r>
      <w:r>
        <w:instrText xml:space="preserve"> PAGEREF _Toc21708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4A3872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_Toc17885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概述</w:t>
      </w:r>
      <w:r>
        <w:tab/>
      </w:r>
      <w:r>
        <w:fldChar w:fldCharType="begin"/>
      </w:r>
      <w:r>
        <w:instrText xml:space="preserve"> PAGEREF _Toc17885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3B1AB8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_Toc29492 </w:instrText>
      </w:r>
      <w:r>
        <w:fldChar w:fldCharType="separate"/>
      </w:r>
      <w:r>
        <w:rPr>
          <w:rFonts w:hint="eastAsia"/>
        </w:rPr>
        <w:t xml:space="preserve">5.1 </w:t>
      </w:r>
      <w:r>
        <w:t>编写目标</w:t>
      </w:r>
      <w:r>
        <w:tab/>
      </w:r>
      <w:r>
        <w:fldChar w:fldCharType="begin"/>
      </w:r>
      <w:r>
        <w:instrText xml:space="preserve"> PAGEREF _Toc29492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32C175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_Toc2496 </w:instrText>
      </w:r>
      <w:r>
        <w:fldChar w:fldCharType="separate"/>
      </w:r>
      <w:r>
        <w:rPr>
          <w:rFonts w:hint="eastAsia"/>
        </w:rPr>
        <w:t xml:space="preserve">5.2 </w:t>
      </w:r>
      <w:r>
        <w:t>适用范围</w:t>
      </w:r>
      <w:r>
        <w:tab/>
      </w:r>
      <w:r>
        <w:fldChar w:fldCharType="begin"/>
      </w:r>
      <w:r>
        <w:instrText xml:space="preserve"> PAGEREF _Toc2496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FDEA14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_Toc18903 </w:instrText>
      </w:r>
      <w:r>
        <w:fldChar w:fldCharType="separate"/>
      </w:r>
      <w:r>
        <w:rPr>
          <w:rFonts w:hint="eastAsia"/>
        </w:rPr>
        <w:t xml:space="preserve">5.3 </w:t>
      </w:r>
      <w:r>
        <w:t>不适用结论</w:t>
      </w:r>
      <w:r>
        <w:tab/>
      </w:r>
      <w:r>
        <w:fldChar w:fldCharType="begin"/>
      </w:r>
      <w:r>
        <w:instrText xml:space="preserve"> PAGEREF _Toc18903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E8EEB4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_Toc8204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起始基线</w:t>
      </w:r>
      <w:r>
        <w:tab/>
      </w:r>
      <w:r>
        <w:fldChar w:fldCharType="begin"/>
      </w:r>
      <w:r>
        <w:instrText xml:space="preserve"> PAGEREF _Toc8204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4F168EA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_Toc13551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分卷组成</w:t>
      </w:r>
      <w:r>
        <w:tab/>
      </w:r>
      <w:r>
        <w:fldChar w:fldCharType="begin"/>
      </w:r>
      <w:r>
        <w:instrText xml:space="preserve"> PAGEREF _Toc13551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C86A3C1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_Toc24304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软件总体上下文</w:t>
      </w:r>
      <w:r>
        <w:tab/>
      </w:r>
      <w:r>
        <w:fldChar w:fldCharType="begin"/>
      </w:r>
      <w:r>
        <w:instrText xml:space="preserve"> PAGEREF _Toc24304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1C3E3B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_Toc22880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统一证据状态</w:t>
      </w:r>
      <w:r>
        <w:tab/>
      </w:r>
      <w:r>
        <w:fldChar w:fldCharType="begin"/>
      </w:r>
      <w:r>
        <w:instrText xml:space="preserve"> PAGEREF _Toc22880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F0546E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_Toc10600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跨卷设计约束</w:t>
      </w:r>
      <w:r>
        <w:tab/>
      </w:r>
      <w:r>
        <w:fldChar w:fldCharType="begin"/>
      </w:r>
      <w:r>
        <w:instrText xml:space="preserve"> PAGEREF _Toc10600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10AF30F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_Toc16693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11. </w:t>
      </w:r>
      <w:r>
        <w:t>首轮问题和风险总表</w:t>
      </w:r>
      <w:r>
        <w:tab/>
      </w:r>
      <w:r>
        <w:fldChar w:fldCharType="begin"/>
      </w:r>
      <w:r>
        <w:instrText xml:space="preserve"> PAGEREF _Toc16693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74AD39B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_Toc20557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12. </w:t>
      </w:r>
      <w:r>
        <w:t>相关文件</w:t>
      </w:r>
      <w:r>
        <w:tab/>
      </w:r>
      <w:r>
        <w:fldChar w:fldCharType="begin"/>
      </w:r>
      <w:r>
        <w:instrText xml:space="preserve"> PAGEREF _Toc20557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C3FA1AE">
      <w:r>
        <w:fldChar w:fldCharType="end"/>
      </w:r>
    </w:p>
    <w:p w14:paraId="361C7120">
      <w:r>
        <w:br w:type="page"/>
      </w:r>
    </w:p>
    <w:p w14:paraId="0DCD0972">
      <w:pPr>
        <w:pStyle w:val="2"/>
      </w:pPr>
      <w:bookmarkStart w:id="4" w:name="_Toc17885"/>
      <w:r>
        <w:t>概述</w:t>
      </w:r>
      <w:bookmarkEnd w:id="4"/>
    </w:p>
    <w:p w14:paraId="32F35649">
      <w:pPr>
        <w:jc w:val="both"/>
      </w:pPr>
      <w:r>
        <w:rPr>
          <w:rFonts w:ascii="Times New Roman" w:hAnsi="Times New Roman" w:eastAsia="华文楷体"/>
          <w:b w:val="0"/>
          <w:sz w:val="21"/>
        </w:rPr>
        <w:t>本总册是 CPU2 软件详细设计分卷体系的统一入口，负责维护适用范围、版本基线、术语、分册关系、证据口径和跨卷风险。模块和函数详细设计分别维护在专业分册中，总册不重复保存第二份模块正文。</w:t>
      </w:r>
    </w:p>
    <w:p w14:paraId="22F343E0">
      <w:pPr>
        <w:pStyle w:val="4"/>
      </w:pPr>
      <w:bookmarkStart w:id="5" w:name="_Toc29492"/>
      <w:r>
        <w:t>编写目标</w:t>
      </w:r>
      <w:bookmarkEnd w:id="5"/>
    </w:p>
    <w:p w14:paraId="09F8744A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建立一个总册和七个专业分册，降低单个 Word 的长度和渲染成本。</w:t>
      </w:r>
    </w:p>
    <w:p w14:paraId="363EB2B1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统一设计编号、版本轴、术语和证据状态。</w:t>
      </w:r>
    </w:p>
    <w:p w14:paraId="7A27DEA0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从需求、设计、代码、测试到证据建立可维护的追踪关系。</w:t>
      </w:r>
    </w:p>
    <w:p w14:paraId="0457E4DC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明确源码事实与硬件、台架、现场和认证证据的边界。</w:t>
      </w:r>
    </w:p>
    <w:p w14:paraId="23016B2E">
      <w:pPr>
        <w:pStyle w:val="4"/>
      </w:pPr>
      <w:bookmarkStart w:id="6" w:name="_Toc2496"/>
      <w:r>
        <w:t>适用范围</w:t>
      </w:r>
      <w:bookmarkEnd w:id="6"/>
    </w:p>
    <w:p w14:paraId="7D442AE9">
      <w:pPr>
        <w:jc w:val="both"/>
      </w:pPr>
      <w:r>
        <w:rPr>
          <w:rFonts w:ascii="Times New Roman" w:hAnsi="Times New Roman" w:eastAsia="华文楷体"/>
          <w:b w:val="0"/>
          <w:sz w:val="21"/>
        </w:rPr>
        <w:t>适用于 DSM 系列储罐在线自动计量仪 CPU2 固件的软件详细设计编制和评审。当前 V0.1 以 CPU2 V1.36.1.0、CPU3 V1.36.0.0、共享协议 31 和参数存储版本 3 为启动盘点对象。</w:t>
      </w:r>
    </w:p>
    <w:p w14:paraId="311C6E4F">
      <w:pPr>
        <w:pStyle w:val="4"/>
      </w:pPr>
      <w:bookmarkStart w:id="7" w:name="_Toc18903"/>
      <w:r>
        <w:t>不适用结论</w:t>
      </w:r>
      <w:bookmarkEnd w:id="7"/>
    </w:p>
    <w:p w14:paraId="5DB21126">
      <w:pPr>
        <w:jc w:val="both"/>
      </w:pPr>
      <w:r>
        <w:rPr>
          <w:rFonts w:ascii="Times New Roman" w:hAnsi="Times New Roman" w:eastAsia="华文楷体"/>
          <w:b w:val="0"/>
          <w:sz w:val="21"/>
        </w:rPr>
        <w:t>本文档不直接证明整机达到 SIL2，也不替代硬件 FMEDA、FTTI 分析、真实传感器、长线、掉电、故障注入、现场运行和认证机构评审。</w:t>
      </w:r>
    </w:p>
    <w:p w14:paraId="6CA15596">
      <w:pPr>
        <w:pStyle w:val="2"/>
      </w:pPr>
      <w:bookmarkStart w:id="8" w:name="_Toc8204"/>
      <w:r>
        <w:t>起始基线</w:t>
      </w:r>
      <w:bookmarkEnd w:id="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2"/>
        <w:gridCol w:w="3774"/>
        <w:gridCol w:w="2113"/>
        <w:gridCol w:w="2487"/>
      </w:tblGrid>
      <w:tr w14:paraId="5F538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60E6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基线项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A724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起始值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766E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证据状态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3ACC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说明</w:t>
            </w:r>
          </w:p>
        </w:tc>
      </w:tr>
      <w:tr w14:paraId="0979F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5D4F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分支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6F4F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MAIN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EADB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09AF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定稿前重新冻结</w:t>
            </w:r>
          </w:p>
        </w:tc>
      </w:tr>
      <w:tr w14:paraId="42D46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8DE5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 HEAD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B12C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66d5c062bf672e1d2e49ff78f1c770c6e33f98dd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8D7F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9F1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工作区存在未提交改动</w:t>
            </w:r>
          </w:p>
        </w:tc>
      </w:tr>
      <w:tr w14:paraId="22099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E93A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固件版本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ED4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V1.36.1.0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6443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D8A1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app_version.h:8-20</w:t>
            </w:r>
          </w:p>
        </w:tc>
      </w:tr>
      <w:tr w14:paraId="2675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CBD2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CPU3 配套版本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3C01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V1.36.0.0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5363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7DDA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CPU3 app_version.h:9-25</w:t>
            </w:r>
          </w:p>
        </w:tc>
      </w:tr>
      <w:tr w14:paraId="32D9C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F036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CPU2/CPU3 共享协议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C3FB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7C5D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7D9F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CPU2/CPU3 定义一致</w:t>
            </w:r>
          </w:p>
        </w:tc>
      </w:tr>
      <w:tr w14:paraId="37ACB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DB5C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参数存储版本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605F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B665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1811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system_parameter.c:642</w:t>
            </w:r>
          </w:p>
        </w:tc>
      </w:tr>
    </w:tbl>
    <w:p w14:paraId="27D8A6EC"/>
    <w:p w14:paraId="59115F82">
      <w:pPr>
        <w:jc w:val="both"/>
      </w:pPr>
      <w:r>
        <w:rPr>
          <w:rFonts w:ascii="Times New Roman" w:hAnsi="Times New Roman" w:eastAsia="华文楷体"/>
          <w:b w:val="0"/>
          <w:sz w:val="21"/>
        </w:rPr>
        <w:t>起始工作区中的 measure_oilLevel.c 存在并行未提交修改。第2分册涉及该文件时必须重新取得 Git 状态、差异和文件哈希，不能把本次启动记录写成最终发布基线。</w:t>
      </w:r>
    </w:p>
    <w:p w14:paraId="27B5BC90">
      <w:pPr>
        <w:pStyle w:val="2"/>
      </w:pPr>
      <w:bookmarkStart w:id="9" w:name="_Toc13551"/>
      <w:r>
        <w:t>分卷组成</w:t>
      </w:r>
      <w:bookmarkEnd w:id="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64994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4655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卷号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0742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主题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AD07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唯一维护内容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9722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V0.1 状态</w:t>
            </w:r>
          </w:p>
        </w:tc>
      </w:tr>
      <w:tr w14:paraId="0CFA3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BD5A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总册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837B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文档控制与总体说明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537B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基线、术语、分卷关系、总风险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A73E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首轮正文</w:t>
            </w:r>
          </w:p>
        </w:tc>
      </w:tr>
      <w:tr w14:paraId="763EA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4B51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第1分册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1C27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总体架构与运行框架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3BCC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启动、调度、上下文和依赖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7714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首轮正文</w:t>
            </w:r>
          </w:p>
        </w:tc>
      </w:tr>
      <w:tr w14:paraId="716B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B09B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第2分册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3D77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测量、运动与传感器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1601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测量状态机、运动、传感器和编码器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3CF7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骨架与模块清单</w:t>
            </w:r>
          </w:p>
        </w:tc>
      </w:tr>
      <w:tr w14:paraId="269E6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5697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第3分册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E22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通信、接口与数据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0399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Modbus、UART/DMA、接口和共享数据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1724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首轮正文</w:t>
            </w:r>
          </w:p>
        </w:tc>
      </w:tr>
      <w:tr w14:paraId="2F5CD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81EB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第4分册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49B5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参数管理与FRAM持久化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8E2D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参数链路、FRAM、CRC、迁移和掉电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C294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首轮正文</w:t>
            </w:r>
          </w:p>
        </w:tc>
      </w:tr>
      <w:tr w14:paraId="03476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839A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第5分册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7A41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故障、恢复与安全机制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3FA8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故障、恢复、安全状态和执行边界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75E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首轮正文</w:t>
            </w:r>
          </w:p>
        </w:tc>
      </w:tr>
      <w:tr w14:paraId="1DAF5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42C7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第6分册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D17A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输出控制与硬件服务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C8C2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AO/HART、继电器、BSP 和辅助诊断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C53B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骨架与模块清单</w:t>
            </w:r>
          </w:p>
        </w:tc>
      </w:tr>
      <w:tr w14:paraId="4BDCF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024D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第7分册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024A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追踪、验证与附录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A3A6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追踪矩阵、验证设计、索引和风险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CBBB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首轮框架</w:t>
            </w:r>
          </w:p>
        </w:tc>
      </w:tr>
    </w:tbl>
    <w:p w14:paraId="0B3542E3"/>
    <w:p w14:paraId="26620E5F">
      <w:pPr>
        <w:pStyle w:val="2"/>
      </w:pPr>
      <w:bookmarkStart w:id="10" w:name="_Toc24304"/>
      <w:r>
        <w:t>软件总体上下文</w:t>
      </w:r>
      <w:bookmarkEnd w:id="10"/>
    </w:p>
    <w:p w14:paraId="17DE7CFE">
      <w:pPr>
        <w:jc w:val="both"/>
      </w:pPr>
      <w:r>
        <w:rPr>
          <w:rFonts w:ascii="Times New Roman" w:hAnsi="Times New Roman" w:eastAsia="华文楷体"/>
          <w:b w:val="0"/>
          <w:sz w:val="21"/>
        </w:rPr>
        <w:t>CPU2 是测量业务、运动控制、传感器访问、参数运行态和关键输出控制的权威执行端。CPU3 通过板间 Modbus 获取参数、状态和测量结果，并向 CPU2 发布受控命令。CPU2 还直接连接传感器、编码器、FRAM、AO/HART、继电器、电源监测和电机驱动等资源。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5C0F2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45DD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对象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CD07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CPU2 职责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5F9C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主要接口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5F89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详细设计位置</w:t>
            </w:r>
          </w:p>
        </w:tc>
      </w:tr>
      <w:tr w14:paraId="7595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E8F4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013F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业务数据权威端、命令执行端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825D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UART5 Modbus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E121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第3、4分册</w:t>
            </w:r>
          </w:p>
        </w:tc>
      </w:tr>
      <w:tr w14:paraId="25563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3723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传感器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24EA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识别、命令、测量、完整性检查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E2C5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USART6、无线模块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A8EE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第2、3分册</w:t>
            </w:r>
          </w:p>
        </w:tc>
      </w:tr>
      <w:tr w14:paraId="45335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63C8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运动机构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19DD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驱动、位置模型、编码器闭环和停机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4EE6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SPI、GPIO、定时器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69D5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第2、5、6分册</w:t>
            </w:r>
          </w:p>
        </w:tc>
      </w:tr>
      <w:tr w14:paraId="2ADE3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E2CC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现场输出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F888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AO/HART 和继电器控制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52E1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SPI、USART2、GPIO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77B4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第3、6分册</w:t>
            </w:r>
          </w:p>
        </w:tc>
      </w:tr>
      <w:tr w14:paraId="1900D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0F2B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持久化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043A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参数和位置记录的保存、校验与恢复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55AC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SPI FRAM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C02B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第4、5分册</w:t>
            </w:r>
          </w:p>
        </w:tc>
      </w:tr>
    </w:tbl>
    <w:p w14:paraId="5BE60545"/>
    <w:p w14:paraId="515FF6CD">
      <w:pPr>
        <w:pStyle w:val="2"/>
      </w:pPr>
      <w:bookmarkStart w:id="11" w:name="_Toc22880"/>
      <w:r>
        <w:t>统一证据状态</w:t>
      </w:r>
      <w:bookmarkEnd w:id="1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7727F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22BD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状态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732A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允许表达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9894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禁止扩展</w:t>
            </w:r>
          </w:p>
        </w:tc>
      </w:tr>
      <w:tr w14:paraId="57D17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0E99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D15E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找到对应文件、符号和行号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6404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不得写成已完成构建或硬件验证</w:t>
            </w:r>
          </w:p>
        </w:tc>
      </w:tr>
      <w:tr w14:paraId="32473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F563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静态检查通过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A94C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指定规则或分析器已执行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1A10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不得替代动态测试</w:t>
            </w:r>
          </w:p>
        </w:tc>
      </w:tr>
      <w:tr w14:paraId="687D9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FD25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构建通过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2D6F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目标基线可生成固件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7AEA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不得证明外设和现场行为</w:t>
            </w:r>
          </w:p>
        </w:tc>
      </w:tr>
      <w:tr w14:paraId="3A8AA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1713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主机测试通过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4701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自动测试在主机环境通过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699A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不得证明真实时序和电气条件</w:t>
            </w:r>
          </w:p>
        </w:tc>
      </w:tr>
      <w:tr w14:paraId="71442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FB49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台架验证通过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1749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真实板卡和仪器有记录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9A12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不得自动扩展为现场或认证结论</w:t>
            </w:r>
          </w:p>
        </w:tc>
      </w:tr>
      <w:tr w14:paraId="5FCFB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4F79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待确认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5FA4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事实、需求或产品决定尚不完整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1FB3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不得按经验补成实现事实</w:t>
            </w:r>
          </w:p>
        </w:tc>
      </w:tr>
      <w:tr w14:paraId="10B46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FFAC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待验证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9F86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设计或实现已描述但证据不足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D7DF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不得标记为通过</w:t>
            </w:r>
          </w:p>
        </w:tc>
      </w:tr>
    </w:tbl>
    <w:p w14:paraId="125D40DD"/>
    <w:p w14:paraId="0C5CDBD7">
      <w:pPr>
        <w:pStyle w:val="2"/>
      </w:pPr>
      <w:bookmarkStart w:id="12" w:name="_Toc10600"/>
      <w:r>
        <w:t>跨卷设计约束</w:t>
      </w:r>
      <w:bookmarkEnd w:id="12"/>
    </w:p>
    <w:p w14:paraId="72072158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CPU2 和 CPU3 固件版本独立，共享契约只使用 DEVICE_PROTOCOL_VERSION 判断。</w:t>
      </w:r>
    </w:p>
    <w:p w14:paraId="488C7FA3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参数设计必须追踪入口、校验、持久化、运行态、消费、输出和恢复。</w:t>
      </w:r>
    </w:p>
    <w:p w14:paraId="19AB1C5D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中断只执行有界采样、硬门禁和事件投递；线程态承担日志、策略和业务重跑。</w:t>
      </w:r>
    </w:p>
    <w:p w14:paraId="08F98201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故障设计保留最具体错误码，区分非故障命令切换和最终故障出口。</w:t>
      </w:r>
    </w:p>
    <w:p w14:paraId="39F00587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软件检查不能替代电源、FRAM、编码器、电机、通信和安全功能的真实验证。</w:t>
      </w:r>
    </w:p>
    <w:p w14:paraId="1B6A040E">
      <w:pPr>
        <w:pStyle w:val="2"/>
      </w:pPr>
      <w:bookmarkStart w:id="13" w:name="_Toc16693"/>
      <w:r>
        <w:t>首轮问题和风险总表</w:t>
      </w:r>
      <w:bookmarkEnd w:id="1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B5E6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65FE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编号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29D1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问题或风险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8564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影响分册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3A75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当前状态</w:t>
            </w:r>
          </w:p>
        </w:tc>
      </w:tr>
      <w:tr w14:paraId="70673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9906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R-001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D5B4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工作区存在未提交 CPU2 源码修改，最终基线未冻结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50BD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总册、第2分册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0648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待确认</w:t>
            </w:r>
          </w:p>
        </w:tc>
      </w:tr>
      <w:tr w14:paraId="1DAD7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53B0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R-002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2E84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App_MainLoop 的 50 ms 延时不是严格周期，业务流程可同步阻塞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3AB4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第1、2分册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3064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源码已核对，时序待验证</w:t>
            </w:r>
          </w:p>
        </w:tc>
      </w:tr>
      <w:tr w14:paraId="19363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2F28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R-003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FB1E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PendSV 同时承担 SSI、FRAM、AO、HART、Modbus 和 UART 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42F2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第1、3、4、5分册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DCD3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最坏执行时间待验证</w:t>
            </w:r>
          </w:p>
        </w:tc>
      </w:tr>
      <w:tr w14:paraId="7A606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8BA6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R-004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5A33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上电安全停机和传感器识别返回值未全部纳入启动错误汇总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E6D4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第1、5分册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6516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待评审</w:t>
            </w:r>
          </w:p>
        </w:tc>
      </w:tr>
      <w:tr w14:paraId="5B81B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F37E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R-005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E15C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看门狗喂狗条件不直接证明主循环活性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7EC8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第5、6分册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F2C7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故障注入待验证</w:t>
            </w:r>
          </w:p>
        </w:tc>
      </w:tr>
      <w:tr w14:paraId="3B67A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1D12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R-006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3DD7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参数A/B槽无generation或commit marker，单槽新写成功不保证下次采用最新值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7A4D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第4、7分册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0950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待整改或故障注入</w:t>
            </w:r>
          </w:p>
        </w:tc>
      </w:tr>
      <w:tr w14:paraId="398FB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E5D8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R-007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19C1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全部硬件、掉电、长线和 SIL 证据尚未在本轮执行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C898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全部分册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AF8E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待验证</w:t>
            </w:r>
          </w:p>
        </w:tc>
      </w:tr>
    </w:tbl>
    <w:p w14:paraId="155F5F9B"/>
    <w:p w14:paraId="5AD83C0A">
      <w:pPr>
        <w:pStyle w:val="2"/>
      </w:pPr>
      <w:bookmarkStart w:id="14" w:name="_Toc20557"/>
      <w:r>
        <w:t>相关文件</w:t>
      </w:r>
      <w:bookmarkEnd w:id="14"/>
    </w:p>
    <w:p w14:paraId="518F7478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一代参考文档：01_一代参考文档/FX01.软件详细设计V1.1_一代参考.docx。</w:t>
      </w:r>
    </w:p>
    <w:p w14:paraId="45C0612E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编制标准：02_撰写标准/CPU2软件详细设计撰写与排版要求.md。</w:t>
      </w:r>
    </w:p>
    <w:p w14:paraId="4C8292DD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流程图基准：04_流程图版式基准/。</w:t>
      </w:r>
    </w:p>
    <w:p w14:paraId="5DD71A6A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长期计划：05_撰写计划/CPU2软件详细设计长期编制计划.md。</w:t>
      </w:r>
    </w:p>
    <w:sectPr>
      <w:headerReference r:id="rId8" w:type="defaul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67944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0C4D66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23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0C4D66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val="en-US"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val="en-US" w:eastAsia="zh-CN"/>
                      </w:rPr>
                      <w:t>23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58734">
    <w:pPr>
      <w:jc w:val="center"/>
    </w:pPr>
    <w:r>
      <w:rPr>
        <w:rFonts w:ascii="Times New Roman" w:hAnsi="Times New Roman" w:eastAsia="华文楷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页，共 </w:t>
    </w:r>
    <w:r>
      <w:fldChar w:fldCharType="begin"/>
    </w:r>
    <w:r>
      <w:instrText xml:space="preserve">SECTIONPAGES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8F00A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7994F">
    <w:pPr>
      <w:jc w:val="center"/>
    </w:pPr>
    <w:r>
      <w:rPr>
        <w:rFonts w:ascii="Times New Roman" w:hAnsi="Times New Roman" w:eastAsia="华文楷体"/>
        <w:b w:val="0"/>
        <w:sz w:val="18"/>
      </w:rPr>
      <w:t>DSM系列储罐在线自动计量仪CPU2软件详细设计  总册 - 文档控制与总体说明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0AF1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A3EDB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00" w:lineRule="auto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/>
      <w:widowControl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 w:eastAsia="黑体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widowControl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 w:eastAsia="黑体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widowControl/>
      <w:numPr>
        <w:ilvl w:val="2"/>
        <w:numId w:val="1"/>
      </w:numPr>
      <w:outlineLvl w:val="2"/>
    </w:pPr>
    <w:rPr>
      <w:rFonts w:ascii="Times New Roman" w:hAnsi="Times New Roman" w:eastAsia="黑体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widowControl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 w:eastAsia="黑体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rFonts w:ascii="Times New Roman" w:hAnsi="Times New Roman" w:eastAsia="黑体"/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V0.1编制稿。源码静态证据不等于硬件、台架、现场或SIL认证验证。</dc:description>
  <cp:lastModifiedBy>admin</cp:lastModifiedBy>
  <cp:lastPrinted>2022-01-14T19:23:00Z</cp:lastPrinted>
  <dcterms:modified xsi:type="dcterms:W3CDTF">2026-07-31T03:48:24Z</dcterms:modified>
  <dc:subject>CPU2软件详细设计分卷编制稿</dc:subject>
  <dc:title>CPU2软件详细设计总册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126687EA12374C0AB55B6F3027446842</vt:lpwstr>
  </property>
</Properties>
</file>