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F80CF">
      <w:pPr>
        <w:pStyle w:val="30"/>
        <w:spacing w:before="1300"/>
        <w:jc w:val="center"/>
      </w:pPr>
      <w:bookmarkStart w:id="22" w:name="_GoBack"/>
      <w:bookmarkEnd w:id="22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5540B680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509E805D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总册 - 文档控制与总体说明</w:t>
      </w:r>
    </w:p>
    <w:p w14:paraId="74AA33C2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2BE2D64D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11C74FA1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00C1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451C1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5F40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C8435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2799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CPU2软件详细设计总册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C14F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EF57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2026-08-02</w:t>
            </w:r>
          </w:p>
        </w:tc>
      </w:tr>
      <w:tr w14:paraId="4148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49AA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C2C1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098E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E4AC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7ADD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CF6C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2EBD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FX01-SDD-CPU2-00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E7CF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6F6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72D353D4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22DB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1BFDA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4EC2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42A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C7A5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B56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7D34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4D73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2558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EC15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AC4A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建立分卷体系、起始基线、统一证据状态和总风险入口。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2718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15F8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6C87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0F68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93C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3004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按一代参考三分节版式重建，更新2A/2B拆分、现行交付集、受控状态、当前工作区clean-first记录、跨卷约束、第7分册15项重点风险和逐页版式验收规则。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9B88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0C20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5F1D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2026-08-02</w:t>
            </w:r>
          </w:p>
        </w:tc>
      </w:tr>
      <w:tr w14:paraId="6DFC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1C0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DAA1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3AF9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695B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A2B92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53F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DE0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D457E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AED8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64E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5578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550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8A2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12CF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BAFB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41B1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C4E3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D83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ADD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B282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7BAE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018B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666B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8A9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E9CE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C9AB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8141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F71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2A2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142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43D64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EB6D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30561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3B3F6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B9AA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6BC48858">
      <w:r>
        <w:br w:type="page"/>
      </w:r>
    </w:p>
    <w:p w14:paraId="1D2E6FE4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4DAB335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_Toc4963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_Toc4963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CA317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_Toc25538 </w:instrText>
      </w:r>
      <w:r>
        <w:fldChar w:fldCharType="separate"/>
      </w:r>
      <w:r>
        <w:rPr>
          <w:rFonts w:hint="eastAsia"/>
        </w:rPr>
        <w:t xml:space="preserve">1.1 </w:t>
      </w:r>
      <w:r>
        <w:t>编写目标</w:t>
      </w:r>
      <w:r>
        <w:tab/>
      </w:r>
      <w:r>
        <w:fldChar w:fldCharType="begin"/>
      </w:r>
      <w:r>
        <w:instrText xml:space="preserve"> PAGEREF _Toc25538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C8A46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_Toc18159 </w:instrText>
      </w:r>
      <w:r>
        <w:fldChar w:fldCharType="separate"/>
      </w:r>
      <w:r>
        <w:rPr>
          <w:rFonts w:hint="eastAsia"/>
        </w:rPr>
        <w:t xml:space="preserve">1.2 </w:t>
      </w:r>
      <w:r>
        <w:t>适用范围</w:t>
      </w:r>
      <w:r>
        <w:tab/>
      </w:r>
      <w:r>
        <w:fldChar w:fldCharType="begin"/>
      </w:r>
      <w:r>
        <w:instrText xml:space="preserve"> PAGEREF _Toc18159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B7970A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_Toc5881 </w:instrText>
      </w:r>
      <w:r>
        <w:fldChar w:fldCharType="separate"/>
      </w:r>
      <w:r>
        <w:rPr>
          <w:rFonts w:hint="eastAsia"/>
        </w:rPr>
        <w:t xml:space="preserve">1.3 </w:t>
      </w:r>
      <w:r>
        <w:t>证据边界</w:t>
      </w:r>
      <w:r>
        <w:tab/>
      </w:r>
      <w:r>
        <w:fldChar w:fldCharType="begin"/>
      </w:r>
      <w:r>
        <w:instrText xml:space="preserve"> PAGEREF _Toc5881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819A3C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_Toc5852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配置基线</w:t>
      </w:r>
      <w:r>
        <w:tab/>
      </w:r>
      <w:r>
        <w:fldChar w:fldCharType="begin"/>
      </w:r>
      <w:r>
        <w:instrText xml:space="preserve"> PAGEREF _Toc5852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B741F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_Toc28958 </w:instrText>
      </w:r>
      <w:r>
        <w:fldChar w:fldCharType="separate"/>
      </w:r>
      <w:r>
        <w:rPr>
          <w:rFonts w:hint="eastAsia"/>
        </w:rPr>
        <w:t xml:space="preserve">2.1 </w:t>
      </w:r>
      <w:r>
        <w:t>固件、协议与文档轴</w:t>
      </w:r>
      <w:r>
        <w:tab/>
      </w:r>
      <w:r>
        <w:fldChar w:fldCharType="begin"/>
      </w:r>
      <w:r>
        <w:instrText xml:space="preserve"> PAGEREF _Toc28958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D281B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_Toc5832 </w:instrText>
      </w:r>
      <w:r>
        <w:fldChar w:fldCharType="separate"/>
      </w:r>
      <w:r>
        <w:rPr>
          <w:rFonts w:hint="eastAsia"/>
        </w:rPr>
        <w:t xml:space="preserve">2.2 </w:t>
      </w:r>
      <w:r>
        <w:t>工作区与发布边界</w:t>
      </w:r>
      <w:r>
        <w:tab/>
      </w:r>
      <w:r>
        <w:fldChar w:fldCharType="begin"/>
      </w:r>
      <w:r>
        <w:instrText xml:space="preserve"> PAGEREF _Toc5832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D6F724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分卷体系</w:t>
      </w:r>
      <w:r>
        <w:tab/>
      </w:r>
      <w:r>
        <w:fldChar w:fldCharType="begin"/>
      </w:r>
      <w:r>
        <w:instrText xml:space="preserve"> PAGEREF _Toc490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D24C4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_Toc32721 </w:instrText>
      </w:r>
      <w:r>
        <w:fldChar w:fldCharType="separate"/>
      </w:r>
      <w:r>
        <w:rPr>
          <w:rFonts w:hint="eastAsia"/>
        </w:rPr>
        <w:t xml:space="preserve">3.1 </w:t>
      </w:r>
      <w:r>
        <w:t>现行交付集</w:t>
      </w:r>
      <w:r>
        <w:tab/>
      </w:r>
      <w:r>
        <w:fldChar w:fldCharType="begin"/>
      </w:r>
      <w:r>
        <w:instrText xml:space="preserve"> PAGEREF _Toc32721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0DF5D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_Toc3368 </w:instrText>
      </w:r>
      <w:r>
        <w:fldChar w:fldCharType="separate"/>
      </w:r>
      <w:r>
        <w:rPr>
          <w:rFonts w:hint="eastAsia"/>
        </w:rPr>
        <w:t xml:space="preserve">3.2 </w:t>
      </w:r>
      <w:r>
        <w:t>责任边界</w:t>
      </w:r>
      <w:r>
        <w:tab/>
      </w:r>
      <w:r>
        <w:fldChar w:fldCharType="begin"/>
      </w:r>
      <w:r>
        <w:instrText xml:space="preserve"> PAGEREF _Toc3368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D31259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_Toc16689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软件总体上下文</w:t>
      </w:r>
      <w:r>
        <w:tab/>
      </w:r>
      <w:r>
        <w:fldChar w:fldCharType="begin"/>
      </w:r>
      <w:r>
        <w:instrText xml:space="preserve"> PAGEREF _Toc16689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D0BE91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_Toc32085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统一设计、编号与证据规则</w:t>
      </w:r>
      <w:r>
        <w:tab/>
      </w:r>
      <w:r>
        <w:fldChar w:fldCharType="begin"/>
      </w:r>
      <w:r>
        <w:instrText xml:space="preserve"> PAGEREF _Toc32085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FCE23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_Toc15071 </w:instrText>
      </w:r>
      <w:r>
        <w:fldChar w:fldCharType="separate"/>
      </w:r>
      <w:r>
        <w:rPr>
          <w:rFonts w:hint="eastAsia"/>
        </w:rPr>
        <w:t xml:space="preserve">5.1 </w:t>
      </w:r>
      <w:r>
        <w:t>设计编号域</w:t>
      </w:r>
      <w:r>
        <w:tab/>
      </w:r>
      <w:r>
        <w:fldChar w:fldCharType="begin"/>
      </w:r>
      <w:r>
        <w:instrText xml:space="preserve"> PAGEREF _Toc15071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02A5D0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_Toc31831 </w:instrText>
      </w:r>
      <w:r>
        <w:fldChar w:fldCharType="separate"/>
      </w:r>
      <w:r>
        <w:rPr>
          <w:rFonts w:hint="eastAsia"/>
        </w:rPr>
        <w:t xml:space="preserve">5.2 </w:t>
      </w:r>
      <w:r>
        <w:t>证据状态与处置状态</w:t>
      </w:r>
      <w:r>
        <w:tab/>
      </w:r>
      <w:r>
        <w:fldChar w:fldCharType="begin"/>
      </w:r>
      <w:r>
        <w:instrText xml:space="preserve"> PAGEREF _Toc31831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B5B3B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_Toc6620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跨卷设计约束</w:t>
      </w:r>
      <w:r>
        <w:tab/>
      </w:r>
      <w:r>
        <w:fldChar w:fldCharType="begin"/>
      </w:r>
      <w:r>
        <w:instrText xml:space="preserve"> PAGEREF _Toc6620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60772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_Toc27381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高风险与开放事项</w:t>
      </w:r>
      <w:r>
        <w:tab/>
      </w:r>
      <w:r>
        <w:fldChar w:fldCharType="begin"/>
      </w:r>
      <w:r>
        <w:instrText xml:space="preserve"> PAGEREF _Toc27381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097AA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_Toc19551 </w:instrText>
      </w:r>
      <w:r>
        <w:fldChar w:fldCharType="separate"/>
      </w:r>
      <w:r>
        <w:rPr>
          <w:rFonts w:hint="eastAsia"/>
        </w:rPr>
        <w:t xml:space="preserve">7.1 </w:t>
      </w:r>
      <w:r>
        <w:t>当前必须保留的问题</w:t>
      </w:r>
      <w:r>
        <w:tab/>
      </w:r>
      <w:r>
        <w:fldChar w:fldCharType="begin"/>
      </w:r>
      <w:r>
        <w:instrText xml:space="preserve"> PAGEREF _Toc19551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F9F7CB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_Toc29935 </w:instrText>
      </w:r>
      <w:r>
        <w:fldChar w:fldCharType="separate"/>
      </w:r>
      <w:r>
        <w:rPr>
          <w:rFonts w:hint="eastAsia"/>
        </w:rPr>
        <w:t xml:space="preserve">7.2 </w:t>
      </w:r>
      <w:r>
        <w:t>风险状态保持规则</w:t>
      </w:r>
      <w:r>
        <w:tab/>
      </w:r>
      <w:r>
        <w:fldChar w:fldCharType="begin"/>
      </w:r>
      <w:r>
        <w:instrText xml:space="preserve"> PAGEREF _Toc29935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25419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_Toc29700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基线冻结与变更回填</w:t>
      </w:r>
      <w:r>
        <w:tab/>
      </w:r>
      <w:r>
        <w:fldChar w:fldCharType="begin"/>
      </w:r>
      <w:r>
        <w:instrText xml:space="preserve"> PAGEREF _Toc29700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A695D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_Toc12004 </w:instrText>
      </w:r>
      <w:r>
        <w:fldChar w:fldCharType="separate"/>
      </w:r>
      <w:r>
        <w:rPr>
          <w:rFonts w:hint="eastAsia"/>
        </w:rPr>
        <w:t xml:space="preserve">8.1 </w:t>
      </w:r>
      <w:r>
        <w:t>冻结顺序</w:t>
      </w:r>
      <w:r>
        <w:tab/>
      </w:r>
      <w:r>
        <w:fldChar w:fldCharType="begin"/>
      </w:r>
      <w:r>
        <w:instrText xml:space="preserve"> PAGEREF _Toc12004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E5EC1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_Toc11928 </w:instrText>
      </w:r>
      <w:r>
        <w:fldChar w:fldCharType="separate"/>
      </w:r>
      <w:r>
        <w:rPr>
          <w:rFonts w:hint="eastAsia"/>
        </w:rPr>
        <w:t xml:space="preserve">8.2 </w:t>
      </w:r>
      <w:r>
        <w:t>Word版式验收顺序</w:t>
      </w:r>
      <w:r>
        <w:tab/>
      </w:r>
      <w:r>
        <w:fldChar w:fldCharType="begin"/>
      </w:r>
      <w:r>
        <w:instrText xml:space="preserve"> PAGEREF _Toc11928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A5D9A1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_Toc21614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相关文件</w:t>
      </w:r>
      <w:r>
        <w:tab/>
      </w:r>
      <w:r>
        <w:fldChar w:fldCharType="begin"/>
      </w:r>
      <w:r>
        <w:instrText xml:space="preserve"> PAGEREF _Toc21614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A691D7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740D9D8F">
      <w:pPr>
        <w:pStyle w:val="2"/>
      </w:pPr>
      <w:bookmarkStart w:id="0" w:name="_Toc4963"/>
      <w:r>
        <w:t>概述</w:t>
      </w:r>
      <w:bookmarkEnd w:id="0"/>
    </w:p>
    <w:p w14:paraId="062E1531">
      <w:pPr>
        <w:pStyle w:val="4"/>
      </w:pPr>
      <w:bookmarkStart w:id="1" w:name="_Toc25538"/>
      <w:r>
        <w:t>编写目标</w:t>
      </w:r>
      <w:bookmarkEnd w:id="1"/>
    </w:p>
    <w:p w14:paraId="01085031">
      <w:pPr>
        <w:jc w:val="both"/>
      </w:pPr>
      <w:r>
        <w:rPr>
          <w:rFonts w:ascii="Times New Roman" w:hAnsi="Times New Roman" w:eastAsia="华文楷体"/>
          <w:b w:val="0"/>
          <w:sz w:val="21"/>
        </w:rPr>
        <w:t>本总册是CPU2软件详细设计的统一控制入口，负责维护配置基线、分册责任、设计编号、证据状态、跨卷约束和开放风险。各专业对象的函数、接口、状态机和流程图只在责任分册中维护，总册不保存第二份实现正文。</w:t>
      </w:r>
    </w:p>
    <w:p w14:paraId="261949C5">
      <w:pPr>
        <w:pStyle w:val="4"/>
      </w:pPr>
      <w:bookmarkStart w:id="2" w:name="_Toc18159"/>
      <w:r>
        <w:t>适用范围</w:t>
      </w:r>
      <w:bookmarkEnd w:id="2"/>
    </w:p>
    <w:p w14:paraId="6A7911BD">
      <w:pPr>
        <w:jc w:val="both"/>
      </w:pPr>
      <w:r>
        <w:rPr>
          <w:rFonts w:ascii="Times New Roman" w:hAnsi="Times New Roman" w:eastAsia="华文楷体"/>
          <w:b w:val="0"/>
          <w:sz w:val="21"/>
        </w:rPr>
        <w:t>适用于DSM系列储罐在线自动计量仪CPU2固件的软件详细设计编制、技术评审、变更影响分析和验证规划。当前编制轴为CPU2 V1.36.1.0、CPU3 V1.36.0.0、共享协议31和参数存储版本3。</w:t>
      </w:r>
    </w:p>
    <w:p w14:paraId="13390365">
      <w:pPr>
        <w:pStyle w:val="4"/>
      </w:pPr>
      <w:bookmarkStart w:id="3" w:name="_Toc5881"/>
      <w:r>
        <w:t>证据边界</w:t>
      </w:r>
      <w:bookmarkEnd w:id="3"/>
    </w:p>
    <w:p w14:paraId="64A1351B">
      <w:pPr>
        <w:jc w:val="both"/>
      </w:pPr>
      <w:r>
        <w:rPr>
          <w:rFonts w:ascii="Times New Roman" w:hAnsi="Times New Roman" w:eastAsia="华文楷体"/>
          <w:b w:val="0"/>
          <w:sz w:val="21"/>
        </w:rPr>
        <w:t>本文档的源码复核、结构门禁和Word逐页渲染只能证明对应层级的事实。2026-08-02已对MAIN@66d5c062当前工作区（含既有索引差异）执行CPU2和CPU3 clean-first构建，两路退出码均为0；该记录不等于最终冻结基线，也不等于静态分析、主机测试、目标板、台架、现场、故障注入或SIL认证机构接受。未取得批准的软件需求基线前，不得宣称需求覆盖已完成。</w:t>
      </w:r>
    </w:p>
    <w:p w14:paraId="30D3FB6F">
      <w:pPr>
        <w:pStyle w:val="2"/>
      </w:pPr>
      <w:bookmarkStart w:id="4" w:name="_Toc5852"/>
      <w:r>
        <w:t>配置基线</w:t>
      </w:r>
      <w:bookmarkEnd w:id="4"/>
    </w:p>
    <w:p w14:paraId="6A58929E">
      <w:pPr>
        <w:pStyle w:val="4"/>
      </w:pPr>
      <w:bookmarkStart w:id="5" w:name="_Toc28958"/>
      <w:r>
        <w:t>固件、协议与文档轴</w:t>
      </w:r>
      <w:bookmarkEnd w:id="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3FDE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vAlign w:val="center"/>
          </w:tcPr>
          <w:p w14:paraId="1704D7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对象</w:t>
            </w:r>
          </w:p>
        </w:tc>
        <w:tc>
          <w:tcPr>
            <w:tcW w:w="1200" w:type="pct"/>
            <w:vAlign w:val="center"/>
          </w:tcPr>
          <w:p w14:paraId="5B984C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当前值</w:t>
            </w:r>
          </w:p>
        </w:tc>
        <w:tc>
          <w:tcPr>
            <w:tcW w:w="1600" w:type="pct"/>
            <w:vAlign w:val="center"/>
          </w:tcPr>
          <w:p w14:paraId="57984A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事实来源</w:t>
            </w:r>
          </w:p>
        </w:tc>
        <w:tc>
          <w:tcPr>
            <w:tcW w:w="1300" w:type="pct"/>
            <w:vAlign w:val="center"/>
          </w:tcPr>
          <w:p w14:paraId="74BCDC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本册口径</w:t>
            </w:r>
          </w:p>
        </w:tc>
      </w:tr>
      <w:tr w14:paraId="7F10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606AC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CPU2固件</w:t>
            </w:r>
          </w:p>
        </w:tc>
        <w:tc>
          <w:tcPr>
            <w:tcW w:w="1200" w:type="pct"/>
            <w:vAlign w:val="center"/>
          </w:tcPr>
          <w:p w14:paraId="78E9F02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V1.36.1.0</w:t>
            </w:r>
          </w:p>
        </w:tc>
        <w:tc>
          <w:tcPr>
            <w:tcW w:w="1600" w:type="pct"/>
            <w:vAlign w:val="center"/>
          </w:tcPr>
          <w:p w14:paraId="58911C1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Application/Inc/app_version.h</w:t>
            </w:r>
          </w:p>
        </w:tc>
        <w:tc>
          <w:tcPr>
            <w:tcW w:w="1300" w:type="pct"/>
            <w:vAlign w:val="center"/>
          </w:tcPr>
          <w:p w14:paraId="4E3672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专业分册主实现轴</w:t>
            </w:r>
          </w:p>
        </w:tc>
      </w:tr>
      <w:tr w14:paraId="769D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75ACC4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CPU3配套</w:t>
            </w:r>
          </w:p>
        </w:tc>
        <w:tc>
          <w:tcPr>
            <w:tcW w:w="1200" w:type="pct"/>
            <w:vAlign w:val="center"/>
          </w:tcPr>
          <w:p w14:paraId="5282D5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V1.36.0.0</w:t>
            </w:r>
          </w:p>
        </w:tc>
        <w:tc>
          <w:tcPr>
            <w:tcW w:w="1600" w:type="pct"/>
            <w:vAlign w:val="center"/>
          </w:tcPr>
          <w:p w14:paraId="2EF632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Application/app_version.h</w:t>
            </w:r>
          </w:p>
        </w:tc>
        <w:tc>
          <w:tcPr>
            <w:tcW w:w="1300" w:type="pct"/>
            <w:vAlign w:val="center"/>
          </w:tcPr>
          <w:p w14:paraId="2AF4F3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板间接口伴随证据轴</w:t>
            </w:r>
          </w:p>
        </w:tc>
      </w:tr>
      <w:tr w14:paraId="787E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4911EF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共享协议</w:t>
            </w:r>
          </w:p>
        </w:tc>
        <w:tc>
          <w:tcPr>
            <w:tcW w:w="1200" w:type="pct"/>
            <w:vAlign w:val="center"/>
          </w:tcPr>
          <w:p w14:paraId="3788E8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31</w:t>
            </w:r>
          </w:p>
        </w:tc>
        <w:tc>
          <w:tcPr>
            <w:tcW w:w="1600" w:type="pct"/>
            <w:vAlign w:val="center"/>
          </w:tcPr>
          <w:p w14:paraId="0FA83F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CPU2/CPU3 system_parameter.h</w:t>
            </w:r>
          </w:p>
        </w:tc>
        <w:tc>
          <w:tcPr>
            <w:tcW w:w="1300" w:type="pct"/>
            <w:vAlign w:val="center"/>
          </w:tcPr>
          <w:p w14:paraId="6DC2307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共同兼容性轴</w:t>
            </w:r>
          </w:p>
        </w:tc>
      </w:tr>
      <w:tr w14:paraId="4ADD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2E470E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参数存储</w:t>
            </w:r>
          </w:p>
        </w:tc>
        <w:tc>
          <w:tcPr>
            <w:tcW w:w="1200" w:type="pct"/>
            <w:vAlign w:val="center"/>
          </w:tcPr>
          <w:p w14:paraId="36B02C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1600" w:type="pct"/>
            <w:vAlign w:val="center"/>
          </w:tcPr>
          <w:p w14:paraId="6E4770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system_parameter.c:642</w:t>
            </w:r>
          </w:p>
        </w:tc>
        <w:tc>
          <w:tcPr>
            <w:tcW w:w="1300" w:type="pct"/>
            <w:vAlign w:val="center"/>
          </w:tcPr>
          <w:p w14:paraId="7B4CB5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CPU2持久化轴</w:t>
            </w:r>
          </w:p>
        </w:tc>
      </w:tr>
      <w:tr w14:paraId="7F9E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554B95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Git快照</w:t>
            </w:r>
          </w:p>
        </w:tc>
        <w:tc>
          <w:tcPr>
            <w:tcW w:w="1200" w:type="pct"/>
            <w:vAlign w:val="center"/>
          </w:tcPr>
          <w:p w14:paraId="193184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MAIN@66d5c062</w:t>
            </w:r>
          </w:p>
        </w:tc>
        <w:tc>
          <w:tcPr>
            <w:tcW w:w="1600" w:type="pct"/>
            <w:vAlign w:val="center"/>
          </w:tcPr>
          <w:p w14:paraId="7C52E59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当前HEAD及工作区分层</w:t>
            </w:r>
          </w:p>
        </w:tc>
        <w:tc>
          <w:tcPr>
            <w:tcW w:w="1300" w:type="pct"/>
            <w:vAlign w:val="center"/>
          </w:tcPr>
          <w:p w14:paraId="0D100F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不是批准发布提交</w:t>
            </w:r>
          </w:p>
        </w:tc>
      </w:tr>
      <w:tr w14:paraId="7830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56B58F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版式基线</w:t>
            </w:r>
          </w:p>
        </w:tc>
        <w:tc>
          <w:tcPr>
            <w:tcW w:w="1200" w:type="pct"/>
            <w:vAlign w:val="center"/>
          </w:tcPr>
          <w:p w14:paraId="42F225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FX01 V1.1一代参考</w:t>
            </w:r>
          </w:p>
        </w:tc>
        <w:tc>
          <w:tcPr>
            <w:tcW w:w="1600" w:type="pct"/>
            <w:vAlign w:val="center"/>
          </w:tcPr>
          <w:p w14:paraId="550B17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参考DOCX与编制标准</w:t>
            </w:r>
          </w:p>
        </w:tc>
        <w:tc>
          <w:tcPr>
            <w:tcW w:w="1300" w:type="pct"/>
            <w:vAlign w:val="center"/>
          </w:tcPr>
          <w:p w14:paraId="739CC4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唯一Word版式基线</w:t>
            </w:r>
          </w:p>
        </w:tc>
      </w:tr>
    </w:tbl>
    <w:p w14:paraId="6565AFFE"/>
    <w:p w14:paraId="26797313">
      <w:pPr>
        <w:pStyle w:val="4"/>
      </w:pPr>
      <w:bookmarkStart w:id="6" w:name="_Toc5832"/>
      <w:r>
        <w:t>工作区与发布边界</w:t>
      </w:r>
      <w:bookmarkEnd w:id="6"/>
    </w:p>
    <w:p w14:paraId="3F43C32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HEAD、索引和工作树必须分层记录；未提交差异不得写成已批准发布行为。</w:t>
      </w:r>
    </w:p>
    <w:p w14:paraId="5DF5247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当前measure_oilLevel.c存在已暂存并行修改，涉及AO参数归一化时必须明确HEAD与索引边界。</w:t>
      </w:r>
    </w:p>
    <w:p w14:paraId="5EB6F18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发布前重新冻结CPU2、CPU3、共享协议、参数存储和文档版本，并重查代码证据位置。</w:t>
      </w:r>
    </w:p>
    <w:p w14:paraId="2A7D561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本轮文档编制不改变固件版本，不暂存、不提交、不推送。</w:t>
      </w:r>
    </w:p>
    <w:p w14:paraId="5284657D">
      <w:pPr>
        <w:pStyle w:val="2"/>
      </w:pPr>
      <w:bookmarkStart w:id="7" w:name="_Toc490"/>
      <w:r>
        <w:t>分卷体系</w:t>
      </w:r>
      <w:bookmarkEnd w:id="7"/>
    </w:p>
    <w:p w14:paraId="186C1F15">
      <w:pPr>
        <w:pStyle w:val="4"/>
      </w:pPr>
      <w:bookmarkStart w:id="8" w:name="_Toc32721"/>
      <w:r>
        <w:t>现行交付集</w:t>
      </w:r>
      <w:bookmarkEnd w:id="8"/>
    </w:p>
    <w:p w14:paraId="7C6C68A0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当前为七个专业责任域、八份现行专业分册。第2责任域因页数和流程图密度拆分为2A和2B；统计共161项专业设计、48张专业流程图。第7分册另维护12项治理设计和3张治理流程图。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780"/>
        <w:gridCol w:w="1780"/>
        <w:gridCol w:w="1780"/>
        <w:gridCol w:w="1780"/>
        <w:gridCol w:w="1780"/>
      </w:tblGrid>
      <w:tr w14:paraId="6B87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pct"/>
            <w:vAlign w:val="center"/>
          </w:tcPr>
          <w:p w14:paraId="77A80D9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分册</w:t>
            </w:r>
          </w:p>
        </w:tc>
        <w:tc>
          <w:tcPr>
            <w:tcW w:w="1850" w:type="pct"/>
            <w:vAlign w:val="center"/>
          </w:tcPr>
          <w:p w14:paraId="1D518F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责任域</w:t>
            </w:r>
          </w:p>
        </w:tc>
        <w:tc>
          <w:tcPr>
            <w:tcW w:w="650" w:type="pct"/>
            <w:vAlign w:val="center"/>
          </w:tcPr>
          <w:p w14:paraId="577E37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版本</w:t>
            </w:r>
          </w:p>
        </w:tc>
        <w:tc>
          <w:tcPr>
            <w:tcW w:w="650" w:type="pct"/>
            <w:vAlign w:val="center"/>
          </w:tcPr>
          <w:p w14:paraId="660FC8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物理页</w:t>
            </w:r>
          </w:p>
        </w:tc>
        <w:tc>
          <w:tcPr>
            <w:tcW w:w="650" w:type="pct"/>
            <w:vAlign w:val="center"/>
          </w:tcPr>
          <w:p w14:paraId="2EDF4B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设计项</w:t>
            </w:r>
          </w:p>
        </w:tc>
        <w:tc>
          <w:tcPr>
            <w:tcW w:w="500" w:type="pct"/>
            <w:vAlign w:val="center"/>
          </w:tcPr>
          <w:p w14:paraId="040700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流程图</w:t>
            </w:r>
          </w:p>
        </w:tc>
      </w:tr>
      <w:tr w14:paraId="0C2E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49DC654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1850" w:type="pct"/>
            <w:vAlign w:val="center"/>
          </w:tcPr>
          <w:p w14:paraId="02E2E3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总体架构与运行框架</w:t>
            </w:r>
          </w:p>
        </w:tc>
        <w:tc>
          <w:tcPr>
            <w:tcW w:w="650" w:type="pct"/>
            <w:vAlign w:val="center"/>
          </w:tcPr>
          <w:p w14:paraId="548CE7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55AB81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</w:t>
            </w:r>
          </w:p>
        </w:tc>
        <w:tc>
          <w:tcPr>
            <w:tcW w:w="650" w:type="pct"/>
            <w:vAlign w:val="center"/>
          </w:tcPr>
          <w:p w14:paraId="7777A7E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</w:t>
            </w:r>
          </w:p>
        </w:tc>
        <w:tc>
          <w:tcPr>
            <w:tcW w:w="500" w:type="pct"/>
            <w:vAlign w:val="center"/>
          </w:tcPr>
          <w:p w14:paraId="75BAFC3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</w:tr>
      <w:tr w14:paraId="2AE8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1C8EF8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1850" w:type="pct"/>
            <w:vAlign w:val="center"/>
          </w:tcPr>
          <w:p w14:paraId="0335B3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测量与传感器</w:t>
            </w:r>
          </w:p>
        </w:tc>
        <w:tc>
          <w:tcPr>
            <w:tcW w:w="650" w:type="pct"/>
            <w:vAlign w:val="center"/>
          </w:tcPr>
          <w:p w14:paraId="40BFCF8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V0.4</w:t>
            </w:r>
          </w:p>
        </w:tc>
        <w:tc>
          <w:tcPr>
            <w:tcW w:w="650" w:type="pct"/>
            <w:vAlign w:val="center"/>
          </w:tcPr>
          <w:p w14:paraId="09DB3E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53</w:t>
            </w:r>
          </w:p>
        </w:tc>
        <w:tc>
          <w:tcPr>
            <w:tcW w:w="650" w:type="pct"/>
            <w:vAlign w:val="center"/>
          </w:tcPr>
          <w:p w14:paraId="22918F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32</w:t>
            </w:r>
          </w:p>
        </w:tc>
        <w:tc>
          <w:tcPr>
            <w:tcW w:w="500" w:type="pct"/>
            <w:vAlign w:val="center"/>
          </w:tcPr>
          <w:p w14:paraId="1EEC5D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</w:t>
            </w:r>
          </w:p>
        </w:tc>
      </w:tr>
      <w:tr w14:paraId="2E1E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4F0AEC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1850" w:type="pct"/>
            <w:vAlign w:val="center"/>
          </w:tcPr>
          <w:p w14:paraId="3D1D0B0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运动、位置与编码器</w:t>
            </w:r>
          </w:p>
        </w:tc>
        <w:tc>
          <w:tcPr>
            <w:tcW w:w="650" w:type="pct"/>
            <w:vAlign w:val="center"/>
          </w:tcPr>
          <w:p w14:paraId="634A2E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V0.4</w:t>
            </w:r>
          </w:p>
        </w:tc>
        <w:tc>
          <w:tcPr>
            <w:tcW w:w="650" w:type="pct"/>
            <w:vAlign w:val="center"/>
          </w:tcPr>
          <w:p w14:paraId="37575B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33</w:t>
            </w:r>
          </w:p>
        </w:tc>
        <w:tc>
          <w:tcPr>
            <w:tcW w:w="650" w:type="pct"/>
            <w:vAlign w:val="center"/>
          </w:tcPr>
          <w:p w14:paraId="2DEE9C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16</w:t>
            </w:r>
          </w:p>
        </w:tc>
        <w:tc>
          <w:tcPr>
            <w:tcW w:w="500" w:type="pct"/>
            <w:vAlign w:val="center"/>
          </w:tcPr>
          <w:p w14:paraId="2AC8CA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</w:t>
            </w:r>
          </w:p>
        </w:tc>
      </w:tr>
      <w:tr w14:paraId="7CD8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15DFEA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1850" w:type="pct"/>
            <w:vAlign w:val="center"/>
          </w:tcPr>
          <w:p w14:paraId="42513A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通信、接口与数据</w:t>
            </w:r>
          </w:p>
        </w:tc>
        <w:tc>
          <w:tcPr>
            <w:tcW w:w="650" w:type="pct"/>
            <w:vAlign w:val="center"/>
          </w:tcPr>
          <w:p w14:paraId="5A1EDA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7A62AA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35</w:t>
            </w:r>
          </w:p>
        </w:tc>
        <w:tc>
          <w:tcPr>
            <w:tcW w:w="650" w:type="pct"/>
            <w:vAlign w:val="center"/>
          </w:tcPr>
          <w:p w14:paraId="01C9C6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18</w:t>
            </w:r>
          </w:p>
        </w:tc>
        <w:tc>
          <w:tcPr>
            <w:tcW w:w="500" w:type="pct"/>
            <w:vAlign w:val="center"/>
          </w:tcPr>
          <w:p w14:paraId="7EA01F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</w:t>
            </w:r>
          </w:p>
        </w:tc>
      </w:tr>
      <w:tr w14:paraId="26BE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1C0D21C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1850" w:type="pct"/>
            <w:vAlign w:val="center"/>
          </w:tcPr>
          <w:p w14:paraId="1674BE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参数管理与FRAM持久化</w:t>
            </w:r>
          </w:p>
        </w:tc>
        <w:tc>
          <w:tcPr>
            <w:tcW w:w="650" w:type="pct"/>
            <w:vAlign w:val="center"/>
          </w:tcPr>
          <w:p w14:paraId="1D879E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155DFC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32</w:t>
            </w:r>
          </w:p>
        </w:tc>
        <w:tc>
          <w:tcPr>
            <w:tcW w:w="650" w:type="pct"/>
            <w:vAlign w:val="center"/>
          </w:tcPr>
          <w:p w14:paraId="45F5EBE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</w:t>
            </w:r>
          </w:p>
        </w:tc>
        <w:tc>
          <w:tcPr>
            <w:tcW w:w="500" w:type="pct"/>
            <w:vAlign w:val="center"/>
          </w:tcPr>
          <w:p w14:paraId="49F6B9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</w:t>
            </w:r>
          </w:p>
        </w:tc>
      </w:tr>
      <w:tr w14:paraId="6981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08A916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1850" w:type="pct"/>
            <w:vAlign w:val="center"/>
          </w:tcPr>
          <w:p w14:paraId="2ADFC0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故障恢复与安全机制</w:t>
            </w:r>
          </w:p>
        </w:tc>
        <w:tc>
          <w:tcPr>
            <w:tcW w:w="650" w:type="pct"/>
            <w:vAlign w:val="center"/>
          </w:tcPr>
          <w:p w14:paraId="6F828A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6649D9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38</w:t>
            </w:r>
          </w:p>
        </w:tc>
        <w:tc>
          <w:tcPr>
            <w:tcW w:w="650" w:type="pct"/>
            <w:vAlign w:val="center"/>
          </w:tcPr>
          <w:p w14:paraId="312705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28</w:t>
            </w:r>
          </w:p>
        </w:tc>
        <w:tc>
          <w:tcPr>
            <w:tcW w:w="500" w:type="pct"/>
            <w:vAlign w:val="center"/>
          </w:tcPr>
          <w:p w14:paraId="303832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9</w:t>
            </w:r>
          </w:p>
        </w:tc>
      </w:tr>
      <w:tr w14:paraId="4B88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4B3D11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1850" w:type="pct"/>
            <w:vAlign w:val="center"/>
          </w:tcPr>
          <w:p w14:paraId="724BEF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输出控制与硬件服务</w:t>
            </w:r>
          </w:p>
        </w:tc>
        <w:tc>
          <w:tcPr>
            <w:tcW w:w="650" w:type="pct"/>
            <w:vAlign w:val="center"/>
          </w:tcPr>
          <w:p w14:paraId="0EB239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15B379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49</w:t>
            </w:r>
          </w:p>
        </w:tc>
        <w:tc>
          <w:tcPr>
            <w:tcW w:w="650" w:type="pct"/>
            <w:vAlign w:val="center"/>
          </w:tcPr>
          <w:p w14:paraId="3A82E4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43</w:t>
            </w:r>
          </w:p>
        </w:tc>
        <w:tc>
          <w:tcPr>
            <w:tcW w:w="500" w:type="pct"/>
            <w:vAlign w:val="center"/>
          </w:tcPr>
          <w:p w14:paraId="47148E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8</w:t>
            </w:r>
          </w:p>
        </w:tc>
      </w:tr>
      <w:tr w14:paraId="2F1E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75F99F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1850" w:type="pct"/>
            <w:vAlign w:val="center"/>
          </w:tcPr>
          <w:p w14:paraId="60C3E2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追踪、验证与附录</w:t>
            </w:r>
          </w:p>
        </w:tc>
        <w:tc>
          <w:tcPr>
            <w:tcW w:w="650" w:type="pct"/>
            <w:vAlign w:val="center"/>
          </w:tcPr>
          <w:p w14:paraId="653841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650" w:type="pct"/>
            <w:vAlign w:val="center"/>
          </w:tcPr>
          <w:p w14:paraId="527F24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30</w:t>
            </w:r>
          </w:p>
        </w:tc>
        <w:tc>
          <w:tcPr>
            <w:tcW w:w="650" w:type="pct"/>
            <w:vAlign w:val="center"/>
          </w:tcPr>
          <w:p w14:paraId="1D1595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</w:t>
            </w:r>
          </w:p>
        </w:tc>
        <w:tc>
          <w:tcPr>
            <w:tcW w:w="500" w:type="pct"/>
            <w:vAlign w:val="center"/>
          </w:tcPr>
          <w:p w14:paraId="66D2C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</w:tr>
    </w:tbl>
    <w:p w14:paraId="1BAEE836"/>
    <w:p w14:paraId="586A106F">
      <w:pPr>
        <w:pStyle w:val="4"/>
      </w:pPr>
      <w:bookmarkStart w:id="9" w:name="_Toc3368"/>
      <w:r>
        <w:t>责任边界</w:t>
      </w:r>
      <w:bookmarkEnd w:id="9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1D92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0" w:type="pct"/>
            <w:vAlign w:val="center"/>
          </w:tcPr>
          <w:p w14:paraId="3006BF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主题</w:t>
            </w:r>
          </w:p>
        </w:tc>
        <w:tc>
          <w:tcPr>
            <w:tcW w:w="1150" w:type="pct"/>
            <w:vAlign w:val="center"/>
          </w:tcPr>
          <w:p w14:paraId="1A6D77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唯一维护分册</w:t>
            </w:r>
          </w:p>
        </w:tc>
        <w:tc>
          <w:tcPr>
            <w:tcW w:w="1300" w:type="pct"/>
            <w:vAlign w:val="center"/>
          </w:tcPr>
          <w:p w14:paraId="536399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可以引用</w:t>
            </w:r>
          </w:p>
        </w:tc>
        <w:tc>
          <w:tcPr>
            <w:tcW w:w="1450" w:type="pct"/>
            <w:vAlign w:val="center"/>
          </w:tcPr>
          <w:p w14:paraId="3546E53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不得替代</w:t>
            </w:r>
          </w:p>
        </w:tc>
      </w:tr>
      <w:tr w14:paraId="1A22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63E379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启动、调度和上下文</w:t>
            </w:r>
          </w:p>
        </w:tc>
        <w:tc>
          <w:tcPr>
            <w:tcW w:w="1150" w:type="pct"/>
            <w:vAlign w:val="center"/>
          </w:tcPr>
          <w:p w14:paraId="21DD47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1300" w:type="pct"/>
            <w:vAlign w:val="center"/>
          </w:tcPr>
          <w:p w14:paraId="1748B0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第5、6分册</w:t>
            </w:r>
          </w:p>
        </w:tc>
        <w:tc>
          <w:tcPr>
            <w:tcW w:w="1450" w:type="pct"/>
            <w:vAlign w:val="center"/>
          </w:tcPr>
          <w:p w14:paraId="7D46176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各业务状态机正文</w:t>
            </w:r>
          </w:p>
        </w:tc>
      </w:tr>
      <w:tr w14:paraId="52AFB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7B9596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测量和传感器</w:t>
            </w:r>
          </w:p>
        </w:tc>
        <w:tc>
          <w:tcPr>
            <w:tcW w:w="1150" w:type="pct"/>
            <w:vAlign w:val="center"/>
          </w:tcPr>
          <w:p w14:paraId="36E13B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1300" w:type="pct"/>
            <w:vAlign w:val="center"/>
          </w:tcPr>
          <w:p w14:paraId="609725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第2B、3、5分册</w:t>
            </w:r>
          </w:p>
        </w:tc>
        <w:tc>
          <w:tcPr>
            <w:tcW w:w="1450" w:type="pct"/>
            <w:vAlign w:val="center"/>
          </w:tcPr>
          <w:p w14:paraId="4B4375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运动与编码器详细设计</w:t>
            </w:r>
          </w:p>
        </w:tc>
      </w:tr>
      <w:tr w14:paraId="31B2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30B27E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运动、位置和编码器</w:t>
            </w:r>
          </w:p>
        </w:tc>
        <w:tc>
          <w:tcPr>
            <w:tcW w:w="1150" w:type="pct"/>
            <w:vAlign w:val="center"/>
          </w:tcPr>
          <w:p w14:paraId="34E3C0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1300" w:type="pct"/>
            <w:vAlign w:val="center"/>
          </w:tcPr>
          <w:p w14:paraId="76CE720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第2A、4、5分册</w:t>
            </w:r>
          </w:p>
        </w:tc>
        <w:tc>
          <w:tcPr>
            <w:tcW w:w="1450" w:type="pct"/>
            <w:vAlign w:val="center"/>
          </w:tcPr>
          <w:p w14:paraId="38663C5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测量策略和传感器协议</w:t>
            </w:r>
          </w:p>
        </w:tc>
      </w:tr>
      <w:tr w14:paraId="5095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3AD764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通信和共享数据</w:t>
            </w:r>
          </w:p>
        </w:tc>
        <w:tc>
          <w:tcPr>
            <w:tcW w:w="1150" w:type="pct"/>
            <w:vAlign w:val="center"/>
          </w:tcPr>
          <w:p w14:paraId="61345C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1300" w:type="pct"/>
            <w:vAlign w:val="center"/>
          </w:tcPr>
          <w:p w14:paraId="2626D5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第1、4、6分册</w:t>
            </w:r>
          </w:p>
        </w:tc>
        <w:tc>
          <w:tcPr>
            <w:tcW w:w="1450" w:type="pct"/>
            <w:vAlign w:val="center"/>
          </w:tcPr>
          <w:p w14:paraId="7FE98F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参数持久化或输出内部策略</w:t>
            </w:r>
          </w:p>
        </w:tc>
      </w:tr>
      <w:tr w14:paraId="36B6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257BD8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参数和FRAM</w:t>
            </w:r>
          </w:p>
        </w:tc>
        <w:tc>
          <w:tcPr>
            <w:tcW w:w="1150" w:type="pct"/>
            <w:vAlign w:val="center"/>
          </w:tcPr>
          <w:p w14:paraId="4669A2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1300" w:type="pct"/>
            <w:vAlign w:val="center"/>
          </w:tcPr>
          <w:p w14:paraId="37D05C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第2B、3、5分册</w:t>
            </w:r>
          </w:p>
        </w:tc>
        <w:tc>
          <w:tcPr>
            <w:tcW w:w="1450" w:type="pct"/>
            <w:vAlign w:val="center"/>
          </w:tcPr>
          <w:p w14:paraId="607B33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业务消费和安全处置详情</w:t>
            </w:r>
          </w:p>
        </w:tc>
      </w:tr>
      <w:tr w14:paraId="2D2B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533C01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故障、恢复和安全门禁</w:t>
            </w:r>
          </w:p>
        </w:tc>
        <w:tc>
          <w:tcPr>
            <w:tcW w:w="1150" w:type="pct"/>
            <w:vAlign w:val="center"/>
          </w:tcPr>
          <w:p w14:paraId="60641C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1300" w:type="pct"/>
            <w:vAlign w:val="center"/>
          </w:tcPr>
          <w:p w14:paraId="6DE9A7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全部专业分册</w:t>
            </w:r>
          </w:p>
        </w:tc>
        <w:tc>
          <w:tcPr>
            <w:tcW w:w="1450" w:type="pct"/>
            <w:vAlign w:val="center"/>
          </w:tcPr>
          <w:p w14:paraId="5B7B41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各硬件服务的正常路径</w:t>
            </w:r>
          </w:p>
        </w:tc>
      </w:tr>
      <w:tr w14:paraId="5687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3BA62F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AO、HART、继电器和BSP</w:t>
            </w:r>
          </w:p>
        </w:tc>
        <w:tc>
          <w:tcPr>
            <w:tcW w:w="1150" w:type="pct"/>
            <w:vAlign w:val="center"/>
          </w:tcPr>
          <w:p w14:paraId="5508434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1300" w:type="pct"/>
            <w:vAlign w:val="center"/>
          </w:tcPr>
          <w:p w14:paraId="46A4BB9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第1、3、5分册</w:t>
            </w:r>
          </w:p>
        </w:tc>
        <w:tc>
          <w:tcPr>
            <w:tcW w:w="1450" w:type="pct"/>
            <w:vAlign w:val="center"/>
          </w:tcPr>
          <w:p w14:paraId="7E35CFB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板间协议和全局故障策略</w:t>
            </w:r>
          </w:p>
        </w:tc>
      </w:tr>
      <w:tr w14:paraId="67EB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pct"/>
            <w:vAlign w:val="center"/>
          </w:tcPr>
          <w:p w14:paraId="442CE1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追踪、验证和附录</w:t>
            </w:r>
          </w:p>
        </w:tc>
        <w:tc>
          <w:tcPr>
            <w:tcW w:w="1150" w:type="pct"/>
            <w:vAlign w:val="center"/>
          </w:tcPr>
          <w:p w14:paraId="6C122D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1300" w:type="pct"/>
            <w:vAlign w:val="center"/>
          </w:tcPr>
          <w:p w14:paraId="7A19F4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所有责任分册</w:t>
            </w:r>
          </w:p>
        </w:tc>
        <w:tc>
          <w:tcPr>
            <w:tcW w:w="1450" w:type="pct"/>
            <w:vAlign w:val="center"/>
          </w:tcPr>
          <w:p w14:paraId="198C69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专业分册的技术事实</w:t>
            </w:r>
          </w:p>
        </w:tc>
      </w:tr>
    </w:tbl>
    <w:p w14:paraId="2D58B11B"/>
    <w:p w14:paraId="6E1C9579">
      <w:pPr>
        <w:pStyle w:val="2"/>
      </w:pPr>
      <w:bookmarkStart w:id="10" w:name="_Toc16689"/>
      <w:r>
        <w:t>软件总体上下文</w:t>
      </w:r>
      <w:bookmarkEnd w:id="10"/>
    </w:p>
    <w:p w14:paraId="2FE6DE00">
      <w:pPr>
        <w:jc w:val="both"/>
      </w:pPr>
      <w:r>
        <w:rPr>
          <w:rFonts w:ascii="Times New Roman" w:hAnsi="Times New Roman" w:eastAsia="华文楷体"/>
          <w:b w:val="0"/>
          <w:sz w:val="21"/>
        </w:rPr>
        <w:t>CPU2是测量业务、运动控制、传感器访问、参数运行态和关键输出控制的权威执行端。CPU3通过板间Modbus获取参数、状态和测量结果，并向CPU2发布受控命令。CPU2同时连接传感器、编码器、FRAM、AO/HART、继电器、电源监测和电机驱动等资源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1A8D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vAlign w:val="center"/>
          </w:tcPr>
          <w:p w14:paraId="35047D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外部对象</w:t>
            </w:r>
          </w:p>
        </w:tc>
        <w:tc>
          <w:tcPr>
            <w:tcW w:w="2000" w:type="pct"/>
            <w:vAlign w:val="center"/>
          </w:tcPr>
          <w:p w14:paraId="3E1A182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CPU2职责</w:t>
            </w:r>
          </w:p>
        </w:tc>
        <w:tc>
          <w:tcPr>
            <w:tcW w:w="1100" w:type="pct"/>
            <w:vAlign w:val="center"/>
          </w:tcPr>
          <w:p w14:paraId="071114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主要接口</w:t>
            </w:r>
          </w:p>
        </w:tc>
        <w:tc>
          <w:tcPr>
            <w:tcW w:w="1000" w:type="pct"/>
            <w:vAlign w:val="center"/>
          </w:tcPr>
          <w:p w14:paraId="63BED4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责任分册</w:t>
            </w:r>
          </w:p>
        </w:tc>
      </w:tr>
      <w:tr w14:paraId="7963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4D162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</w:t>
            </w:r>
          </w:p>
        </w:tc>
        <w:tc>
          <w:tcPr>
            <w:tcW w:w="2000" w:type="pct"/>
            <w:vAlign w:val="center"/>
          </w:tcPr>
          <w:p w14:paraId="0900AF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业务数据权威端、命令执行端</w:t>
            </w:r>
          </w:p>
        </w:tc>
        <w:tc>
          <w:tcPr>
            <w:tcW w:w="1100" w:type="pct"/>
            <w:vAlign w:val="center"/>
          </w:tcPr>
          <w:p w14:paraId="42C8E6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 Modbus</w:t>
            </w:r>
          </w:p>
        </w:tc>
        <w:tc>
          <w:tcPr>
            <w:tcW w:w="1000" w:type="pct"/>
            <w:vAlign w:val="center"/>
          </w:tcPr>
          <w:p w14:paraId="5A0D53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第3、4分册</w:t>
            </w:r>
          </w:p>
        </w:tc>
      </w:tr>
      <w:tr w14:paraId="5D50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671804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</w:t>
            </w:r>
          </w:p>
        </w:tc>
        <w:tc>
          <w:tcPr>
            <w:tcW w:w="2000" w:type="pct"/>
            <w:vAlign w:val="center"/>
          </w:tcPr>
          <w:p w14:paraId="1C6D75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识别、命令、测量和完整性检查</w:t>
            </w:r>
          </w:p>
        </w:tc>
        <w:tc>
          <w:tcPr>
            <w:tcW w:w="1100" w:type="pct"/>
            <w:vAlign w:val="center"/>
          </w:tcPr>
          <w:p w14:paraId="064C6C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USART6和无线模块</w:t>
            </w:r>
          </w:p>
        </w:tc>
        <w:tc>
          <w:tcPr>
            <w:tcW w:w="1000" w:type="pct"/>
            <w:vAlign w:val="center"/>
          </w:tcPr>
          <w:p w14:paraId="318663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第2A、3分册</w:t>
            </w:r>
          </w:p>
        </w:tc>
      </w:tr>
      <w:tr w14:paraId="46E8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5A189E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运动机构</w:t>
            </w:r>
          </w:p>
        </w:tc>
        <w:tc>
          <w:tcPr>
            <w:tcW w:w="2000" w:type="pct"/>
            <w:vAlign w:val="center"/>
          </w:tcPr>
          <w:p w14:paraId="517580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驱动、位置模型、编码器闭环和停机</w:t>
            </w:r>
          </w:p>
        </w:tc>
        <w:tc>
          <w:tcPr>
            <w:tcW w:w="1100" w:type="pct"/>
            <w:vAlign w:val="center"/>
          </w:tcPr>
          <w:p w14:paraId="1729115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SPI、GPIO和定时器</w:t>
            </w:r>
          </w:p>
        </w:tc>
        <w:tc>
          <w:tcPr>
            <w:tcW w:w="1000" w:type="pct"/>
            <w:vAlign w:val="center"/>
          </w:tcPr>
          <w:p w14:paraId="336F2A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第2B、5、6分册</w:t>
            </w:r>
          </w:p>
        </w:tc>
      </w:tr>
      <w:tr w14:paraId="6EEF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B963A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现场输出</w:t>
            </w:r>
          </w:p>
        </w:tc>
        <w:tc>
          <w:tcPr>
            <w:tcW w:w="2000" w:type="pct"/>
            <w:vAlign w:val="center"/>
          </w:tcPr>
          <w:p w14:paraId="2BEE8D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AO/HART和继电器控制</w:t>
            </w:r>
          </w:p>
        </w:tc>
        <w:tc>
          <w:tcPr>
            <w:tcW w:w="1100" w:type="pct"/>
            <w:vAlign w:val="center"/>
          </w:tcPr>
          <w:p w14:paraId="5FDD87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SPI、USART2和GPIO</w:t>
            </w:r>
          </w:p>
        </w:tc>
        <w:tc>
          <w:tcPr>
            <w:tcW w:w="1000" w:type="pct"/>
            <w:vAlign w:val="center"/>
          </w:tcPr>
          <w:p w14:paraId="5173D4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第3、6分册</w:t>
            </w:r>
          </w:p>
        </w:tc>
      </w:tr>
      <w:tr w14:paraId="34A66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5E356E0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持久化</w:t>
            </w:r>
          </w:p>
        </w:tc>
        <w:tc>
          <w:tcPr>
            <w:tcW w:w="2000" w:type="pct"/>
            <w:vAlign w:val="center"/>
          </w:tcPr>
          <w:p w14:paraId="573885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参数和位置记录的保存、校验与恢复</w:t>
            </w:r>
          </w:p>
        </w:tc>
        <w:tc>
          <w:tcPr>
            <w:tcW w:w="1100" w:type="pct"/>
            <w:vAlign w:val="center"/>
          </w:tcPr>
          <w:p w14:paraId="1DA225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 FRAM</w:t>
            </w:r>
          </w:p>
        </w:tc>
        <w:tc>
          <w:tcPr>
            <w:tcW w:w="1000" w:type="pct"/>
            <w:vAlign w:val="center"/>
          </w:tcPr>
          <w:p w14:paraId="0BF3ED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第2B、4、5分册</w:t>
            </w:r>
          </w:p>
        </w:tc>
      </w:tr>
      <w:tr w14:paraId="548D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0C1AD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电源与看门狗</w:t>
            </w:r>
          </w:p>
        </w:tc>
        <w:tc>
          <w:tcPr>
            <w:tcW w:w="2000" w:type="pct"/>
            <w:vAlign w:val="center"/>
          </w:tcPr>
          <w:p w14:paraId="213C46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低压门禁、紧急保存和复位边界</w:t>
            </w:r>
          </w:p>
        </w:tc>
        <w:tc>
          <w:tcPr>
            <w:tcW w:w="1100" w:type="pct"/>
            <w:vAlign w:val="center"/>
          </w:tcPr>
          <w:p w14:paraId="64E35C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ADC、TIM4、IWDG</w:t>
            </w:r>
          </w:p>
        </w:tc>
        <w:tc>
          <w:tcPr>
            <w:tcW w:w="1000" w:type="pct"/>
            <w:vAlign w:val="center"/>
          </w:tcPr>
          <w:p w14:paraId="1D93A0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第1、2B、4、5、6分册</w:t>
            </w:r>
          </w:p>
        </w:tc>
      </w:tr>
    </w:tbl>
    <w:p w14:paraId="1646386E"/>
    <w:p w14:paraId="1E11CC13">
      <w:pPr>
        <w:pStyle w:val="2"/>
      </w:pPr>
      <w:bookmarkStart w:id="11" w:name="_Toc32085"/>
      <w:r>
        <w:t>统一设计、编号与证据规则</w:t>
      </w:r>
      <w:bookmarkEnd w:id="11"/>
    </w:p>
    <w:p w14:paraId="33E083E3">
      <w:pPr>
        <w:pStyle w:val="4"/>
      </w:pPr>
      <w:bookmarkStart w:id="12" w:name="_Toc15071"/>
      <w:r>
        <w:t>设计编号域</w:t>
      </w:r>
      <w:bookmarkEnd w:id="12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6"/>
        <w:gridCol w:w="2136"/>
      </w:tblGrid>
      <w:tr w14:paraId="35DF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pct"/>
            <w:vAlign w:val="center"/>
          </w:tcPr>
          <w:p w14:paraId="532713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前缀</w:t>
            </w:r>
          </w:p>
        </w:tc>
        <w:tc>
          <w:tcPr>
            <w:tcW w:w="1700" w:type="pct"/>
            <w:vAlign w:val="center"/>
          </w:tcPr>
          <w:p w14:paraId="7151198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设计域</w:t>
            </w:r>
          </w:p>
        </w:tc>
        <w:tc>
          <w:tcPr>
            <w:tcW w:w="1050" w:type="pct"/>
            <w:vAlign w:val="center"/>
          </w:tcPr>
          <w:p w14:paraId="79CFA5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责任分册</w:t>
            </w:r>
          </w:p>
        </w:tc>
        <w:tc>
          <w:tcPr>
            <w:tcW w:w="650" w:type="pct"/>
            <w:vAlign w:val="center"/>
          </w:tcPr>
          <w:p w14:paraId="1461D1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数量</w:t>
            </w:r>
          </w:p>
        </w:tc>
        <w:tc>
          <w:tcPr>
            <w:tcW w:w="800" w:type="pct"/>
            <w:vAlign w:val="center"/>
          </w:tcPr>
          <w:p w14:paraId="75C485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现行范围</w:t>
            </w:r>
          </w:p>
        </w:tc>
      </w:tr>
      <w:tr w14:paraId="310E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4EF674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SDD-ARC</w:t>
            </w:r>
          </w:p>
        </w:tc>
        <w:tc>
          <w:tcPr>
            <w:tcW w:w="1700" w:type="pct"/>
            <w:vAlign w:val="center"/>
          </w:tcPr>
          <w:p w14:paraId="7FC4AE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总体架构与调度</w:t>
            </w:r>
          </w:p>
        </w:tc>
        <w:tc>
          <w:tcPr>
            <w:tcW w:w="1050" w:type="pct"/>
            <w:vAlign w:val="center"/>
          </w:tcPr>
          <w:p w14:paraId="6D4EFA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650" w:type="pct"/>
            <w:vAlign w:val="center"/>
          </w:tcPr>
          <w:p w14:paraId="075476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</w:t>
            </w:r>
          </w:p>
        </w:tc>
        <w:tc>
          <w:tcPr>
            <w:tcW w:w="800" w:type="pct"/>
            <w:vAlign w:val="center"/>
          </w:tcPr>
          <w:p w14:paraId="3D667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003-007</w:t>
            </w:r>
          </w:p>
        </w:tc>
      </w:tr>
      <w:tr w14:paraId="1290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5D6E7A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</w:t>
            </w:r>
          </w:p>
        </w:tc>
        <w:tc>
          <w:tcPr>
            <w:tcW w:w="1700" w:type="pct"/>
            <w:vAlign w:val="center"/>
          </w:tcPr>
          <w:p w14:paraId="0EA589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测量、运动与传感器</w:t>
            </w:r>
          </w:p>
        </w:tc>
        <w:tc>
          <w:tcPr>
            <w:tcW w:w="1050" w:type="pct"/>
            <w:vAlign w:val="center"/>
          </w:tcPr>
          <w:p w14:paraId="61E9E6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第2A/2B分册</w:t>
            </w:r>
          </w:p>
        </w:tc>
        <w:tc>
          <w:tcPr>
            <w:tcW w:w="650" w:type="pct"/>
            <w:vAlign w:val="center"/>
          </w:tcPr>
          <w:p w14:paraId="3F3D87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48</w:t>
            </w:r>
          </w:p>
        </w:tc>
        <w:tc>
          <w:tcPr>
            <w:tcW w:w="800" w:type="pct"/>
            <w:vAlign w:val="center"/>
          </w:tcPr>
          <w:p w14:paraId="632644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001-048</w:t>
            </w:r>
          </w:p>
        </w:tc>
      </w:tr>
      <w:tr w14:paraId="52AD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278FE3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</w:t>
            </w:r>
          </w:p>
        </w:tc>
        <w:tc>
          <w:tcPr>
            <w:tcW w:w="1700" w:type="pct"/>
            <w:vAlign w:val="center"/>
          </w:tcPr>
          <w:p w14:paraId="35DD3E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通信、接口与共享数据</w:t>
            </w:r>
          </w:p>
        </w:tc>
        <w:tc>
          <w:tcPr>
            <w:tcW w:w="1050" w:type="pct"/>
            <w:vAlign w:val="center"/>
          </w:tcPr>
          <w:p w14:paraId="334DC3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650" w:type="pct"/>
            <w:vAlign w:val="center"/>
          </w:tcPr>
          <w:p w14:paraId="0B3708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18</w:t>
            </w:r>
          </w:p>
        </w:tc>
        <w:tc>
          <w:tcPr>
            <w:tcW w:w="800" w:type="pct"/>
            <w:vAlign w:val="center"/>
          </w:tcPr>
          <w:p w14:paraId="618647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001-018</w:t>
            </w:r>
          </w:p>
        </w:tc>
      </w:tr>
      <w:tr w14:paraId="0B15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08CE41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SDD-PAR</w:t>
            </w:r>
          </w:p>
        </w:tc>
        <w:tc>
          <w:tcPr>
            <w:tcW w:w="1700" w:type="pct"/>
            <w:vAlign w:val="center"/>
          </w:tcPr>
          <w:p w14:paraId="374CC3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参数与持久化</w:t>
            </w:r>
          </w:p>
        </w:tc>
        <w:tc>
          <w:tcPr>
            <w:tcW w:w="1050" w:type="pct"/>
            <w:vAlign w:val="center"/>
          </w:tcPr>
          <w:p w14:paraId="5728BD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650" w:type="pct"/>
            <w:vAlign w:val="center"/>
          </w:tcPr>
          <w:p w14:paraId="08DF4E6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</w:t>
            </w:r>
          </w:p>
        </w:tc>
        <w:tc>
          <w:tcPr>
            <w:tcW w:w="800" w:type="pct"/>
            <w:vAlign w:val="center"/>
          </w:tcPr>
          <w:p w14:paraId="2CD591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001-019</w:t>
            </w:r>
          </w:p>
        </w:tc>
      </w:tr>
      <w:tr w14:paraId="7CC5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5B6FDA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SDD-FLT</w:t>
            </w:r>
          </w:p>
        </w:tc>
        <w:tc>
          <w:tcPr>
            <w:tcW w:w="1700" w:type="pct"/>
            <w:vAlign w:val="center"/>
          </w:tcPr>
          <w:p w14:paraId="007CE5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故障、恢复与安全机制</w:t>
            </w:r>
          </w:p>
        </w:tc>
        <w:tc>
          <w:tcPr>
            <w:tcW w:w="1050" w:type="pct"/>
            <w:vAlign w:val="center"/>
          </w:tcPr>
          <w:p w14:paraId="59DF9E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650" w:type="pct"/>
            <w:vAlign w:val="center"/>
          </w:tcPr>
          <w:p w14:paraId="4DF859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28</w:t>
            </w:r>
          </w:p>
        </w:tc>
        <w:tc>
          <w:tcPr>
            <w:tcW w:w="800" w:type="pct"/>
            <w:vAlign w:val="center"/>
          </w:tcPr>
          <w:p w14:paraId="54FEEE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001-028</w:t>
            </w:r>
          </w:p>
        </w:tc>
      </w:tr>
      <w:tr w14:paraId="1944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48AC81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</w:t>
            </w:r>
          </w:p>
        </w:tc>
        <w:tc>
          <w:tcPr>
            <w:tcW w:w="1700" w:type="pct"/>
            <w:vAlign w:val="center"/>
          </w:tcPr>
          <w:p w14:paraId="47A47C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输出控制与硬件服务</w:t>
            </w:r>
          </w:p>
        </w:tc>
        <w:tc>
          <w:tcPr>
            <w:tcW w:w="1050" w:type="pct"/>
            <w:vAlign w:val="center"/>
          </w:tcPr>
          <w:p w14:paraId="473ECA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650" w:type="pct"/>
            <w:vAlign w:val="center"/>
          </w:tcPr>
          <w:p w14:paraId="3445185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43</w:t>
            </w:r>
          </w:p>
        </w:tc>
        <w:tc>
          <w:tcPr>
            <w:tcW w:w="800" w:type="pct"/>
            <w:vAlign w:val="center"/>
          </w:tcPr>
          <w:p w14:paraId="0861A10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001-043</w:t>
            </w:r>
          </w:p>
        </w:tc>
      </w:tr>
      <w:tr w14:paraId="5300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vAlign w:val="center"/>
          </w:tcPr>
          <w:p w14:paraId="779B76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SDD-TRC</w:t>
            </w:r>
          </w:p>
        </w:tc>
        <w:tc>
          <w:tcPr>
            <w:tcW w:w="1700" w:type="pct"/>
            <w:vAlign w:val="center"/>
          </w:tcPr>
          <w:p w14:paraId="062AC3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追踪、验证与附录</w:t>
            </w:r>
          </w:p>
        </w:tc>
        <w:tc>
          <w:tcPr>
            <w:tcW w:w="1050" w:type="pct"/>
            <w:vAlign w:val="center"/>
          </w:tcPr>
          <w:p w14:paraId="46BA56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650" w:type="pct"/>
            <w:vAlign w:val="center"/>
          </w:tcPr>
          <w:p w14:paraId="4C76CF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</w:t>
            </w:r>
          </w:p>
        </w:tc>
        <w:tc>
          <w:tcPr>
            <w:tcW w:w="800" w:type="pct"/>
            <w:vAlign w:val="center"/>
          </w:tcPr>
          <w:p w14:paraId="497866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001-012</w:t>
            </w:r>
          </w:p>
        </w:tc>
      </w:tr>
    </w:tbl>
    <w:p w14:paraId="38C4393F"/>
    <w:p w14:paraId="3C7866B0">
      <w:pPr>
        <w:pStyle w:val="4"/>
      </w:pPr>
      <w:bookmarkStart w:id="13" w:name="_Toc31831"/>
      <w:r>
        <w:t>证据状态与处置状态</w:t>
      </w:r>
      <w:bookmarkEnd w:id="13"/>
    </w:p>
    <w:p w14:paraId="50293359">
      <w:pPr>
        <w:jc w:val="both"/>
      </w:pPr>
      <w:r>
        <w:rPr>
          <w:rFonts w:ascii="Times New Roman" w:hAnsi="Times New Roman" w:eastAsia="华文楷体"/>
          <w:b w:val="0"/>
          <w:sz w:val="21"/>
        </w:rPr>
        <w:t>为避免把证据层级、处置动作和自由说明混在一个状态字段中，后续追踪表统一拆分为“证据状态”和“处置状态”。转换完成前，复合文本必须能拆回下表的原子词，不得以“已验证”概括不同证据层级。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5CCED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0" w:type="pct"/>
            <w:vAlign w:val="center"/>
          </w:tcPr>
          <w:p w14:paraId="0E15F7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类别</w:t>
            </w:r>
          </w:p>
        </w:tc>
        <w:tc>
          <w:tcPr>
            <w:tcW w:w="1000" w:type="pct"/>
            <w:vAlign w:val="center"/>
          </w:tcPr>
          <w:p w14:paraId="685FD8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受控词</w:t>
            </w:r>
          </w:p>
        </w:tc>
        <w:tc>
          <w:tcPr>
            <w:tcW w:w="1750" w:type="pct"/>
            <w:vAlign w:val="center"/>
          </w:tcPr>
          <w:p w14:paraId="390D02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进入条件</w:t>
            </w:r>
          </w:p>
        </w:tc>
        <w:tc>
          <w:tcPr>
            <w:tcW w:w="1600" w:type="pct"/>
            <w:vAlign w:val="center"/>
          </w:tcPr>
          <w:p w14:paraId="794E8C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保持的限制</w:t>
            </w:r>
          </w:p>
        </w:tc>
      </w:tr>
      <w:tr w14:paraId="71CC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6650CE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1284F2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待需求映射</w:t>
            </w:r>
          </w:p>
        </w:tc>
        <w:tc>
          <w:tcPr>
            <w:tcW w:w="1750" w:type="pct"/>
            <w:vAlign w:val="center"/>
          </w:tcPr>
          <w:p w14:paraId="41F09C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尚无批准需求编号</w:t>
            </w:r>
          </w:p>
        </w:tc>
        <w:tc>
          <w:tcPr>
            <w:tcW w:w="1600" w:type="pct"/>
            <w:vAlign w:val="center"/>
          </w:tcPr>
          <w:p w14:paraId="4AF3FC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不能宣称需求覆盖</w:t>
            </w:r>
          </w:p>
        </w:tc>
      </w:tr>
      <w:tr w14:paraId="357F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3E0F45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4D7721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1750" w:type="pct"/>
            <w:vAlign w:val="center"/>
          </w:tcPr>
          <w:p w14:paraId="6382F8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当前符号和语义已复核</w:t>
            </w:r>
          </w:p>
        </w:tc>
        <w:tc>
          <w:tcPr>
            <w:tcW w:w="1600" w:type="pct"/>
            <w:vAlign w:val="center"/>
          </w:tcPr>
          <w:p w14:paraId="3EE4EC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动态和硬件结果未知</w:t>
            </w:r>
          </w:p>
        </w:tc>
      </w:tr>
      <w:tr w14:paraId="4D30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60C4DC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12C4E4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工作树构建预检通过</w:t>
            </w:r>
          </w:p>
        </w:tc>
        <w:tc>
          <w:tcPr>
            <w:tcW w:w="1750" w:type="pct"/>
            <w:vAlign w:val="center"/>
          </w:tcPr>
          <w:p w14:paraId="282EB7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指定工作树clean-first退出码为0</w:t>
            </w:r>
          </w:p>
        </w:tc>
        <w:tc>
          <w:tcPr>
            <w:tcW w:w="1600" w:type="pct"/>
            <w:vAlign w:val="center"/>
          </w:tcPr>
          <w:p w14:paraId="0F7DC6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不等于最终冻结基线；不证明外设和现场行为</w:t>
            </w:r>
          </w:p>
        </w:tc>
      </w:tr>
      <w:tr w14:paraId="6605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60CDE7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5412B0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门禁已通过</w:t>
            </w:r>
          </w:p>
        </w:tc>
        <w:tc>
          <w:tcPr>
            <w:tcW w:w="1750" w:type="pct"/>
            <w:vAlign w:val="center"/>
          </w:tcPr>
          <w:p w14:paraId="70F168F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指定自动检查通过</w:t>
            </w:r>
          </w:p>
        </w:tc>
        <w:tc>
          <w:tcPr>
            <w:tcW w:w="1600" w:type="pct"/>
            <w:vAlign w:val="center"/>
          </w:tcPr>
          <w:p w14:paraId="6B4D67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视觉和技术评审仍可否决</w:t>
            </w:r>
          </w:p>
        </w:tc>
      </w:tr>
      <w:tr w14:paraId="3BBD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7FFC9B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5D6573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构建已通过</w:t>
            </w:r>
          </w:p>
        </w:tc>
        <w:tc>
          <w:tcPr>
            <w:tcW w:w="1750" w:type="pct"/>
            <w:vAlign w:val="center"/>
          </w:tcPr>
          <w:p w14:paraId="301AF3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最终代码clean-first构建通过</w:t>
            </w:r>
          </w:p>
        </w:tc>
        <w:tc>
          <w:tcPr>
            <w:tcW w:w="1600" w:type="pct"/>
            <w:vAlign w:val="center"/>
          </w:tcPr>
          <w:p w14:paraId="5C3482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不证明外设和现场行为</w:t>
            </w:r>
          </w:p>
        </w:tc>
      </w:tr>
      <w:tr w14:paraId="2E00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166B1C9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43E64AA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主机测试已通过</w:t>
            </w:r>
          </w:p>
        </w:tc>
        <w:tc>
          <w:tcPr>
            <w:tcW w:w="1750" w:type="pct"/>
            <w:vAlign w:val="center"/>
          </w:tcPr>
          <w:p w14:paraId="15C7072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可重复主机用例通过</w:t>
            </w:r>
          </w:p>
        </w:tc>
        <w:tc>
          <w:tcPr>
            <w:tcW w:w="1600" w:type="pct"/>
            <w:vAlign w:val="center"/>
          </w:tcPr>
          <w:p w14:paraId="6E8CE7E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不证明目标板电气时序</w:t>
            </w:r>
          </w:p>
        </w:tc>
      </w:tr>
      <w:tr w14:paraId="27C9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3A3AAE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</w:t>
            </w:r>
          </w:p>
        </w:tc>
        <w:tc>
          <w:tcPr>
            <w:tcW w:w="1000" w:type="pct"/>
            <w:vAlign w:val="center"/>
          </w:tcPr>
          <w:p w14:paraId="2897CA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目标板/台架已通过</w:t>
            </w:r>
          </w:p>
        </w:tc>
        <w:tc>
          <w:tcPr>
            <w:tcW w:w="1750" w:type="pct"/>
            <w:vAlign w:val="center"/>
          </w:tcPr>
          <w:p w14:paraId="04F614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受控硬件用例和原始证据通过</w:t>
            </w:r>
          </w:p>
        </w:tc>
        <w:tc>
          <w:tcPr>
            <w:tcW w:w="1600" w:type="pct"/>
            <w:vAlign w:val="center"/>
          </w:tcPr>
          <w:p w14:paraId="1F772A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不自动等于现场或认证</w:t>
            </w:r>
          </w:p>
        </w:tc>
      </w:tr>
      <w:tr w14:paraId="3572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11B7DD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处置</w:t>
            </w:r>
          </w:p>
        </w:tc>
        <w:tc>
          <w:tcPr>
            <w:tcW w:w="1000" w:type="pct"/>
            <w:vAlign w:val="center"/>
          </w:tcPr>
          <w:p w14:paraId="3FCF6A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  <w:tc>
          <w:tcPr>
            <w:tcW w:w="1750" w:type="pct"/>
            <w:vAlign w:val="center"/>
          </w:tcPr>
          <w:p w14:paraId="40C842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已确认设计或实现缺口</w:t>
            </w:r>
          </w:p>
        </w:tc>
        <w:tc>
          <w:tcPr>
            <w:tcW w:w="1600" w:type="pct"/>
            <w:vAlign w:val="center"/>
          </w:tcPr>
          <w:p w14:paraId="22B74D6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关闭前不得降级为普通待验证</w:t>
            </w:r>
          </w:p>
        </w:tc>
      </w:tr>
      <w:tr w14:paraId="1D2C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5F1099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处置</w:t>
            </w:r>
          </w:p>
        </w:tc>
        <w:tc>
          <w:tcPr>
            <w:tcW w:w="1000" w:type="pct"/>
            <w:vAlign w:val="center"/>
          </w:tcPr>
          <w:p w14:paraId="31F52D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  <w:tc>
          <w:tcPr>
            <w:tcW w:w="1750" w:type="pct"/>
            <w:vAlign w:val="center"/>
          </w:tcPr>
          <w:p w14:paraId="638D52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语义、基线或接受准则存在缺口</w:t>
            </w:r>
          </w:p>
        </w:tc>
        <w:tc>
          <w:tcPr>
            <w:tcW w:w="1600" w:type="pct"/>
            <w:vAlign w:val="center"/>
          </w:tcPr>
          <w:p w14:paraId="493E37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取得批准依据前不提升</w:t>
            </w:r>
          </w:p>
        </w:tc>
      </w:tr>
      <w:tr w14:paraId="5ACB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481446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处置</w:t>
            </w:r>
          </w:p>
        </w:tc>
        <w:tc>
          <w:tcPr>
            <w:tcW w:w="1000" w:type="pct"/>
            <w:vAlign w:val="center"/>
          </w:tcPr>
          <w:p w14:paraId="5D6ED62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  <w:tc>
          <w:tcPr>
            <w:tcW w:w="1750" w:type="pct"/>
            <w:vAlign w:val="center"/>
          </w:tcPr>
          <w:p w14:paraId="6399E1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验证或评审活动已定义</w:t>
            </w:r>
          </w:p>
        </w:tc>
        <w:tc>
          <w:tcPr>
            <w:tcW w:w="1600" w:type="pct"/>
            <w:vAlign w:val="center"/>
          </w:tcPr>
          <w:p w14:paraId="31FA0F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不得写成已通过</w:t>
            </w:r>
          </w:p>
        </w:tc>
      </w:tr>
      <w:tr w14:paraId="0242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25A4D3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处置</w:t>
            </w:r>
          </w:p>
        </w:tc>
        <w:tc>
          <w:tcPr>
            <w:tcW w:w="1000" w:type="pct"/>
            <w:vAlign w:val="center"/>
          </w:tcPr>
          <w:p w14:paraId="4B05B4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持续检查</w:t>
            </w:r>
          </w:p>
        </w:tc>
        <w:tc>
          <w:tcPr>
            <w:tcW w:w="1750" w:type="pct"/>
            <w:vAlign w:val="center"/>
          </w:tcPr>
          <w:p w14:paraId="1D450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属于每次变更都必须重跑的规则</w:t>
            </w:r>
          </w:p>
        </w:tc>
        <w:tc>
          <w:tcPr>
            <w:tcW w:w="1600" w:type="pct"/>
            <w:vAlign w:val="center"/>
          </w:tcPr>
          <w:p w14:paraId="067F57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不代表风险已关闭</w:t>
            </w:r>
          </w:p>
        </w:tc>
      </w:tr>
    </w:tbl>
    <w:p w14:paraId="0C3324FE">
      <w:pPr>
        <w:pStyle w:val="2"/>
        <w:pageBreakBefore/>
      </w:pPr>
      <w:bookmarkStart w:id="14" w:name="_Toc6620"/>
      <w:r>
        <w:t>跨卷设计约束</w:t>
      </w:r>
      <w:bookmarkEnd w:id="1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0E52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vAlign w:val="center"/>
          </w:tcPr>
          <w:p w14:paraId="3C6C9EC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约束域</w:t>
            </w:r>
          </w:p>
        </w:tc>
        <w:tc>
          <w:tcPr>
            <w:tcW w:w="2050" w:type="pct"/>
            <w:vAlign w:val="center"/>
          </w:tcPr>
          <w:p w14:paraId="2929B8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统一约束</w:t>
            </w:r>
          </w:p>
        </w:tc>
        <w:tc>
          <w:tcPr>
            <w:tcW w:w="1050" w:type="pct"/>
            <w:vAlign w:val="center"/>
          </w:tcPr>
          <w:p w14:paraId="3AA768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责任分册</w:t>
            </w:r>
          </w:p>
        </w:tc>
        <w:tc>
          <w:tcPr>
            <w:tcW w:w="1000" w:type="pct"/>
            <w:vAlign w:val="center"/>
          </w:tcPr>
          <w:p w14:paraId="55B3E4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重点验证</w:t>
            </w:r>
          </w:p>
        </w:tc>
      </w:tr>
      <w:tr w14:paraId="34A4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0993A1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版本与协议</w:t>
            </w:r>
          </w:p>
        </w:tc>
        <w:tc>
          <w:tcPr>
            <w:tcW w:w="2050" w:type="pct"/>
            <w:vAlign w:val="center"/>
          </w:tcPr>
          <w:p w14:paraId="24D28F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CPU2和CPU3固件版本独立；共享契约仅以协议版本宏判断</w:t>
            </w:r>
          </w:p>
        </w:tc>
        <w:tc>
          <w:tcPr>
            <w:tcW w:w="1050" w:type="pct"/>
            <w:vAlign w:val="center"/>
          </w:tcPr>
          <w:p w14:paraId="11D240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第3、7分册</w:t>
            </w:r>
          </w:p>
        </w:tc>
        <w:tc>
          <w:tcPr>
            <w:tcW w:w="1000" w:type="pct"/>
            <w:vAlign w:val="center"/>
          </w:tcPr>
          <w:p w14:paraId="2217FE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版本不匹配、完整重同步</w:t>
            </w:r>
          </w:p>
        </w:tc>
      </w:tr>
      <w:tr w14:paraId="1CB7B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4B1F57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参数链路</w:t>
            </w:r>
          </w:p>
        </w:tc>
        <w:tc>
          <w:tcPr>
            <w:tcW w:w="2050" w:type="pct"/>
            <w:vAlign w:val="center"/>
          </w:tcPr>
          <w:p w14:paraId="1E2E90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追踪入口、校验、持久化、运行态、消费、输出和恢复</w:t>
            </w:r>
          </w:p>
        </w:tc>
        <w:tc>
          <w:tcPr>
            <w:tcW w:w="1050" w:type="pct"/>
            <w:vAlign w:val="center"/>
          </w:tcPr>
          <w:p w14:paraId="6171F97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第3、4、6分册</w:t>
            </w:r>
          </w:p>
        </w:tc>
        <w:tc>
          <w:tcPr>
            <w:tcW w:w="1000" w:type="pct"/>
            <w:vAlign w:val="center"/>
          </w:tcPr>
          <w:p w14:paraId="0A0697C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ACK、延迟保存、重启和掉电</w:t>
            </w:r>
          </w:p>
        </w:tc>
      </w:tr>
      <w:tr w14:paraId="60B4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4AFA89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执行上下文</w:t>
            </w:r>
          </w:p>
        </w:tc>
        <w:tc>
          <w:tcPr>
            <w:tcW w:w="2050" w:type="pct"/>
            <w:vAlign w:val="center"/>
          </w:tcPr>
          <w:p w14:paraId="4957D1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中断只执行有界采样、硬门禁和事件投递；线程态承担日志和策略</w:t>
            </w:r>
          </w:p>
        </w:tc>
        <w:tc>
          <w:tcPr>
            <w:tcW w:w="1050" w:type="pct"/>
            <w:vAlign w:val="center"/>
          </w:tcPr>
          <w:p w14:paraId="35531A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第1、5、6分册</w:t>
            </w:r>
          </w:p>
        </w:tc>
        <w:tc>
          <w:tcPr>
            <w:tcW w:w="1000" w:type="pct"/>
            <w:vAlign w:val="center"/>
          </w:tcPr>
          <w:p w14:paraId="498201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PendSV最坏时间和阻塞故障</w:t>
            </w:r>
          </w:p>
        </w:tc>
      </w:tr>
      <w:tr w14:paraId="6EA0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50028B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故障出口</w:t>
            </w:r>
          </w:p>
        </w:tc>
        <w:tc>
          <w:tcPr>
            <w:tcW w:w="2050" w:type="pct"/>
            <w:vAlign w:val="center"/>
          </w:tcPr>
          <w:p w14:paraId="4C4DC4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保留最具体错误码，区分命令切换、待确认和最终故障</w:t>
            </w:r>
          </w:p>
        </w:tc>
        <w:tc>
          <w:tcPr>
            <w:tcW w:w="1050" w:type="pct"/>
            <w:vAlign w:val="center"/>
          </w:tcPr>
          <w:p w14:paraId="51C0E1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第2A/2B、5分册</w:t>
            </w:r>
          </w:p>
        </w:tc>
        <w:tc>
          <w:tcPr>
            <w:tcW w:w="1000" w:type="pct"/>
            <w:vAlign w:val="center"/>
          </w:tcPr>
          <w:p w14:paraId="54B281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故障注入、恢复上限和状态清理</w:t>
            </w:r>
          </w:p>
        </w:tc>
      </w:tr>
      <w:tr w14:paraId="7CC6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68E637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低压掉电</w:t>
            </w:r>
          </w:p>
        </w:tc>
        <w:tc>
          <w:tcPr>
            <w:tcW w:w="2050" w:type="pct"/>
            <w:vAlign w:val="center"/>
          </w:tcPr>
          <w:p w14:paraId="3D1C48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24 V低压链路必须同时覆盖编码器紧急持久化和普通FRAM门禁</w:t>
            </w:r>
          </w:p>
        </w:tc>
        <w:tc>
          <w:tcPr>
            <w:tcW w:w="1050" w:type="pct"/>
            <w:vAlign w:val="center"/>
          </w:tcPr>
          <w:p w14:paraId="7EDD4D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第2B、4、5、6分册</w:t>
            </w:r>
          </w:p>
        </w:tc>
        <w:tc>
          <w:tcPr>
            <w:tcW w:w="1000" w:type="pct"/>
            <w:vAlign w:val="center"/>
          </w:tcPr>
          <w:p w14:paraId="79AA48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断电时序、写入回执和重启恢复</w:t>
            </w:r>
          </w:p>
        </w:tc>
      </w:tr>
      <w:tr w14:paraId="3E77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3DAF3D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输出安全</w:t>
            </w:r>
          </w:p>
        </w:tc>
        <w:tc>
          <w:tcPr>
            <w:tcW w:w="2050" w:type="pct"/>
            <w:vAlign w:val="center"/>
          </w:tcPr>
          <w:p w14:paraId="5729DA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AO、HART和继电器的输入上界、异常退出和故障反馈不得互相替代</w:t>
            </w:r>
          </w:p>
        </w:tc>
        <w:tc>
          <w:tcPr>
            <w:tcW w:w="1050" w:type="pct"/>
            <w:vAlign w:val="center"/>
          </w:tcPr>
          <w:p w14:paraId="2C9DFC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第3、5、6分册</w:t>
            </w:r>
          </w:p>
        </w:tc>
        <w:tc>
          <w:tcPr>
            <w:tcW w:w="1000" w:type="pct"/>
            <w:vAlign w:val="center"/>
          </w:tcPr>
          <w:p w14:paraId="1EE66FD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模拟量、串口方向、触点和故障映射</w:t>
            </w:r>
          </w:p>
        </w:tc>
      </w:tr>
      <w:tr w14:paraId="39CA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vAlign w:val="center"/>
          </w:tcPr>
          <w:p w14:paraId="2D48FD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证据边界</w:t>
            </w:r>
          </w:p>
        </w:tc>
        <w:tc>
          <w:tcPr>
            <w:tcW w:w="2050" w:type="pct"/>
            <w:vAlign w:val="center"/>
          </w:tcPr>
          <w:p w14:paraId="730236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文档、源码、构建、主机、目标板、台架、现场和认证证据分层</w:t>
            </w:r>
          </w:p>
        </w:tc>
        <w:tc>
          <w:tcPr>
            <w:tcW w:w="1050" w:type="pct"/>
            <w:vAlign w:val="center"/>
          </w:tcPr>
          <w:p w14:paraId="3BB827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1000" w:type="pct"/>
            <w:vAlign w:val="center"/>
          </w:tcPr>
          <w:p w14:paraId="4679C1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证据原件、版本、环境和批准角色</w:t>
            </w:r>
          </w:p>
        </w:tc>
      </w:tr>
    </w:tbl>
    <w:p w14:paraId="4262C466"/>
    <w:p w14:paraId="4448AEC7">
      <w:pPr>
        <w:pStyle w:val="2"/>
      </w:pPr>
      <w:bookmarkStart w:id="15" w:name="_Toc27381"/>
      <w:r>
        <w:t>高风险与开放事项</w:t>
      </w:r>
      <w:bookmarkEnd w:id="15"/>
    </w:p>
    <w:p w14:paraId="43B4F3C2">
      <w:pPr>
        <w:pStyle w:val="4"/>
      </w:pPr>
      <w:bookmarkStart w:id="16" w:name="_Toc19551"/>
      <w:r>
        <w:t>当前必须保留的问题</w:t>
      </w:r>
      <w:bookmarkEnd w:id="1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6"/>
        <w:gridCol w:w="2136"/>
      </w:tblGrid>
      <w:tr w14:paraId="0AEB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0" w:type="pct"/>
            <w:vAlign w:val="center"/>
          </w:tcPr>
          <w:p w14:paraId="790497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编号</w:t>
            </w:r>
          </w:p>
        </w:tc>
        <w:tc>
          <w:tcPr>
            <w:tcW w:w="2300" w:type="pct"/>
            <w:vAlign w:val="center"/>
          </w:tcPr>
          <w:p w14:paraId="217454A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问题或限制</w:t>
            </w:r>
          </w:p>
        </w:tc>
        <w:tc>
          <w:tcPr>
            <w:tcW w:w="650" w:type="pct"/>
            <w:vAlign w:val="center"/>
          </w:tcPr>
          <w:p w14:paraId="0A5D7E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影响分册</w:t>
            </w:r>
          </w:p>
        </w:tc>
        <w:tc>
          <w:tcPr>
            <w:tcW w:w="750" w:type="pct"/>
            <w:vAlign w:val="center"/>
          </w:tcPr>
          <w:p w14:paraId="460085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证据状态</w:t>
            </w:r>
          </w:p>
        </w:tc>
        <w:tc>
          <w:tcPr>
            <w:tcW w:w="800" w:type="pct"/>
            <w:vAlign w:val="center"/>
          </w:tcPr>
          <w:p w14:paraId="47AFD75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处置状态</w:t>
            </w:r>
          </w:p>
        </w:tc>
      </w:tr>
      <w:tr w14:paraId="15C2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1FC1A2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R-001</w:t>
            </w:r>
          </w:p>
        </w:tc>
        <w:tc>
          <w:tcPr>
            <w:tcW w:w="2300" w:type="pct"/>
            <w:vAlign w:val="center"/>
          </w:tcPr>
          <w:p w14:paraId="31935F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批准的软件需求和安全需求基线尚未导入</w:t>
            </w:r>
          </w:p>
        </w:tc>
        <w:tc>
          <w:tcPr>
            <w:tcW w:w="650" w:type="pct"/>
            <w:vAlign w:val="center"/>
          </w:tcPr>
          <w:p w14:paraId="448F0C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总册、7</w:t>
            </w:r>
          </w:p>
        </w:tc>
        <w:tc>
          <w:tcPr>
            <w:tcW w:w="750" w:type="pct"/>
            <w:vAlign w:val="center"/>
          </w:tcPr>
          <w:p w14:paraId="1373E1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待需求映射</w:t>
            </w:r>
          </w:p>
        </w:tc>
        <w:tc>
          <w:tcPr>
            <w:tcW w:w="800" w:type="pct"/>
            <w:vAlign w:val="center"/>
          </w:tcPr>
          <w:p w14:paraId="7B49B8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21985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2D30E04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R-002</w:t>
            </w:r>
          </w:p>
        </w:tc>
        <w:tc>
          <w:tcPr>
            <w:tcW w:w="2300" w:type="pct"/>
            <w:vAlign w:val="center"/>
          </w:tcPr>
          <w:p w14:paraId="2FD2E24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MSR-012涉及已暂存AO参数归一化，HEAD与索引行为不同</w:t>
            </w:r>
          </w:p>
        </w:tc>
        <w:tc>
          <w:tcPr>
            <w:tcW w:w="650" w:type="pct"/>
            <w:vAlign w:val="center"/>
          </w:tcPr>
          <w:p w14:paraId="1C1310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2A、6、7</w:t>
            </w:r>
          </w:p>
        </w:tc>
        <w:tc>
          <w:tcPr>
            <w:tcW w:w="750" w:type="pct"/>
            <w:vAlign w:val="center"/>
          </w:tcPr>
          <w:p w14:paraId="267994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3AC635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</w:tr>
      <w:tr w14:paraId="5423F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12B4C6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R-003</w:t>
            </w:r>
          </w:p>
        </w:tc>
        <w:tc>
          <w:tcPr>
            <w:tcW w:w="2300" w:type="pct"/>
            <w:vAlign w:val="center"/>
          </w:tcPr>
          <w:p w14:paraId="5C16AF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MSR-047的首个有效样本、全0/全FF和队列溢出门禁已实现；有效帧年龄、LIN及MagINCn/MagDECn诊断消费仍未闭环</w:t>
            </w:r>
          </w:p>
        </w:tc>
        <w:tc>
          <w:tcPr>
            <w:tcW w:w="650" w:type="pct"/>
            <w:vAlign w:val="center"/>
          </w:tcPr>
          <w:p w14:paraId="2A9D50F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2B、7</w:t>
            </w:r>
          </w:p>
        </w:tc>
        <w:tc>
          <w:tcPr>
            <w:tcW w:w="750" w:type="pct"/>
            <w:vAlign w:val="center"/>
          </w:tcPr>
          <w:p w14:paraId="0D0419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源码已重新核对</w:t>
            </w:r>
          </w:p>
        </w:tc>
        <w:tc>
          <w:tcPr>
            <w:tcW w:w="800" w:type="pct"/>
            <w:vAlign w:val="center"/>
          </w:tcPr>
          <w:p w14:paraId="175B9F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</w:tr>
      <w:tr w14:paraId="395D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7AD5134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R-004</w:t>
            </w:r>
          </w:p>
        </w:tc>
        <w:tc>
          <w:tcPr>
            <w:tcW w:w="2300" w:type="pct"/>
            <w:vAlign w:val="center"/>
          </w:tcPr>
          <w:p w14:paraId="1E75C2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PAR-001/002两个水位寄存器均映射calibrateWaterLevel，waterLevelCorrection无入口</w:t>
            </w:r>
          </w:p>
        </w:tc>
        <w:tc>
          <w:tcPr>
            <w:tcW w:w="650" w:type="pct"/>
            <w:vAlign w:val="center"/>
          </w:tcPr>
          <w:p w14:paraId="5DC7E2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3、4、7</w:t>
            </w:r>
          </w:p>
        </w:tc>
        <w:tc>
          <w:tcPr>
            <w:tcW w:w="750" w:type="pct"/>
            <w:vAlign w:val="center"/>
          </w:tcPr>
          <w:p w14:paraId="3005B1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3005B90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</w:tr>
      <w:tr w14:paraId="515A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47323B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R-005</w:t>
            </w:r>
          </w:p>
        </w:tc>
        <w:tc>
          <w:tcPr>
            <w:tcW w:w="2300" w:type="pct"/>
            <w:vAlign w:val="center"/>
          </w:tcPr>
          <w:p w14:paraId="10DEE7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PAR-011/015的A/B记录无generation且固定优先A</w:t>
            </w:r>
          </w:p>
        </w:tc>
        <w:tc>
          <w:tcPr>
            <w:tcW w:w="650" w:type="pct"/>
            <w:vAlign w:val="center"/>
          </w:tcPr>
          <w:p w14:paraId="432308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4、7</w:t>
            </w:r>
          </w:p>
        </w:tc>
        <w:tc>
          <w:tcPr>
            <w:tcW w:w="750" w:type="pct"/>
            <w:vAlign w:val="center"/>
          </w:tcPr>
          <w:p w14:paraId="2FA868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51F2854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</w:tr>
      <w:tr w14:paraId="2361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35761D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R-006</w:t>
            </w:r>
          </w:p>
        </w:tc>
        <w:tc>
          <w:tcPr>
            <w:tcW w:w="2300" w:type="pct"/>
            <w:vAlign w:val="center"/>
          </w:tcPr>
          <w:p w14:paraId="7CA70A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PAR-012/014保存结果不可观测，ACK先于100 ms延迟保存</w:t>
            </w:r>
          </w:p>
        </w:tc>
        <w:tc>
          <w:tcPr>
            <w:tcW w:w="650" w:type="pct"/>
            <w:vAlign w:val="center"/>
          </w:tcPr>
          <w:p w14:paraId="5EC54EF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3、4、7</w:t>
            </w:r>
          </w:p>
        </w:tc>
        <w:tc>
          <w:tcPr>
            <w:tcW w:w="750" w:type="pct"/>
            <w:vAlign w:val="center"/>
          </w:tcPr>
          <w:p w14:paraId="4E14884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07DF2ED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</w:tr>
      <w:tr w14:paraId="030D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3EBAFA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R-007</w:t>
            </w:r>
          </w:p>
        </w:tc>
        <w:tc>
          <w:tcPr>
            <w:tcW w:w="2300" w:type="pct"/>
            <w:vAlign w:val="center"/>
          </w:tcPr>
          <w:p w14:paraId="6B8817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FLT-002自动闭环缺失；FLT-008慢停失败仍可能清码；FLT-020本次上电不可恢复；FLT-021在FAILED时拒绝新命令；上述项及FLT-015至019、FLT-027、FLT-028缺目标板证据</w:t>
            </w:r>
          </w:p>
        </w:tc>
        <w:tc>
          <w:tcPr>
            <w:tcW w:w="650" w:type="pct"/>
            <w:vAlign w:val="center"/>
          </w:tcPr>
          <w:p w14:paraId="1B35EA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5、7</w:t>
            </w:r>
          </w:p>
        </w:tc>
        <w:tc>
          <w:tcPr>
            <w:tcW w:w="750" w:type="pct"/>
            <w:vAlign w:val="center"/>
          </w:tcPr>
          <w:p w14:paraId="668333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273234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</w:tr>
      <w:tr w14:paraId="6475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0B3B0B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R-008</w:t>
            </w:r>
          </w:p>
        </w:tc>
        <w:tc>
          <w:tcPr>
            <w:tcW w:w="2300" w:type="pct"/>
            <w:vAlign w:val="center"/>
          </w:tcPr>
          <w:p w14:paraId="39AAB55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IO-020/025/026/027包含HART下溢、偏移和状态语义缺口</w:t>
            </w:r>
          </w:p>
        </w:tc>
        <w:tc>
          <w:tcPr>
            <w:tcW w:w="650" w:type="pct"/>
            <w:vAlign w:val="center"/>
          </w:tcPr>
          <w:p w14:paraId="6DFD0B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6、7</w:t>
            </w:r>
          </w:p>
        </w:tc>
        <w:tc>
          <w:tcPr>
            <w:tcW w:w="750" w:type="pct"/>
            <w:vAlign w:val="center"/>
          </w:tcPr>
          <w:p w14:paraId="3CE9ED4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6BF6AC3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</w:tr>
      <w:tr w14:paraId="5DE0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2B17E7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R-009</w:t>
            </w:r>
          </w:p>
        </w:tc>
        <w:tc>
          <w:tcPr>
            <w:tcW w:w="2300" w:type="pct"/>
            <w:vAlign w:val="center"/>
          </w:tcPr>
          <w:p w14:paraId="47118A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IO-038/040/041/042包含PendSV阻塞、TC无超时和RX DMA恢复缺口</w:t>
            </w:r>
          </w:p>
        </w:tc>
        <w:tc>
          <w:tcPr>
            <w:tcW w:w="650" w:type="pct"/>
            <w:vAlign w:val="center"/>
          </w:tcPr>
          <w:p w14:paraId="699FDB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1、6、7</w:t>
            </w:r>
          </w:p>
        </w:tc>
        <w:tc>
          <w:tcPr>
            <w:tcW w:w="750" w:type="pct"/>
            <w:vAlign w:val="center"/>
          </w:tcPr>
          <w:p w14:paraId="6E06CF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67D065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待整改</w:t>
            </w:r>
          </w:p>
        </w:tc>
      </w:tr>
      <w:tr w14:paraId="61C3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4DE88D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R-010</w:t>
            </w:r>
          </w:p>
        </w:tc>
        <w:tc>
          <w:tcPr>
            <w:tcW w:w="2300" w:type="pct"/>
            <w:vAlign w:val="center"/>
          </w:tcPr>
          <w:p w14:paraId="489B31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IO-017/035/043的FAULT与继电器触点尚无完整业务闭环</w:t>
            </w:r>
          </w:p>
        </w:tc>
        <w:tc>
          <w:tcPr>
            <w:tcW w:w="650" w:type="pct"/>
            <w:vAlign w:val="center"/>
          </w:tcPr>
          <w:p w14:paraId="518450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5、6、7</w:t>
            </w:r>
          </w:p>
        </w:tc>
        <w:tc>
          <w:tcPr>
            <w:tcW w:w="750" w:type="pct"/>
            <w:vAlign w:val="center"/>
          </w:tcPr>
          <w:p w14:paraId="42254B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361B84F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</w:tr>
      <w:tr w14:paraId="1CD5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3744E57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R-011</w:t>
            </w:r>
          </w:p>
        </w:tc>
        <w:tc>
          <w:tcPr>
            <w:tcW w:w="2300" w:type="pct"/>
            <w:vAlign w:val="center"/>
          </w:tcPr>
          <w:p w14:paraId="6719B7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test.c的Release隔离缺口尚无独立设计编号</w:t>
            </w:r>
          </w:p>
        </w:tc>
        <w:tc>
          <w:tcPr>
            <w:tcW w:w="650" w:type="pct"/>
            <w:vAlign w:val="center"/>
          </w:tcPr>
          <w:p w14:paraId="4038AE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1、5、7</w:t>
            </w:r>
          </w:p>
        </w:tc>
        <w:tc>
          <w:tcPr>
            <w:tcW w:w="750" w:type="pct"/>
            <w:vAlign w:val="center"/>
          </w:tcPr>
          <w:p w14:paraId="78AC3C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  <w:tc>
          <w:tcPr>
            <w:tcW w:w="800" w:type="pct"/>
            <w:vAlign w:val="center"/>
          </w:tcPr>
          <w:p w14:paraId="6C2EAE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待确认</w:t>
            </w:r>
          </w:p>
        </w:tc>
      </w:tr>
      <w:tr w14:paraId="6882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733339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R-012</w:t>
            </w:r>
          </w:p>
        </w:tc>
        <w:tc>
          <w:tcPr>
            <w:tcW w:w="2300" w:type="pct"/>
            <w:vAlign w:val="center"/>
          </w:tcPr>
          <w:p w14:paraId="60A6615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现行8份专业分册与追踪库存必须保持哈希绑定；任一DOCX、OLE或Visio变化后，第7分册和总册的旧验证证据立即失效</w:t>
            </w:r>
          </w:p>
        </w:tc>
        <w:tc>
          <w:tcPr>
            <w:tcW w:w="650" w:type="pct"/>
            <w:vAlign w:val="center"/>
          </w:tcPr>
          <w:p w14:paraId="16B760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全部、总册</w:t>
            </w:r>
          </w:p>
        </w:tc>
        <w:tc>
          <w:tcPr>
            <w:tcW w:w="750" w:type="pct"/>
            <w:vAlign w:val="center"/>
          </w:tcPr>
          <w:p w14:paraId="5D7F7D4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门禁已通过</w:t>
            </w:r>
          </w:p>
        </w:tc>
        <w:tc>
          <w:tcPr>
            <w:tcW w:w="800" w:type="pct"/>
            <w:vAlign w:val="center"/>
          </w:tcPr>
          <w:p w14:paraId="58C352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持续检查</w:t>
            </w:r>
          </w:p>
        </w:tc>
      </w:tr>
      <w:tr w14:paraId="0447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2ABD1A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R-013</w:t>
            </w:r>
          </w:p>
        </w:tc>
        <w:tc>
          <w:tcPr>
            <w:tcW w:w="2300" w:type="pct"/>
            <w:vAlign w:val="center"/>
          </w:tcPr>
          <w:p w14:paraId="4C45A4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2026-08-02当前工作树CPU2/CPU3 clean-first均退出0；最终冻结构建、静态分析、主机、动态、硬件、现场和认证仍缺对应层级的原始证据</w:t>
            </w:r>
          </w:p>
        </w:tc>
        <w:tc>
          <w:tcPr>
            <w:tcW w:w="650" w:type="pct"/>
            <w:vAlign w:val="center"/>
          </w:tcPr>
          <w:p w14:paraId="5A3DF8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</w:t>
            </w:r>
          </w:p>
        </w:tc>
        <w:tc>
          <w:tcPr>
            <w:tcW w:w="750" w:type="pct"/>
            <w:vAlign w:val="center"/>
          </w:tcPr>
          <w:p w14:paraId="10FF97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工作树构建预检通过</w:t>
            </w:r>
          </w:p>
        </w:tc>
        <w:tc>
          <w:tcPr>
            <w:tcW w:w="800" w:type="pct"/>
            <w:vAlign w:val="center"/>
          </w:tcPr>
          <w:p w14:paraId="49C582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</w:tbl>
    <w:p w14:paraId="10ECA4DE">
      <w:pPr>
        <w:pStyle w:val="4"/>
        <w:pageBreakBefore/>
      </w:pPr>
      <w:bookmarkStart w:id="17" w:name="_Toc29935"/>
      <w:r>
        <w:t>风险状态保持规则</w:t>
      </w:r>
      <w:bookmarkEnd w:id="17"/>
    </w:p>
    <w:p w14:paraId="2A8DC72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专业分册中已明确的待整改、高风险、待确认或硬件待验证状态，在第7分册汇总时不得统一降级为“源码已核对”。</w:t>
      </w:r>
    </w:p>
    <w:p w14:paraId="628FB85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风险关闭必须同时记录修改版本、提交、验证用例、原始证据和批准角色；不以文字改写代替关闭。</w:t>
      </w:r>
    </w:p>
    <w:p w14:paraId="6B2660B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第7分册15项重点来自第2A、第2B和第5分册，覆盖MSR与FLT域；PAR、IO同等问题由总册风险入口持续保留，仍需补齐批准需求与高层证据。</w:t>
      </w:r>
    </w:p>
    <w:p w14:paraId="08225EC7">
      <w:pPr>
        <w:pStyle w:val="2"/>
      </w:pPr>
      <w:bookmarkStart w:id="18" w:name="_Toc29700"/>
      <w:r>
        <w:t>基线冻结与变更回填</w:t>
      </w:r>
      <w:bookmarkEnd w:id="18"/>
    </w:p>
    <w:p w14:paraId="0EC4AF61">
      <w:pPr>
        <w:pStyle w:val="4"/>
      </w:pPr>
      <w:bookmarkStart w:id="19" w:name="_Toc12004"/>
      <w:r>
        <w:t>冻结顺序</w:t>
      </w:r>
      <w:bookmarkEnd w:id="19"/>
    </w:p>
    <w:p w14:paraId="4BD0438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确认批准的软件需求、安全需求、固件版本和共享协议基线。</w:t>
      </w:r>
    </w:p>
    <w:p w14:paraId="70ACB48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冻结HEAD、索引和工作树边界，重新核对所有设计项的符号、文件和行号快照。</w:t>
      </w:r>
    </w:p>
    <w:p w14:paraId="7011A75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完成责任分册回填，重新生成第7分册追踪矩阵和流程图总索引。</w:t>
      </w:r>
    </w:p>
    <w:p w14:paraId="60D9669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对最终代码执行clean-first构建、静态分析和可隔离主机测试。</w:t>
      </w:r>
    </w:p>
    <w:p w14:paraId="57DB91D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在目标板和台架执行通信、FRAM、掉电、电机、AO、HART、继电器、IWDG和故障注入用例。</w:t>
      </w:r>
    </w:p>
    <w:p w14:paraId="7932114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收集现场和认证活动所需的独立审查、覆盖、偏差关闭和批准记录。</w:t>
      </w:r>
    </w:p>
    <w:p w14:paraId="36410E88">
      <w:pPr>
        <w:pStyle w:val="4"/>
      </w:pPr>
      <w:bookmarkStart w:id="20" w:name="_Toc11928"/>
      <w:r>
        <w:t>Word版式验收顺序</w:t>
      </w:r>
      <w:bookmarkEnd w:id="20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6CA9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0" w:type="pct"/>
            <w:vAlign w:val="center"/>
          </w:tcPr>
          <w:p w14:paraId="729C72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序号</w:t>
            </w:r>
          </w:p>
        </w:tc>
        <w:tc>
          <w:tcPr>
            <w:tcW w:w="1200" w:type="pct"/>
            <w:vAlign w:val="center"/>
          </w:tcPr>
          <w:p w14:paraId="2985ED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检查对象</w:t>
            </w:r>
          </w:p>
        </w:tc>
        <w:tc>
          <w:tcPr>
            <w:tcW w:w="2150" w:type="pct"/>
            <w:vAlign w:val="center"/>
          </w:tcPr>
          <w:p w14:paraId="421B239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接受准则</w:t>
            </w:r>
          </w:p>
        </w:tc>
        <w:tc>
          <w:tcPr>
            <w:tcW w:w="1050" w:type="pct"/>
            <w:vAlign w:val="center"/>
          </w:tcPr>
          <w:p w14:paraId="18C521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失败处置</w:t>
            </w:r>
          </w:p>
        </w:tc>
      </w:tr>
      <w:tr w14:paraId="012C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087E0B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</w:t>
            </w:r>
          </w:p>
        </w:tc>
        <w:tc>
          <w:tcPr>
            <w:tcW w:w="1200" w:type="pct"/>
            <w:vAlign w:val="center"/>
          </w:tcPr>
          <w:p w14:paraId="1EDAEB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一代参考对照</w:t>
            </w:r>
          </w:p>
        </w:tc>
        <w:tc>
          <w:tcPr>
            <w:tcW w:w="2150" w:type="pct"/>
            <w:vAlign w:val="center"/>
          </w:tcPr>
          <w:p w14:paraId="65F910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封面、版本页、目录、三分节、A4和页边距一致</w:t>
            </w:r>
          </w:p>
        </w:tc>
        <w:tc>
          <w:tcPr>
            <w:tcW w:w="1050" w:type="pct"/>
            <w:vAlign w:val="center"/>
          </w:tcPr>
          <w:p w14:paraId="515A559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候选稿不得进入正式路径</w:t>
            </w:r>
          </w:p>
        </w:tc>
      </w:tr>
      <w:tr w14:paraId="1523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2008B56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</w:t>
            </w:r>
          </w:p>
        </w:tc>
        <w:tc>
          <w:tcPr>
            <w:tcW w:w="1200" w:type="pct"/>
            <w:vAlign w:val="center"/>
          </w:tcPr>
          <w:p w14:paraId="66C0C7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OOXML结构</w:t>
            </w:r>
          </w:p>
        </w:tc>
        <w:tc>
          <w:tcPr>
            <w:tcW w:w="2150" w:type="pct"/>
            <w:vAlign w:val="center"/>
          </w:tcPr>
          <w:p w14:paraId="6D81DB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styles.xml与一代参考逐字节一致，关系、OLE和媒体完整</w:t>
            </w:r>
          </w:p>
        </w:tc>
        <w:tc>
          <w:tcPr>
            <w:tcW w:w="1050" w:type="pct"/>
            <w:vAlign w:val="center"/>
          </w:tcPr>
          <w:p w14:paraId="65C85D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修复后重跑全部门禁</w:t>
            </w:r>
          </w:p>
        </w:tc>
      </w:tr>
      <w:tr w14:paraId="1F1D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6EFFE4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1200" w:type="pct"/>
            <w:vAlign w:val="center"/>
          </w:tcPr>
          <w:p w14:paraId="3F2886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Word字段</w:t>
            </w:r>
          </w:p>
        </w:tc>
        <w:tc>
          <w:tcPr>
            <w:tcW w:w="2150" w:type="pct"/>
            <w:vAlign w:val="center"/>
          </w:tcPr>
          <w:p w14:paraId="2FF6B7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目录、页码和页数使用最终候选稿更新</w:t>
            </w:r>
          </w:p>
        </w:tc>
        <w:tc>
          <w:tcPr>
            <w:tcW w:w="1050" w:type="pct"/>
            <w:vAlign w:val="center"/>
          </w:tcPr>
          <w:p w14:paraId="6D6F0F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不得使用过期页码交付</w:t>
            </w:r>
          </w:p>
        </w:tc>
      </w:tr>
      <w:tr w14:paraId="5E32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AF13C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</w:t>
            </w:r>
          </w:p>
        </w:tc>
        <w:tc>
          <w:tcPr>
            <w:tcW w:w="1200" w:type="pct"/>
            <w:vAlign w:val="center"/>
          </w:tcPr>
          <w:p w14:paraId="4CC443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整本渲染</w:t>
            </w:r>
          </w:p>
        </w:tc>
        <w:tc>
          <w:tcPr>
            <w:tcW w:w="2150" w:type="pct"/>
            <w:vAlign w:val="center"/>
          </w:tcPr>
          <w:p w14:paraId="71B7F1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从物理第1页至末页逐页查看</w:t>
            </w:r>
          </w:p>
        </w:tc>
        <w:tc>
          <w:tcPr>
            <w:tcW w:w="1050" w:type="pct"/>
            <w:vAlign w:val="center"/>
          </w:tcPr>
          <w:p w14:paraId="49AEA9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任一页失败即回到候选稿</w:t>
            </w:r>
          </w:p>
        </w:tc>
      </w:tr>
      <w:tr w14:paraId="4432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56614CF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</w:t>
            </w:r>
          </w:p>
        </w:tc>
        <w:tc>
          <w:tcPr>
            <w:tcW w:w="1200" w:type="pct"/>
            <w:vAlign w:val="center"/>
          </w:tcPr>
          <w:p w14:paraId="15962B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视觉细节</w:t>
            </w:r>
          </w:p>
        </w:tc>
        <w:tc>
          <w:tcPr>
            <w:tcW w:w="2150" w:type="pct"/>
            <w:vAlign w:val="center"/>
          </w:tcPr>
          <w:p w14:paraId="0A5D323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无重叠、裁切、孤立标题/表头、异常分页、穿线、压线或箭头净空不足</w:t>
            </w:r>
          </w:p>
        </w:tc>
        <w:tc>
          <w:tcPr>
            <w:tcW w:w="1050" w:type="pct"/>
            <w:vAlign w:val="center"/>
          </w:tcPr>
          <w:p w14:paraId="5AD4FF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调整后重新整本渲染</w:t>
            </w:r>
          </w:p>
        </w:tc>
      </w:tr>
      <w:tr w14:paraId="20E8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vAlign w:val="center"/>
          </w:tcPr>
          <w:p w14:paraId="7658D2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</w:t>
            </w:r>
          </w:p>
        </w:tc>
        <w:tc>
          <w:tcPr>
            <w:tcW w:w="1200" w:type="pct"/>
            <w:vAlign w:val="center"/>
          </w:tcPr>
          <w:p w14:paraId="734094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正式稿复核</w:t>
            </w:r>
          </w:p>
        </w:tc>
        <w:tc>
          <w:tcPr>
            <w:tcW w:w="2150" w:type="pct"/>
            <w:vAlign w:val="center"/>
          </w:tcPr>
          <w:p w14:paraId="281A32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正式路径重渲染与已审核候选逐页哈希一致</w:t>
            </w:r>
          </w:p>
        </w:tc>
        <w:tc>
          <w:tcPr>
            <w:tcW w:w="1050" w:type="pct"/>
            <w:vAlign w:val="center"/>
          </w:tcPr>
          <w:p w14:paraId="00252B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不得交付或记录为已验收</w:t>
            </w:r>
          </w:p>
        </w:tc>
      </w:tr>
    </w:tbl>
    <w:p w14:paraId="1742355B">
      <w:pPr>
        <w:pStyle w:val="2"/>
        <w:pageBreakBefore/>
      </w:pPr>
      <w:bookmarkStart w:id="21" w:name="_Toc21614"/>
      <w:r>
        <w:t>相关文件</w:t>
      </w:r>
      <w:bookmarkEnd w:id="21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561"/>
        <w:gridCol w:w="3561"/>
      </w:tblGrid>
      <w:tr w14:paraId="7BE2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pct"/>
            <w:vAlign w:val="center"/>
          </w:tcPr>
          <w:p w14:paraId="62325D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文件</w:t>
            </w:r>
          </w:p>
        </w:tc>
        <w:tc>
          <w:tcPr>
            <w:tcW w:w="1600" w:type="pct"/>
            <w:vAlign w:val="center"/>
          </w:tcPr>
          <w:p w14:paraId="228D5A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作用</w:t>
            </w:r>
          </w:p>
        </w:tc>
        <w:tc>
          <w:tcPr>
            <w:tcW w:w="1100" w:type="pct"/>
            <w:vAlign w:val="center"/>
          </w:tcPr>
          <w:p w14:paraId="0B189A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维护要求</w:t>
            </w:r>
          </w:p>
        </w:tc>
      </w:tr>
      <w:tr w14:paraId="4333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pct"/>
            <w:vAlign w:val="center"/>
          </w:tcPr>
          <w:p w14:paraId="13989F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01_一代参考文档/FX01.软件详细设计V1.1_一代参考.docx</w:t>
            </w:r>
          </w:p>
        </w:tc>
        <w:tc>
          <w:tcPr>
            <w:tcW w:w="1600" w:type="pct"/>
            <w:vAlign w:val="center"/>
          </w:tcPr>
          <w:p w14:paraId="68BEAB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唯一内容组织和Word版式参考</w:t>
            </w:r>
          </w:p>
        </w:tc>
        <w:tc>
          <w:tcPr>
            <w:tcW w:w="1100" w:type="pct"/>
            <w:vAlign w:val="center"/>
          </w:tcPr>
          <w:p w14:paraId="5CC535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不修改原始参考</w:t>
            </w:r>
          </w:p>
        </w:tc>
      </w:tr>
      <w:tr w14:paraId="5CBC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pct"/>
            <w:vAlign w:val="center"/>
          </w:tcPr>
          <w:p w14:paraId="502B4F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02_撰写标准/CPU2软件详细设计撰写与排版要求.md</w:t>
            </w:r>
          </w:p>
        </w:tc>
        <w:tc>
          <w:tcPr>
            <w:tcW w:w="1600" w:type="pct"/>
            <w:vAlign w:val="center"/>
          </w:tcPr>
          <w:p w14:paraId="1A5B64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结构、版式、流程图和验收规则</w:t>
            </w:r>
          </w:p>
        </w:tc>
        <w:tc>
          <w:tcPr>
            <w:tcW w:w="1100" w:type="pct"/>
            <w:vAlign w:val="center"/>
          </w:tcPr>
          <w:p w14:paraId="36689C7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随经验和反馈受控更新</w:t>
            </w:r>
          </w:p>
        </w:tc>
      </w:tr>
      <w:tr w14:paraId="5251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pct"/>
            <w:vAlign w:val="center"/>
          </w:tcPr>
          <w:p w14:paraId="09F0CA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04_流程图版式基准/</w:t>
            </w:r>
          </w:p>
        </w:tc>
        <w:tc>
          <w:tcPr>
            <w:tcW w:w="1600" w:type="pct"/>
            <w:vAlign w:val="center"/>
          </w:tcPr>
          <w:p w14:paraId="0C4390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Visio形状、连线、净空和OLE嵌入基准</w:t>
            </w:r>
          </w:p>
        </w:tc>
        <w:tc>
          <w:tcPr>
            <w:tcW w:w="1100" w:type="pct"/>
            <w:vAlign w:val="center"/>
          </w:tcPr>
          <w:p w14:paraId="053639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独立VSDX与Word OLE业务图一致</w:t>
            </w:r>
          </w:p>
        </w:tc>
      </w:tr>
      <w:tr w14:paraId="5FE4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pct"/>
            <w:vAlign w:val="center"/>
          </w:tcPr>
          <w:p w14:paraId="15A37C5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05_撰写计划/CPU2软件详细设计长期编制计划.md</w:t>
            </w:r>
          </w:p>
        </w:tc>
        <w:tc>
          <w:tcPr>
            <w:tcW w:w="1600" w:type="pct"/>
            <w:vAlign w:val="center"/>
          </w:tcPr>
          <w:p w14:paraId="157C1C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长期周期、验收和后续工作</w:t>
            </w:r>
          </w:p>
        </w:tc>
        <w:tc>
          <w:tcPr>
            <w:tcW w:w="1100" w:type="pct"/>
            <w:vAlign w:val="center"/>
          </w:tcPr>
          <w:p w14:paraId="0E674F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每个周期收口后同步</w:t>
            </w:r>
          </w:p>
        </w:tc>
      </w:tr>
      <w:tr w14:paraId="3ACB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pct"/>
            <w:vAlign w:val="center"/>
          </w:tcPr>
          <w:p w14:paraId="50CA81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06_分卷编制/README.md</w:t>
            </w:r>
          </w:p>
        </w:tc>
        <w:tc>
          <w:tcPr>
            <w:tcW w:w="1600" w:type="pct"/>
            <w:vAlign w:val="center"/>
          </w:tcPr>
          <w:p w14:paraId="1155C8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现行分册、历史版本和路径索引</w:t>
            </w:r>
          </w:p>
        </w:tc>
        <w:tc>
          <w:tcPr>
            <w:tcW w:w="1100" w:type="pct"/>
            <w:vAlign w:val="center"/>
          </w:tcPr>
          <w:p w14:paraId="764CA0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只将通过验收的文档标记为现行</w:t>
            </w:r>
          </w:p>
        </w:tc>
      </w:tr>
    </w:tbl>
    <w:p w14:paraId="4F942D8D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FEB11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DF8C4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2AC50">
    <w:pPr>
      <w:pStyle w:val="14"/>
      <w:pBdr>
        <w:top w:val="single" w:color="auto" w:sz="4" w:space="1"/>
      </w:pBd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2799C">
    <w:pPr>
      <w:pStyle w:val="1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6CC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2F80C">
    <w:pPr>
      <w:pStyle w:val="15"/>
      <w:jc w:val="right"/>
    </w:pPr>
    <w:r>
      <w:t>DSM系列储罐在线自动计量仪CPU2软件详细设计</w:t>
    </w:r>
    <w:r>
      <w:rPr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7D7BC">
    <w:pPr>
      <w:pStyle w:val="15"/>
      <w:jc w:val="right"/>
    </w:pPr>
    <w:r>
      <w:t>DSM系列储罐在线自动计量仪CPU2软件详细设计</w:t>
    </w:r>
    <w:r>
      <w:rPr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247CB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2026-08-01T21:36:31Z</dcterms:modified>
  <dc:subject>CPU2软件详细设计总册V0.2编制稿</dc:subject>
  <dc:title>CPU2软件详细设计总册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